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237BB" w:rsidRPr="00C86D91" w:rsidRDefault="008237BB" w:rsidP="00C86D91">
      <w:pPr>
        <w:pStyle w:val="Documenttitle"/>
      </w:pPr>
      <w:bookmarkStart w:id="0" w:name="_Toc337710523"/>
      <w:bookmarkStart w:id="1" w:name="_Toc347401372"/>
      <w:bookmarkStart w:id="2" w:name="_Toc347401600"/>
      <w:bookmarkStart w:id="3" w:name="_Toc347401712"/>
      <w:bookmarkStart w:id="4" w:name="_Toc347401824"/>
      <w:bookmarkStart w:id="5" w:name="_Toc347401936"/>
      <w:bookmarkStart w:id="6" w:name="_Toc347402048"/>
      <w:bookmarkStart w:id="7" w:name="_Toc347402162"/>
      <w:bookmarkStart w:id="8" w:name="_Toc347402294"/>
      <w:bookmarkStart w:id="9" w:name="_Toc347402426"/>
      <w:bookmarkStart w:id="10" w:name="_Toc349054998"/>
      <w:bookmarkStart w:id="11" w:name="_Toc349055228"/>
      <w:bookmarkStart w:id="12" w:name="_Toc349055341"/>
      <w:bookmarkStart w:id="13" w:name="_Toc349055454"/>
      <w:bookmarkStart w:id="14" w:name="_Toc349055567"/>
      <w:bookmarkStart w:id="15" w:name="_Toc349055680"/>
      <w:bookmarkStart w:id="16" w:name="_Toc349116898"/>
      <w:bookmarkStart w:id="17" w:name="_Toc350329998"/>
      <w:bookmarkStart w:id="18" w:name="_Toc350343976"/>
      <w:bookmarkStart w:id="19" w:name="_Toc354404020"/>
      <w:bookmarkStart w:id="20" w:name="_Toc354492684"/>
      <w:bookmarkStart w:id="21" w:name="_Toc354492825"/>
      <w:bookmarkStart w:id="22" w:name="_Toc354492931"/>
      <w:bookmarkStart w:id="23" w:name="_Toc354493061"/>
      <w:bookmarkStart w:id="24" w:name="_Toc354493222"/>
      <w:bookmarkStart w:id="25" w:name="_Toc354493691"/>
      <w:bookmarkStart w:id="26" w:name="_Toc354494226"/>
      <w:bookmarkStart w:id="27" w:name="_Toc354494444"/>
      <w:bookmarkStart w:id="28" w:name="_Toc354494655"/>
      <w:bookmarkStart w:id="29" w:name="_Toc354494949"/>
      <w:bookmarkStart w:id="30" w:name="_Toc354497832"/>
      <w:bookmarkStart w:id="31" w:name="_Toc354561245"/>
      <w:bookmarkStart w:id="32" w:name="_Toc355249585"/>
      <w:bookmarkStart w:id="33" w:name="_Toc338141642"/>
      <w:bookmarkStart w:id="34" w:name="_Toc340557944"/>
      <w:bookmarkStart w:id="35" w:name="_Toc340558252"/>
      <w:bookmarkStart w:id="36" w:name="_Toc340560219"/>
      <w:bookmarkStart w:id="37" w:name="_Toc340572805"/>
      <w:bookmarkStart w:id="38" w:name="_Toc340668216"/>
      <w:bookmarkStart w:id="39" w:name="_Toc340755990"/>
      <w:bookmarkStart w:id="40" w:name="_Toc340842928"/>
      <w:bookmarkStart w:id="41" w:name="_Toc341445193"/>
      <w:bookmarkStart w:id="42" w:name="_Toc342638437"/>
      <w:bookmarkStart w:id="43" w:name="_Toc346260932"/>
      <w:bookmarkStart w:id="44" w:name="_Toc346261422"/>
      <w:bookmarkStart w:id="45" w:name="_Toc346632491"/>
      <w:bookmarkStart w:id="46" w:name="_Toc346632719"/>
      <w:bookmarkStart w:id="47" w:name="_Toc346632831"/>
      <w:bookmarkStart w:id="48" w:name="_Toc346632943"/>
      <w:bookmarkStart w:id="49" w:name="_Toc346633055"/>
      <w:bookmarkStart w:id="50" w:name="_Toc346633167"/>
      <w:r w:rsidRPr="00C86D91">
        <w:t>Reforming Planning Processes Trial: Rockhampton 2050</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p>
    <w:p w:rsidR="008237BB" w:rsidRPr="00C86D91" w:rsidRDefault="008237BB" w:rsidP="00C86D91">
      <w:pPr>
        <w:pStyle w:val="Documentsubtitle"/>
      </w:pPr>
      <w:bookmarkStart w:id="51" w:name="_Toc347401373"/>
      <w:bookmarkStart w:id="52" w:name="_Toc347401601"/>
      <w:bookmarkStart w:id="53" w:name="_Toc347401713"/>
      <w:bookmarkStart w:id="54" w:name="_Toc347401825"/>
      <w:bookmarkStart w:id="55" w:name="_Toc347401937"/>
      <w:bookmarkStart w:id="56" w:name="_Toc347402049"/>
      <w:bookmarkStart w:id="57" w:name="_Toc347402163"/>
      <w:bookmarkStart w:id="58" w:name="_Toc347402295"/>
      <w:bookmarkStart w:id="59" w:name="_Toc347402427"/>
      <w:bookmarkStart w:id="60" w:name="_Toc349054999"/>
      <w:bookmarkStart w:id="61" w:name="_Toc349055229"/>
      <w:bookmarkStart w:id="62" w:name="_Toc349055342"/>
      <w:bookmarkStart w:id="63" w:name="_Toc349055455"/>
      <w:bookmarkStart w:id="64" w:name="_Toc349055568"/>
      <w:bookmarkStart w:id="65" w:name="_Toc349055681"/>
      <w:bookmarkStart w:id="66" w:name="_Toc349116899"/>
      <w:bookmarkStart w:id="67" w:name="_Toc350329999"/>
      <w:bookmarkStart w:id="68" w:name="_Toc350343977"/>
      <w:bookmarkStart w:id="69" w:name="_Toc354404021"/>
      <w:bookmarkStart w:id="70" w:name="_Toc354492685"/>
      <w:bookmarkStart w:id="71" w:name="_Toc354492826"/>
      <w:bookmarkStart w:id="72" w:name="_Toc354492932"/>
      <w:bookmarkStart w:id="73" w:name="_Toc354493062"/>
      <w:bookmarkStart w:id="74" w:name="_Toc354493223"/>
      <w:bookmarkStart w:id="75" w:name="_Toc354493692"/>
      <w:bookmarkStart w:id="76" w:name="_Toc354494227"/>
      <w:bookmarkStart w:id="77" w:name="_Toc354494445"/>
      <w:bookmarkStart w:id="78" w:name="_Toc354494656"/>
      <w:bookmarkStart w:id="79" w:name="_Toc354494950"/>
      <w:bookmarkStart w:id="80" w:name="_Toc354497833"/>
      <w:bookmarkStart w:id="81" w:name="_Toc354561246"/>
      <w:bookmarkStart w:id="82" w:name="_Toc355249586"/>
      <w:r w:rsidRPr="00C86D91">
        <w:t>Technical Report</w:t>
      </w:r>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r w:rsidRPr="00C86D91">
        <w:t xml:space="preserve"> on Current and Future Climate Hazards</w:t>
      </w:r>
      <w:bookmarkEnd w:id="69"/>
      <w:bookmarkEnd w:id="70"/>
      <w:bookmarkEnd w:id="71"/>
      <w:bookmarkEnd w:id="72"/>
      <w:bookmarkEnd w:id="73"/>
      <w:bookmarkEnd w:id="74"/>
      <w:bookmarkEnd w:id="75"/>
      <w:bookmarkEnd w:id="76"/>
      <w:bookmarkEnd w:id="77"/>
      <w:bookmarkEnd w:id="78"/>
      <w:bookmarkEnd w:id="79"/>
      <w:bookmarkEnd w:id="80"/>
      <w:bookmarkEnd w:id="81"/>
      <w:bookmarkEnd w:id="82"/>
    </w:p>
    <w:p w:rsidR="008237BB" w:rsidRPr="009340CE" w:rsidRDefault="008237BB" w:rsidP="009340CE">
      <w:pPr>
        <w:pStyle w:val="Record"/>
      </w:pPr>
      <w:bookmarkStart w:id="83" w:name="_Toc332977502"/>
      <w:bookmarkStart w:id="84" w:name="_Toc337710524"/>
      <w:bookmarkStart w:id="85" w:name="_Toc338141643"/>
      <w:bookmarkStart w:id="86" w:name="_Toc340557945"/>
      <w:bookmarkStart w:id="87" w:name="_Toc340558253"/>
      <w:bookmarkStart w:id="88" w:name="_Toc340560220"/>
      <w:bookmarkStart w:id="89" w:name="_Toc340572806"/>
      <w:bookmarkStart w:id="90" w:name="_Toc340668217"/>
      <w:bookmarkStart w:id="91" w:name="_Toc340755991"/>
      <w:bookmarkStart w:id="92" w:name="_Toc340842929"/>
      <w:bookmarkStart w:id="93" w:name="_Toc341445194"/>
      <w:bookmarkStart w:id="94" w:name="_Toc342638438"/>
      <w:bookmarkStart w:id="95" w:name="_Toc346260933"/>
      <w:bookmarkStart w:id="96" w:name="_Toc346261423"/>
      <w:bookmarkStart w:id="97" w:name="_Toc346632492"/>
      <w:bookmarkStart w:id="98" w:name="_Toc346632720"/>
      <w:bookmarkStart w:id="99" w:name="_Toc346632832"/>
      <w:bookmarkStart w:id="100" w:name="_Toc346632944"/>
      <w:bookmarkStart w:id="101" w:name="_Toc346633056"/>
      <w:bookmarkStart w:id="102" w:name="_Toc346633168"/>
      <w:bookmarkStart w:id="103" w:name="_Toc347401374"/>
      <w:bookmarkStart w:id="104" w:name="_Toc347401602"/>
      <w:bookmarkStart w:id="105" w:name="_Toc347401714"/>
      <w:bookmarkStart w:id="106" w:name="_Toc347401826"/>
      <w:bookmarkStart w:id="107" w:name="_Toc347401938"/>
      <w:bookmarkStart w:id="108" w:name="_Toc347402050"/>
      <w:bookmarkStart w:id="109" w:name="_Toc347402164"/>
      <w:bookmarkStart w:id="110" w:name="_Toc347402296"/>
      <w:bookmarkStart w:id="111" w:name="_Toc347402428"/>
      <w:bookmarkStart w:id="112" w:name="_Toc349055000"/>
      <w:bookmarkStart w:id="113" w:name="_Toc349055230"/>
      <w:bookmarkStart w:id="114" w:name="_Toc349055343"/>
      <w:bookmarkStart w:id="115" w:name="_Toc349055456"/>
      <w:bookmarkStart w:id="116" w:name="_Toc349055569"/>
      <w:bookmarkStart w:id="117" w:name="_Toc349055682"/>
      <w:bookmarkStart w:id="118" w:name="_Toc349116900"/>
      <w:bookmarkStart w:id="119" w:name="_Toc350330000"/>
      <w:bookmarkStart w:id="120" w:name="_Toc350343978"/>
      <w:r w:rsidRPr="009340CE">
        <w:t>Geoscience Australia</w:t>
      </w:r>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r w:rsidR="00A43BA1">
        <w:br/>
      </w:r>
      <w:r w:rsidRPr="009340CE">
        <w:t xml:space="preserve">Record </w:t>
      </w:r>
      <w:bookmarkStart w:id="121" w:name="_Toc332977503"/>
      <w:bookmarkStart w:id="122" w:name="_Toc337710525"/>
      <w:bookmarkStart w:id="123" w:name="_Toc338141644"/>
      <w:bookmarkStart w:id="124" w:name="_Toc340557946"/>
      <w:bookmarkStart w:id="125" w:name="_Toc340558254"/>
      <w:bookmarkStart w:id="126" w:name="_Toc340560221"/>
      <w:bookmarkStart w:id="127" w:name="_Toc340572807"/>
      <w:bookmarkStart w:id="128" w:name="_Toc340668218"/>
      <w:bookmarkStart w:id="129" w:name="_Toc340755992"/>
      <w:bookmarkStart w:id="130" w:name="_Toc340842930"/>
      <w:bookmarkStart w:id="131" w:name="_Toc341445195"/>
      <w:bookmarkStart w:id="132" w:name="_Toc342638439"/>
      <w:bookmarkStart w:id="133" w:name="_Toc346260934"/>
      <w:bookmarkStart w:id="134" w:name="_Toc346261424"/>
      <w:bookmarkStart w:id="135" w:name="_Toc346632493"/>
      <w:bookmarkStart w:id="136" w:name="_Toc346632721"/>
      <w:bookmarkStart w:id="137" w:name="_Toc346632833"/>
      <w:bookmarkStart w:id="138" w:name="_Toc346632945"/>
      <w:bookmarkStart w:id="139" w:name="_Toc346633057"/>
      <w:bookmarkStart w:id="140" w:name="_Toc346633169"/>
      <w:r w:rsidRPr="009340CE">
        <w:t>2013</w:t>
      </w:r>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r w:rsidR="00F06D18">
        <w:t>/</w:t>
      </w:r>
      <w:r w:rsidR="005E2FBC">
        <w:t>15</w:t>
      </w:r>
    </w:p>
    <w:p w:rsidR="008237BB" w:rsidRDefault="008237BB" w:rsidP="00A43BA1">
      <w:pPr>
        <w:pStyle w:val="Authors"/>
      </w:pPr>
      <w:r>
        <w:t>D. Moore, M. Hazelwood, R. Cechet, C. Arthur, I. French, R</w:t>
      </w:r>
      <w:r w:rsidR="007A1D32">
        <w:t>.</w:t>
      </w:r>
      <w:r>
        <w:t xml:space="preserve"> Dunsmore, A. Sanabria, T. Yang, and M.</w:t>
      </w:r>
      <w:r w:rsidR="00A43BA1">
        <w:t> </w:t>
      </w:r>
      <w:r>
        <w:t>Woolf</w:t>
      </w:r>
    </w:p>
    <w:p w:rsidR="008355B7" w:rsidRPr="00A54C1B" w:rsidRDefault="00D80E80" w:rsidP="008237BB">
      <w:pPr>
        <w:pStyle w:val="Figuresandimagesleft"/>
      </w:pPr>
      <w:r>
        <w:rPr>
          <w:noProof/>
        </w:rPr>
        <w:drawing>
          <wp:inline distT="0" distB="0" distL="0" distR="0" wp14:anchorId="68A21C04" wp14:editId="2E19BDB7">
            <wp:extent cx="2552065" cy="743585"/>
            <wp:effectExtent l="0" t="0" r="635" b="0"/>
            <wp:docPr id="1" name="Picture 1" descr="Australian Government: Geoscience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science_inline_recor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52065" cy="743585"/>
                    </a:xfrm>
                    <a:prstGeom prst="rect">
                      <a:avLst/>
                    </a:prstGeom>
                    <a:noFill/>
                    <a:ln>
                      <a:noFill/>
                    </a:ln>
                  </pic:spPr>
                </pic:pic>
              </a:graphicData>
            </a:graphic>
          </wp:inline>
        </w:drawing>
      </w:r>
    </w:p>
    <w:p w:rsidR="00AD2347" w:rsidRPr="00710117" w:rsidRDefault="00AD2347" w:rsidP="00AD2347">
      <w:pPr>
        <w:pStyle w:val="VersoBoldPgB4"/>
      </w:pPr>
      <w:r w:rsidRPr="00AD2347">
        <w:lastRenderedPageBreak/>
        <w:t>Department</w:t>
      </w:r>
      <w:r w:rsidRPr="00710117">
        <w:t xml:space="preserve"> of Resources, Energy and Tourism</w:t>
      </w:r>
    </w:p>
    <w:p w:rsidR="00E8598A" w:rsidRPr="00A32A11" w:rsidRDefault="00E8598A" w:rsidP="00E8598A">
      <w:pPr>
        <w:pStyle w:val="Versopageinfo"/>
      </w:pPr>
      <w:r w:rsidRPr="00661A73">
        <w:t xml:space="preserve">Minister for Resources and Energy: </w:t>
      </w:r>
      <w:r w:rsidRPr="00692160">
        <w:t>The Hon Gary Gray AO MP</w:t>
      </w:r>
      <w:r>
        <w:br/>
      </w:r>
      <w:r w:rsidRPr="00661A73">
        <w:t>Secretary</w:t>
      </w:r>
      <w:r w:rsidRPr="00A32A11">
        <w:t xml:space="preserve">: Mr </w:t>
      </w:r>
      <w:r>
        <w:t>Blair Comley, PSM</w:t>
      </w:r>
    </w:p>
    <w:p w:rsidR="00E8598A" w:rsidRDefault="00E8598A" w:rsidP="00E8598A">
      <w:pPr>
        <w:pStyle w:val="VersoBold"/>
      </w:pPr>
      <w:r>
        <w:t>Geoscience Australia</w:t>
      </w:r>
    </w:p>
    <w:p w:rsidR="00E8598A" w:rsidRDefault="00E8598A" w:rsidP="00E8598A">
      <w:pPr>
        <w:pStyle w:val="Versopageinfo"/>
      </w:pPr>
      <w:r>
        <w:t>Chief Executive Officer: Dr Chris Pigram</w:t>
      </w:r>
      <w:r>
        <w:br/>
        <w:t>This paper is published with the permission of the CEO, Geoscience Australia</w:t>
      </w:r>
    </w:p>
    <w:p w:rsidR="00E8598A" w:rsidRDefault="00E8598A" w:rsidP="002E4BF6">
      <w:pPr>
        <w:pStyle w:val="Figuresandimagesleft"/>
      </w:pPr>
      <w:r>
        <w:rPr>
          <w:noProof/>
        </w:rPr>
        <w:drawing>
          <wp:inline distT="0" distB="0" distL="0" distR="0" wp14:anchorId="2C8FDD6A" wp14:editId="262DED5F">
            <wp:extent cx="1000125" cy="361950"/>
            <wp:effectExtent l="0" t="0" r="9525" b="0"/>
            <wp:docPr id="2"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p w:rsidR="00E8598A" w:rsidRDefault="00E8598A" w:rsidP="00E8598A">
      <w:pPr>
        <w:pStyle w:val="Versopageinfo"/>
      </w:pPr>
      <w:r>
        <w:t>© Commonwealth of Australia (Geoscience Australia) 2013</w:t>
      </w:r>
    </w:p>
    <w:p w:rsidR="002E4BF6" w:rsidRDefault="002E4BF6" w:rsidP="002E4BF6">
      <w:pPr>
        <w:pStyle w:val="Versopageinfo"/>
      </w:pPr>
      <w:r>
        <w:t>With the exception of the Commonwealth Coat of Arms and where otherwise noted, all material in this publication is provided under a Creative Commons Attribution 3.0 Australia Licence. (</w:t>
      </w:r>
      <w:hyperlink r:id="rId11" w:tooltip="Creative Commons website" w:history="1">
        <w:r w:rsidRPr="002E4BF6">
          <w:rPr>
            <w:rStyle w:val="Hyperlink"/>
          </w:rPr>
          <w:t>http://www.creativecommons.org/licenses/by/3.0/au/deed.en</w:t>
        </w:r>
      </w:hyperlink>
      <w:r>
        <w:t>)</w:t>
      </w:r>
    </w:p>
    <w:p w:rsidR="00E8598A" w:rsidRDefault="00E8598A" w:rsidP="00E8598A">
      <w:pPr>
        <w:pStyle w:val="Versopageinfo"/>
      </w:pPr>
      <w:r>
        <w:t>Geoscience Australia has tried to make the information in this product as accurate as possible. However, it does not guarantee that the information is totally accurate or complete. Therefore, you should not solely rely on this information when making a commercial decision.</w:t>
      </w:r>
    </w:p>
    <w:p w:rsidR="00E8598A" w:rsidRDefault="00E8598A" w:rsidP="00E8598A">
      <w:pPr>
        <w:pStyle w:val="Versopageinfo"/>
      </w:pPr>
      <w:r>
        <w:t xml:space="preserve">Geoscience Australia is committed to providing web accessible content wherever possible. If you are having difficulties with accessing this document please contact </w:t>
      </w:r>
      <w:hyperlink r:id="rId12" w:tooltip="Email Geoscience Australia" w:history="1">
        <w:r w:rsidRPr="003726DC">
          <w:rPr>
            <w:rStyle w:val="Hyperlink"/>
          </w:rPr>
          <w:t>feedback@ga.gov.au</w:t>
        </w:r>
      </w:hyperlink>
      <w:r w:rsidRPr="003726DC">
        <w:t>.</w:t>
      </w:r>
    </w:p>
    <w:p w:rsidR="00E1575C" w:rsidRPr="00661A73" w:rsidRDefault="008355B7" w:rsidP="00E8598A">
      <w:pPr>
        <w:pStyle w:val="VersoBold"/>
      </w:pPr>
      <w:r w:rsidRPr="00661A73">
        <w:t>ISSN 1448-2177</w:t>
      </w:r>
      <w:r w:rsidR="00524A01" w:rsidRPr="00661A73">
        <w:t xml:space="preserve"> (Print)</w:t>
      </w:r>
      <w:r w:rsidR="00524A01" w:rsidRPr="00661A73">
        <w:br/>
      </w:r>
      <w:r w:rsidR="00707F1B">
        <w:t>ISSN 2201-702X (PDF)</w:t>
      </w:r>
    </w:p>
    <w:p w:rsidR="00E1575C" w:rsidRPr="00661A73" w:rsidRDefault="005C3E58" w:rsidP="00E8598A">
      <w:pPr>
        <w:pStyle w:val="VersoBold"/>
      </w:pPr>
      <w:r w:rsidRPr="00661A73">
        <w:t xml:space="preserve">ISBN </w:t>
      </w:r>
      <w:r w:rsidR="00E6349B" w:rsidRPr="005E2FBC">
        <w:t>978-1-922201-40-9</w:t>
      </w:r>
      <w:r w:rsidR="00E1575C" w:rsidRPr="00661A73">
        <w:t xml:space="preserve"> (Print)</w:t>
      </w:r>
      <w:r w:rsidR="007F27B1" w:rsidRPr="00661A73">
        <w:br/>
      </w:r>
      <w:r w:rsidR="00E1575C" w:rsidRPr="00661A73">
        <w:t xml:space="preserve">ISBN </w:t>
      </w:r>
      <w:r w:rsidR="00E6349B" w:rsidRPr="00E6349B">
        <w:t>978-1-922201-39-3</w:t>
      </w:r>
      <w:r w:rsidR="00E1575C" w:rsidRPr="00661A73">
        <w:t xml:space="preserve"> (PDF)</w:t>
      </w:r>
    </w:p>
    <w:p w:rsidR="008355B7" w:rsidRPr="00F77E2B" w:rsidRDefault="00710117" w:rsidP="00E8598A">
      <w:pPr>
        <w:pStyle w:val="VersoBold"/>
      </w:pPr>
      <w:r w:rsidRPr="00661A73">
        <w:t>GeoCat</w:t>
      </w:r>
      <w:r w:rsidR="008355B7" w:rsidRPr="00F77E2B">
        <w:t xml:space="preserve"> </w:t>
      </w:r>
      <w:r w:rsidR="009340CE">
        <w:t>75085</w:t>
      </w:r>
    </w:p>
    <w:p w:rsidR="008E6EEB" w:rsidRPr="00F06D18" w:rsidRDefault="008E6EEB" w:rsidP="00F06D18">
      <w:pPr>
        <w:pStyle w:val="Bibliography"/>
      </w:pPr>
      <w:r w:rsidRPr="00F06D18">
        <w:rPr>
          <w:rStyle w:val="Bodytextbold"/>
        </w:rPr>
        <w:t>Bibliographic reference:</w:t>
      </w:r>
      <w:r w:rsidRPr="00F06D18">
        <w:t xml:space="preserve"> </w:t>
      </w:r>
      <w:r w:rsidR="008237BB" w:rsidRPr="00F06D18">
        <w:t xml:space="preserve">Moore, D., Hazelwood, M., Cechet, R.P., Arthur, W.C., French, I., Dunsmore, R., Sanabria, A., Yang, T., and Woolf, M., 2013. </w:t>
      </w:r>
      <w:r w:rsidR="008237BB" w:rsidRPr="00F06D18">
        <w:rPr>
          <w:rStyle w:val="Italic"/>
        </w:rPr>
        <w:t>Reforming Planning Processes Trial: Rockhampton 2050 Technical Report</w:t>
      </w:r>
      <w:r w:rsidR="00F06D18" w:rsidRPr="00F06D18">
        <w:rPr>
          <w:rStyle w:val="Italic"/>
        </w:rPr>
        <w:t xml:space="preserve"> on Current and Future Climate Hazards</w:t>
      </w:r>
      <w:r w:rsidR="008237BB" w:rsidRPr="00F06D18">
        <w:t>.</w:t>
      </w:r>
      <w:r w:rsidRPr="00F06D18">
        <w:t xml:space="preserve"> </w:t>
      </w:r>
      <w:r w:rsidR="00E8598A" w:rsidRPr="00F06D18">
        <w:t>Record</w:t>
      </w:r>
      <w:r w:rsidRPr="00F06D18">
        <w:t xml:space="preserve"> 2013/</w:t>
      </w:r>
      <w:r w:rsidR="005E2FBC">
        <w:t>15</w:t>
      </w:r>
      <w:r w:rsidRPr="00F06D18">
        <w:t>. Geoscience Australia: Canberra.</w:t>
      </w:r>
    </w:p>
    <w:p w:rsidR="008237BB" w:rsidRDefault="00225397" w:rsidP="00884478">
      <w:pPr>
        <w:pStyle w:val="BodyText"/>
      </w:pPr>
      <w:r w:rsidRPr="00884478">
        <w:t xml:space="preserve">Current as at </w:t>
      </w:r>
      <w:r w:rsidR="00A90974" w:rsidRPr="00884478">
        <w:t>April 2</w:t>
      </w:r>
      <w:r w:rsidR="00AE4A6A" w:rsidRPr="00884478">
        <w:t>,</w:t>
      </w:r>
      <w:r w:rsidRPr="00884478">
        <w:t xml:space="preserve"> 2013</w:t>
      </w:r>
    </w:p>
    <w:p w:rsidR="008237BB" w:rsidRDefault="008237BB" w:rsidP="008237BB">
      <w:pPr>
        <w:pStyle w:val="BodyText"/>
      </w:pPr>
      <w:r>
        <w:t>Thanks to those who supported this project including members of the Climate Hazards and Risk Section, the Coastal, Marine and Climate Change Group and the National Elevation Services Section at Geoscience Australia.</w:t>
      </w:r>
    </w:p>
    <w:p w:rsidR="008237BB" w:rsidRDefault="008237BB" w:rsidP="008237BB">
      <w:pPr>
        <w:pStyle w:val="BodyText"/>
        <w:sectPr w:rsidR="008237BB" w:rsidSect="00AD5572">
          <w:pgSz w:w="11907" w:h="16840" w:code="9"/>
          <w:pgMar w:top="1985" w:right="1134" w:bottom="1134" w:left="1701" w:header="720" w:footer="397" w:gutter="0"/>
          <w:pgNumType w:fmt="lowerRoman" w:start="1"/>
          <w:cols w:space="720"/>
        </w:sectPr>
      </w:pPr>
      <w:r>
        <w:t>Thanks also to Penelope-Jane Fry (Flinders Group) and Sam Williams (Rockhampton Regional Council) and Chris Buenen (Rockhampton Regional Council) for support in completing this project.</w:t>
      </w:r>
    </w:p>
    <w:p w:rsidR="008355B7" w:rsidRPr="00E176A9" w:rsidRDefault="008355B7" w:rsidP="00A03BF1">
      <w:pPr>
        <w:pStyle w:val="TOCHeading"/>
      </w:pPr>
      <w:r w:rsidRPr="00E176A9">
        <w:lastRenderedPageBreak/>
        <w:t>Contents</w:t>
      </w:r>
    </w:p>
    <w:p w:rsidR="002666CB" w:rsidRDefault="00462463">
      <w:pPr>
        <w:pStyle w:val="TOC1"/>
        <w:rPr>
          <w:rFonts w:asciiTheme="minorHAnsi" w:eastAsiaTheme="minorEastAsia" w:hAnsiTheme="minorHAnsi" w:cstheme="minorBidi"/>
          <w:sz w:val="22"/>
          <w:szCs w:val="22"/>
        </w:rPr>
      </w:pPr>
      <w:r>
        <w:fldChar w:fldCharType="begin"/>
      </w:r>
      <w:r>
        <w:instrText xml:space="preserve"> TOC \h \z \t "Heading 1,1,Heading 2,2,Heading 9,1,Head 1 no numbers,1,Head 2 no numbers,2,Heading appendix 1 base,1" </w:instrText>
      </w:r>
      <w:r>
        <w:fldChar w:fldCharType="separate"/>
      </w:r>
      <w:hyperlink w:anchor="_Toc357586059" w:history="1">
        <w:r w:rsidR="002666CB" w:rsidRPr="00F17304">
          <w:rPr>
            <w:rStyle w:val="Hyperlink"/>
          </w:rPr>
          <w:t>Glossary</w:t>
        </w:r>
        <w:r w:rsidR="002666CB">
          <w:rPr>
            <w:webHidden/>
          </w:rPr>
          <w:tab/>
        </w:r>
        <w:r w:rsidR="002666CB">
          <w:rPr>
            <w:webHidden/>
          </w:rPr>
          <w:fldChar w:fldCharType="begin"/>
        </w:r>
        <w:r w:rsidR="002666CB">
          <w:rPr>
            <w:webHidden/>
          </w:rPr>
          <w:instrText xml:space="preserve"> PAGEREF _Toc357586059 \h </w:instrText>
        </w:r>
        <w:r w:rsidR="002666CB">
          <w:rPr>
            <w:webHidden/>
          </w:rPr>
        </w:r>
        <w:r w:rsidR="002666CB">
          <w:rPr>
            <w:webHidden/>
          </w:rPr>
          <w:fldChar w:fldCharType="separate"/>
        </w:r>
        <w:r w:rsidR="002666CB">
          <w:rPr>
            <w:webHidden/>
          </w:rPr>
          <w:t>1</w:t>
        </w:r>
        <w:r w:rsidR="002666CB">
          <w:rPr>
            <w:webHidden/>
          </w:rPr>
          <w:fldChar w:fldCharType="end"/>
        </w:r>
      </w:hyperlink>
    </w:p>
    <w:p w:rsidR="002666CB" w:rsidRDefault="007F11CF">
      <w:pPr>
        <w:pStyle w:val="TOC1"/>
        <w:rPr>
          <w:rFonts w:asciiTheme="minorHAnsi" w:eastAsiaTheme="minorEastAsia" w:hAnsiTheme="minorHAnsi" w:cstheme="minorBidi"/>
          <w:sz w:val="22"/>
          <w:szCs w:val="22"/>
        </w:rPr>
      </w:pPr>
      <w:hyperlink w:anchor="_Toc357586060" w:history="1">
        <w:r w:rsidR="002666CB" w:rsidRPr="00F17304">
          <w:rPr>
            <w:rStyle w:val="Hyperlink"/>
          </w:rPr>
          <w:t>Figures</w:t>
        </w:r>
        <w:r w:rsidR="002666CB">
          <w:rPr>
            <w:webHidden/>
          </w:rPr>
          <w:tab/>
        </w:r>
        <w:r w:rsidR="002666CB">
          <w:rPr>
            <w:webHidden/>
          </w:rPr>
          <w:fldChar w:fldCharType="begin"/>
        </w:r>
        <w:r w:rsidR="002666CB">
          <w:rPr>
            <w:webHidden/>
          </w:rPr>
          <w:instrText xml:space="preserve"> PAGEREF _Toc357586060 \h </w:instrText>
        </w:r>
        <w:r w:rsidR="002666CB">
          <w:rPr>
            <w:webHidden/>
          </w:rPr>
        </w:r>
        <w:r w:rsidR="002666CB">
          <w:rPr>
            <w:webHidden/>
          </w:rPr>
          <w:fldChar w:fldCharType="separate"/>
        </w:r>
        <w:r w:rsidR="002666CB">
          <w:rPr>
            <w:webHidden/>
          </w:rPr>
          <w:t>3</w:t>
        </w:r>
        <w:r w:rsidR="002666CB">
          <w:rPr>
            <w:webHidden/>
          </w:rPr>
          <w:fldChar w:fldCharType="end"/>
        </w:r>
      </w:hyperlink>
    </w:p>
    <w:p w:rsidR="002666CB" w:rsidRDefault="007F11CF">
      <w:pPr>
        <w:pStyle w:val="TOC1"/>
        <w:rPr>
          <w:rFonts w:asciiTheme="minorHAnsi" w:eastAsiaTheme="minorEastAsia" w:hAnsiTheme="minorHAnsi" w:cstheme="minorBidi"/>
          <w:sz w:val="22"/>
          <w:szCs w:val="22"/>
        </w:rPr>
      </w:pPr>
      <w:hyperlink w:anchor="_Toc357586061" w:history="1">
        <w:r w:rsidR="002666CB" w:rsidRPr="00F17304">
          <w:rPr>
            <w:rStyle w:val="Hyperlink"/>
          </w:rPr>
          <w:t>1 Executive summary</w:t>
        </w:r>
        <w:r w:rsidR="002666CB">
          <w:rPr>
            <w:webHidden/>
          </w:rPr>
          <w:tab/>
        </w:r>
        <w:r w:rsidR="002666CB">
          <w:rPr>
            <w:webHidden/>
          </w:rPr>
          <w:fldChar w:fldCharType="begin"/>
        </w:r>
        <w:r w:rsidR="002666CB">
          <w:rPr>
            <w:webHidden/>
          </w:rPr>
          <w:instrText xml:space="preserve"> PAGEREF _Toc357586061 \h </w:instrText>
        </w:r>
        <w:r w:rsidR="002666CB">
          <w:rPr>
            <w:webHidden/>
          </w:rPr>
        </w:r>
        <w:r w:rsidR="002666CB">
          <w:rPr>
            <w:webHidden/>
          </w:rPr>
          <w:fldChar w:fldCharType="separate"/>
        </w:r>
        <w:r w:rsidR="002666CB">
          <w:rPr>
            <w:webHidden/>
          </w:rPr>
          <w:t>5</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62" w:history="1">
        <w:r w:rsidR="002666CB" w:rsidRPr="00F17304">
          <w:rPr>
            <w:rStyle w:val="Hyperlink"/>
          </w:rPr>
          <w:t>1.1 Methodology</w:t>
        </w:r>
        <w:r w:rsidR="002666CB">
          <w:rPr>
            <w:webHidden/>
          </w:rPr>
          <w:tab/>
        </w:r>
        <w:r w:rsidR="002666CB">
          <w:rPr>
            <w:webHidden/>
          </w:rPr>
          <w:fldChar w:fldCharType="begin"/>
        </w:r>
        <w:r w:rsidR="002666CB">
          <w:rPr>
            <w:webHidden/>
          </w:rPr>
          <w:instrText xml:space="preserve"> PAGEREF _Toc357586062 \h </w:instrText>
        </w:r>
        <w:r w:rsidR="002666CB">
          <w:rPr>
            <w:webHidden/>
          </w:rPr>
        </w:r>
        <w:r w:rsidR="002666CB">
          <w:rPr>
            <w:webHidden/>
          </w:rPr>
          <w:fldChar w:fldCharType="separate"/>
        </w:r>
        <w:r w:rsidR="002666CB">
          <w:rPr>
            <w:webHidden/>
          </w:rPr>
          <w:t>6</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63" w:history="1">
        <w:r w:rsidR="002666CB" w:rsidRPr="00F17304">
          <w:rPr>
            <w:rStyle w:val="Hyperlink"/>
          </w:rPr>
          <w:t>1.2 Key Findings</w:t>
        </w:r>
        <w:r w:rsidR="002666CB">
          <w:rPr>
            <w:webHidden/>
          </w:rPr>
          <w:tab/>
        </w:r>
        <w:r w:rsidR="002666CB">
          <w:rPr>
            <w:webHidden/>
          </w:rPr>
          <w:fldChar w:fldCharType="begin"/>
        </w:r>
        <w:r w:rsidR="002666CB">
          <w:rPr>
            <w:webHidden/>
          </w:rPr>
          <w:instrText xml:space="preserve"> PAGEREF _Toc357586063 \h </w:instrText>
        </w:r>
        <w:r w:rsidR="002666CB">
          <w:rPr>
            <w:webHidden/>
          </w:rPr>
        </w:r>
        <w:r w:rsidR="002666CB">
          <w:rPr>
            <w:webHidden/>
          </w:rPr>
          <w:fldChar w:fldCharType="separate"/>
        </w:r>
        <w:r w:rsidR="002666CB">
          <w:rPr>
            <w:webHidden/>
          </w:rPr>
          <w:t>7</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64" w:history="1">
        <w:r w:rsidR="002666CB" w:rsidRPr="00F17304">
          <w:rPr>
            <w:rStyle w:val="Hyperlink"/>
          </w:rPr>
          <w:t>1.3 Conclusion</w:t>
        </w:r>
        <w:r w:rsidR="002666CB">
          <w:rPr>
            <w:webHidden/>
          </w:rPr>
          <w:tab/>
        </w:r>
        <w:r w:rsidR="002666CB">
          <w:rPr>
            <w:webHidden/>
          </w:rPr>
          <w:fldChar w:fldCharType="begin"/>
        </w:r>
        <w:r w:rsidR="002666CB">
          <w:rPr>
            <w:webHidden/>
          </w:rPr>
          <w:instrText xml:space="preserve"> PAGEREF _Toc357586064 \h </w:instrText>
        </w:r>
        <w:r w:rsidR="002666CB">
          <w:rPr>
            <w:webHidden/>
          </w:rPr>
        </w:r>
        <w:r w:rsidR="002666CB">
          <w:rPr>
            <w:webHidden/>
          </w:rPr>
          <w:fldChar w:fldCharType="separate"/>
        </w:r>
        <w:r w:rsidR="002666CB">
          <w:rPr>
            <w:webHidden/>
          </w:rPr>
          <w:t>8</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65" w:history="1">
        <w:r w:rsidR="002666CB" w:rsidRPr="00F17304">
          <w:rPr>
            <w:rStyle w:val="Hyperlink"/>
          </w:rPr>
          <w:t>1.4 Uncertainty and Limitations</w:t>
        </w:r>
        <w:r w:rsidR="002666CB">
          <w:rPr>
            <w:webHidden/>
          </w:rPr>
          <w:tab/>
        </w:r>
        <w:r w:rsidR="002666CB">
          <w:rPr>
            <w:webHidden/>
          </w:rPr>
          <w:fldChar w:fldCharType="begin"/>
        </w:r>
        <w:r w:rsidR="002666CB">
          <w:rPr>
            <w:webHidden/>
          </w:rPr>
          <w:instrText xml:space="preserve"> PAGEREF _Toc357586065 \h </w:instrText>
        </w:r>
        <w:r w:rsidR="002666CB">
          <w:rPr>
            <w:webHidden/>
          </w:rPr>
        </w:r>
        <w:r w:rsidR="002666CB">
          <w:rPr>
            <w:webHidden/>
          </w:rPr>
          <w:fldChar w:fldCharType="separate"/>
        </w:r>
        <w:r w:rsidR="002666CB">
          <w:rPr>
            <w:webHidden/>
          </w:rPr>
          <w:t>8</w:t>
        </w:r>
        <w:r w:rsidR="002666CB">
          <w:rPr>
            <w:webHidden/>
          </w:rPr>
          <w:fldChar w:fldCharType="end"/>
        </w:r>
      </w:hyperlink>
    </w:p>
    <w:p w:rsidR="002666CB" w:rsidRDefault="007F11CF">
      <w:pPr>
        <w:pStyle w:val="TOC1"/>
        <w:rPr>
          <w:rFonts w:asciiTheme="minorHAnsi" w:eastAsiaTheme="minorEastAsia" w:hAnsiTheme="minorHAnsi" w:cstheme="minorBidi"/>
          <w:sz w:val="22"/>
          <w:szCs w:val="22"/>
        </w:rPr>
      </w:pPr>
      <w:hyperlink w:anchor="_Toc357586066" w:history="1">
        <w:r w:rsidR="002666CB" w:rsidRPr="00F17304">
          <w:rPr>
            <w:rStyle w:val="Hyperlink"/>
          </w:rPr>
          <w:t>2 Introduction</w:t>
        </w:r>
        <w:r w:rsidR="002666CB">
          <w:rPr>
            <w:webHidden/>
          </w:rPr>
          <w:tab/>
        </w:r>
        <w:r w:rsidR="002666CB">
          <w:rPr>
            <w:webHidden/>
          </w:rPr>
          <w:fldChar w:fldCharType="begin"/>
        </w:r>
        <w:r w:rsidR="002666CB">
          <w:rPr>
            <w:webHidden/>
          </w:rPr>
          <w:instrText xml:space="preserve"> PAGEREF _Toc357586066 \h </w:instrText>
        </w:r>
        <w:r w:rsidR="002666CB">
          <w:rPr>
            <w:webHidden/>
          </w:rPr>
        </w:r>
        <w:r w:rsidR="002666CB">
          <w:rPr>
            <w:webHidden/>
          </w:rPr>
          <w:fldChar w:fldCharType="separate"/>
        </w:r>
        <w:r w:rsidR="002666CB">
          <w:rPr>
            <w:webHidden/>
          </w:rPr>
          <w:t>9</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67" w:history="1">
        <w:r w:rsidR="002666CB" w:rsidRPr="00F17304">
          <w:rPr>
            <w:rStyle w:val="Hyperlink"/>
          </w:rPr>
          <w:t>2.1 Background</w:t>
        </w:r>
        <w:r w:rsidR="002666CB">
          <w:rPr>
            <w:webHidden/>
          </w:rPr>
          <w:tab/>
        </w:r>
        <w:r w:rsidR="002666CB">
          <w:rPr>
            <w:webHidden/>
          </w:rPr>
          <w:fldChar w:fldCharType="begin"/>
        </w:r>
        <w:r w:rsidR="002666CB">
          <w:rPr>
            <w:webHidden/>
          </w:rPr>
          <w:instrText xml:space="preserve"> PAGEREF _Toc357586067 \h </w:instrText>
        </w:r>
        <w:r w:rsidR="002666CB">
          <w:rPr>
            <w:webHidden/>
          </w:rPr>
        </w:r>
        <w:r w:rsidR="002666CB">
          <w:rPr>
            <w:webHidden/>
          </w:rPr>
          <w:fldChar w:fldCharType="separate"/>
        </w:r>
        <w:r w:rsidR="002666CB">
          <w:rPr>
            <w:webHidden/>
          </w:rPr>
          <w:t>9</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68" w:history="1">
        <w:r w:rsidR="002666CB" w:rsidRPr="00F17304">
          <w:rPr>
            <w:rStyle w:val="Hyperlink"/>
          </w:rPr>
          <w:t>2.2 Aim</w:t>
        </w:r>
        <w:r w:rsidR="002666CB">
          <w:rPr>
            <w:webHidden/>
          </w:rPr>
          <w:tab/>
        </w:r>
        <w:r w:rsidR="002666CB">
          <w:rPr>
            <w:webHidden/>
          </w:rPr>
          <w:fldChar w:fldCharType="begin"/>
        </w:r>
        <w:r w:rsidR="002666CB">
          <w:rPr>
            <w:webHidden/>
          </w:rPr>
          <w:instrText xml:space="preserve"> PAGEREF _Toc357586068 \h </w:instrText>
        </w:r>
        <w:r w:rsidR="002666CB">
          <w:rPr>
            <w:webHidden/>
          </w:rPr>
        </w:r>
        <w:r w:rsidR="002666CB">
          <w:rPr>
            <w:webHidden/>
          </w:rPr>
          <w:fldChar w:fldCharType="separate"/>
        </w:r>
        <w:r w:rsidR="002666CB">
          <w:rPr>
            <w:webHidden/>
          </w:rPr>
          <w:t>10</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69" w:history="1">
        <w:r w:rsidR="002666CB" w:rsidRPr="00F17304">
          <w:rPr>
            <w:rStyle w:val="Hyperlink"/>
          </w:rPr>
          <w:t>2.3 Study Region</w:t>
        </w:r>
        <w:r w:rsidR="002666CB">
          <w:rPr>
            <w:webHidden/>
          </w:rPr>
          <w:tab/>
        </w:r>
        <w:r w:rsidR="002666CB">
          <w:rPr>
            <w:webHidden/>
          </w:rPr>
          <w:fldChar w:fldCharType="begin"/>
        </w:r>
        <w:r w:rsidR="002666CB">
          <w:rPr>
            <w:webHidden/>
          </w:rPr>
          <w:instrText xml:space="preserve"> PAGEREF _Toc357586069 \h </w:instrText>
        </w:r>
        <w:r w:rsidR="002666CB">
          <w:rPr>
            <w:webHidden/>
          </w:rPr>
        </w:r>
        <w:r w:rsidR="002666CB">
          <w:rPr>
            <w:webHidden/>
          </w:rPr>
          <w:fldChar w:fldCharType="separate"/>
        </w:r>
        <w:r w:rsidR="002666CB">
          <w:rPr>
            <w:webHidden/>
          </w:rPr>
          <w:t>10</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70" w:history="1">
        <w:r w:rsidR="002666CB" w:rsidRPr="00F17304">
          <w:rPr>
            <w:rStyle w:val="Hyperlink"/>
          </w:rPr>
          <w:t>2.4 Future Climate in Queensland</w:t>
        </w:r>
        <w:r w:rsidR="002666CB">
          <w:rPr>
            <w:webHidden/>
          </w:rPr>
          <w:tab/>
        </w:r>
        <w:r w:rsidR="002666CB">
          <w:rPr>
            <w:webHidden/>
          </w:rPr>
          <w:fldChar w:fldCharType="begin"/>
        </w:r>
        <w:r w:rsidR="002666CB">
          <w:rPr>
            <w:webHidden/>
          </w:rPr>
          <w:instrText xml:space="preserve"> PAGEREF _Toc357586070 \h </w:instrText>
        </w:r>
        <w:r w:rsidR="002666CB">
          <w:rPr>
            <w:webHidden/>
          </w:rPr>
        </w:r>
        <w:r w:rsidR="002666CB">
          <w:rPr>
            <w:webHidden/>
          </w:rPr>
          <w:fldChar w:fldCharType="separate"/>
        </w:r>
        <w:r w:rsidR="002666CB">
          <w:rPr>
            <w:webHidden/>
          </w:rPr>
          <w:t>12</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71" w:history="1">
        <w:r w:rsidR="002666CB" w:rsidRPr="00F17304">
          <w:rPr>
            <w:rStyle w:val="Hyperlink"/>
          </w:rPr>
          <w:t>2.5 Future-Climate Hazard Modelling</w:t>
        </w:r>
        <w:r w:rsidR="002666CB">
          <w:rPr>
            <w:webHidden/>
          </w:rPr>
          <w:tab/>
        </w:r>
        <w:r w:rsidR="002666CB">
          <w:rPr>
            <w:webHidden/>
          </w:rPr>
          <w:fldChar w:fldCharType="begin"/>
        </w:r>
        <w:r w:rsidR="002666CB">
          <w:rPr>
            <w:webHidden/>
          </w:rPr>
          <w:instrText xml:space="preserve"> PAGEREF _Toc357586071 \h </w:instrText>
        </w:r>
        <w:r w:rsidR="002666CB">
          <w:rPr>
            <w:webHidden/>
          </w:rPr>
        </w:r>
        <w:r w:rsidR="002666CB">
          <w:rPr>
            <w:webHidden/>
          </w:rPr>
          <w:fldChar w:fldCharType="separate"/>
        </w:r>
        <w:r w:rsidR="002666CB">
          <w:rPr>
            <w:webHidden/>
          </w:rPr>
          <w:t>13</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72" w:history="1">
        <w:r w:rsidR="002666CB" w:rsidRPr="00F17304">
          <w:rPr>
            <w:rStyle w:val="Hyperlink"/>
          </w:rPr>
          <w:t>2.6 Report Structure</w:t>
        </w:r>
        <w:r w:rsidR="002666CB">
          <w:rPr>
            <w:webHidden/>
          </w:rPr>
          <w:tab/>
        </w:r>
        <w:r w:rsidR="002666CB">
          <w:rPr>
            <w:webHidden/>
          </w:rPr>
          <w:fldChar w:fldCharType="begin"/>
        </w:r>
        <w:r w:rsidR="002666CB">
          <w:rPr>
            <w:webHidden/>
          </w:rPr>
          <w:instrText xml:space="preserve"> PAGEREF _Toc357586072 \h </w:instrText>
        </w:r>
        <w:r w:rsidR="002666CB">
          <w:rPr>
            <w:webHidden/>
          </w:rPr>
        </w:r>
        <w:r w:rsidR="002666CB">
          <w:rPr>
            <w:webHidden/>
          </w:rPr>
          <w:fldChar w:fldCharType="separate"/>
        </w:r>
        <w:r w:rsidR="002666CB">
          <w:rPr>
            <w:webHidden/>
          </w:rPr>
          <w:t>14</w:t>
        </w:r>
        <w:r w:rsidR="002666CB">
          <w:rPr>
            <w:webHidden/>
          </w:rPr>
          <w:fldChar w:fldCharType="end"/>
        </w:r>
      </w:hyperlink>
    </w:p>
    <w:p w:rsidR="002666CB" w:rsidRDefault="007F11CF">
      <w:pPr>
        <w:pStyle w:val="TOC1"/>
        <w:rPr>
          <w:rFonts w:asciiTheme="minorHAnsi" w:eastAsiaTheme="minorEastAsia" w:hAnsiTheme="minorHAnsi" w:cstheme="minorBidi"/>
          <w:sz w:val="22"/>
          <w:szCs w:val="22"/>
        </w:rPr>
      </w:pPr>
      <w:hyperlink w:anchor="_Toc357586073" w:history="1">
        <w:r w:rsidR="002666CB" w:rsidRPr="00F17304">
          <w:rPr>
            <w:rStyle w:val="Hyperlink"/>
          </w:rPr>
          <w:t>3 Tropical Cyclone Wind</w:t>
        </w:r>
        <w:r w:rsidR="002666CB">
          <w:rPr>
            <w:webHidden/>
          </w:rPr>
          <w:tab/>
        </w:r>
        <w:r w:rsidR="002666CB">
          <w:rPr>
            <w:webHidden/>
          </w:rPr>
          <w:fldChar w:fldCharType="begin"/>
        </w:r>
        <w:r w:rsidR="002666CB">
          <w:rPr>
            <w:webHidden/>
          </w:rPr>
          <w:instrText xml:space="preserve"> PAGEREF _Toc357586073 \h </w:instrText>
        </w:r>
        <w:r w:rsidR="002666CB">
          <w:rPr>
            <w:webHidden/>
          </w:rPr>
        </w:r>
        <w:r w:rsidR="002666CB">
          <w:rPr>
            <w:webHidden/>
          </w:rPr>
          <w:fldChar w:fldCharType="separate"/>
        </w:r>
        <w:r w:rsidR="002666CB">
          <w:rPr>
            <w:webHidden/>
          </w:rPr>
          <w:t>15</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74" w:history="1">
        <w:r w:rsidR="002666CB" w:rsidRPr="00F17304">
          <w:rPr>
            <w:rStyle w:val="Hyperlink"/>
          </w:rPr>
          <w:t>3.1 Method</w:t>
        </w:r>
        <w:r w:rsidR="002666CB">
          <w:rPr>
            <w:webHidden/>
          </w:rPr>
          <w:tab/>
        </w:r>
        <w:r w:rsidR="002666CB">
          <w:rPr>
            <w:webHidden/>
          </w:rPr>
          <w:fldChar w:fldCharType="begin"/>
        </w:r>
        <w:r w:rsidR="002666CB">
          <w:rPr>
            <w:webHidden/>
          </w:rPr>
          <w:instrText xml:space="preserve"> PAGEREF _Toc357586074 \h </w:instrText>
        </w:r>
        <w:r w:rsidR="002666CB">
          <w:rPr>
            <w:webHidden/>
          </w:rPr>
        </w:r>
        <w:r w:rsidR="002666CB">
          <w:rPr>
            <w:webHidden/>
          </w:rPr>
          <w:fldChar w:fldCharType="separate"/>
        </w:r>
        <w:r w:rsidR="002666CB">
          <w:rPr>
            <w:webHidden/>
          </w:rPr>
          <w:t>15</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75" w:history="1">
        <w:r w:rsidR="002666CB" w:rsidRPr="00F17304">
          <w:rPr>
            <w:rStyle w:val="Hyperlink"/>
          </w:rPr>
          <w:t>3.2 Results</w:t>
        </w:r>
        <w:r w:rsidR="002666CB">
          <w:rPr>
            <w:webHidden/>
          </w:rPr>
          <w:tab/>
        </w:r>
        <w:r w:rsidR="002666CB">
          <w:rPr>
            <w:webHidden/>
          </w:rPr>
          <w:fldChar w:fldCharType="begin"/>
        </w:r>
        <w:r w:rsidR="002666CB">
          <w:rPr>
            <w:webHidden/>
          </w:rPr>
          <w:instrText xml:space="preserve"> PAGEREF _Toc357586075 \h </w:instrText>
        </w:r>
        <w:r w:rsidR="002666CB">
          <w:rPr>
            <w:webHidden/>
          </w:rPr>
        </w:r>
        <w:r w:rsidR="002666CB">
          <w:rPr>
            <w:webHidden/>
          </w:rPr>
          <w:fldChar w:fldCharType="separate"/>
        </w:r>
        <w:r w:rsidR="002666CB">
          <w:rPr>
            <w:webHidden/>
          </w:rPr>
          <w:t>15</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76" w:history="1">
        <w:r w:rsidR="002666CB" w:rsidRPr="00F17304">
          <w:rPr>
            <w:rStyle w:val="Hyperlink"/>
          </w:rPr>
          <w:t>3.3 Discussion</w:t>
        </w:r>
        <w:r w:rsidR="002666CB">
          <w:rPr>
            <w:webHidden/>
          </w:rPr>
          <w:tab/>
        </w:r>
        <w:r w:rsidR="002666CB">
          <w:rPr>
            <w:webHidden/>
          </w:rPr>
          <w:fldChar w:fldCharType="begin"/>
        </w:r>
        <w:r w:rsidR="002666CB">
          <w:rPr>
            <w:webHidden/>
          </w:rPr>
          <w:instrText xml:space="preserve"> PAGEREF _Toc357586076 \h </w:instrText>
        </w:r>
        <w:r w:rsidR="002666CB">
          <w:rPr>
            <w:webHidden/>
          </w:rPr>
        </w:r>
        <w:r w:rsidR="002666CB">
          <w:rPr>
            <w:webHidden/>
          </w:rPr>
          <w:fldChar w:fldCharType="separate"/>
        </w:r>
        <w:r w:rsidR="002666CB">
          <w:rPr>
            <w:webHidden/>
          </w:rPr>
          <w:t>17</w:t>
        </w:r>
        <w:r w:rsidR="002666CB">
          <w:rPr>
            <w:webHidden/>
          </w:rPr>
          <w:fldChar w:fldCharType="end"/>
        </w:r>
      </w:hyperlink>
    </w:p>
    <w:p w:rsidR="002666CB" w:rsidRDefault="007F11CF">
      <w:pPr>
        <w:pStyle w:val="TOC1"/>
        <w:rPr>
          <w:rFonts w:asciiTheme="minorHAnsi" w:eastAsiaTheme="minorEastAsia" w:hAnsiTheme="minorHAnsi" w:cstheme="minorBidi"/>
          <w:sz w:val="22"/>
          <w:szCs w:val="22"/>
        </w:rPr>
      </w:pPr>
      <w:hyperlink w:anchor="_Toc357586077" w:history="1">
        <w:r w:rsidR="002666CB" w:rsidRPr="00F17304">
          <w:rPr>
            <w:rStyle w:val="Hyperlink"/>
          </w:rPr>
          <w:t>4 Bushfire</w:t>
        </w:r>
        <w:r w:rsidR="002666CB">
          <w:rPr>
            <w:webHidden/>
          </w:rPr>
          <w:tab/>
        </w:r>
        <w:r w:rsidR="002666CB">
          <w:rPr>
            <w:webHidden/>
          </w:rPr>
          <w:fldChar w:fldCharType="begin"/>
        </w:r>
        <w:r w:rsidR="002666CB">
          <w:rPr>
            <w:webHidden/>
          </w:rPr>
          <w:instrText xml:space="preserve"> PAGEREF _Toc357586077 \h </w:instrText>
        </w:r>
        <w:r w:rsidR="002666CB">
          <w:rPr>
            <w:webHidden/>
          </w:rPr>
        </w:r>
        <w:r w:rsidR="002666CB">
          <w:rPr>
            <w:webHidden/>
          </w:rPr>
          <w:fldChar w:fldCharType="separate"/>
        </w:r>
        <w:r w:rsidR="002666CB">
          <w:rPr>
            <w:webHidden/>
          </w:rPr>
          <w:t>19</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78" w:history="1">
        <w:r w:rsidR="002666CB" w:rsidRPr="00F17304">
          <w:rPr>
            <w:rStyle w:val="Hyperlink"/>
          </w:rPr>
          <w:t>4.1 Method</w:t>
        </w:r>
        <w:r w:rsidR="002666CB">
          <w:rPr>
            <w:webHidden/>
          </w:rPr>
          <w:tab/>
        </w:r>
        <w:r w:rsidR="002666CB">
          <w:rPr>
            <w:webHidden/>
          </w:rPr>
          <w:fldChar w:fldCharType="begin"/>
        </w:r>
        <w:r w:rsidR="002666CB">
          <w:rPr>
            <w:webHidden/>
          </w:rPr>
          <w:instrText xml:space="preserve"> PAGEREF _Toc357586078 \h </w:instrText>
        </w:r>
        <w:r w:rsidR="002666CB">
          <w:rPr>
            <w:webHidden/>
          </w:rPr>
        </w:r>
        <w:r w:rsidR="002666CB">
          <w:rPr>
            <w:webHidden/>
          </w:rPr>
          <w:fldChar w:fldCharType="separate"/>
        </w:r>
        <w:r w:rsidR="002666CB">
          <w:rPr>
            <w:webHidden/>
          </w:rPr>
          <w:t>19</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79" w:history="1">
        <w:r w:rsidR="002666CB" w:rsidRPr="00F17304">
          <w:rPr>
            <w:rStyle w:val="Hyperlink"/>
          </w:rPr>
          <w:t>4.2 Results/discussion</w:t>
        </w:r>
        <w:r w:rsidR="002666CB">
          <w:rPr>
            <w:webHidden/>
          </w:rPr>
          <w:tab/>
        </w:r>
        <w:r w:rsidR="002666CB">
          <w:rPr>
            <w:webHidden/>
          </w:rPr>
          <w:fldChar w:fldCharType="begin"/>
        </w:r>
        <w:r w:rsidR="002666CB">
          <w:rPr>
            <w:webHidden/>
          </w:rPr>
          <w:instrText xml:space="preserve"> PAGEREF _Toc357586079 \h </w:instrText>
        </w:r>
        <w:r w:rsidR="002666CB">
          <w:rPr>
            <w:webHidden/>
          </w:rPr>
        </w:r>
        <w:r w:rsidR="002666CB">
          <w:rPr>
            <w:webHidden/>
          </w:rPr>
          <w:fldChar w:fldCharType="separate"/>
        </w:r>
        <w:r w:rsidR="002666CB">
          <w:rPr>
            <w:webHidden/>
          </w:rPr>
          <w:t>20</w:t>
        </w:r>
        <w:r w:rsidR="002666CB">
          <w:rPr>
            <w:webHidden/>
          </w:rPr>
          <w:fldChar w:fldCharType="end"/>
        </w:r>
      </w:hyperlink>
    </w:p>
    <w:p w:rsidR="002666CB" w:rsidRDefault="007F11CF">
      <w:pPr>
        <w:pStyle w:val="TOC1"/>
        <w:rPr>
          <w:rFonts w:asciiTheme="minorHAnsi" w:eastAsiaTheme="minorEastAsia" w:hAnsiTheme="minorHAnsi" w:cstheme="minorBidi"/>
          <w:sz w:val="22"/>
          <w:szCs w:val="22"/>
        </w:rPr>
      </w:pPr>
      <w:hyperlink w:anchor="_Toc357586080" w:history="1">
        <w:r w:rsidR="002666CB" w:rsidRPr="00F17304">
          <w:rPr>
            <w:rStyle w:val="Hyperlink"/>
          </w:rPr>
          <w:t>5 Storm tide</w:t>
        </w:r>
        <w:r w:rsidR="002666CB">
          <w:rPr>
            <w:webHidden/>
          </w:rPr>
          <w:tab/>
        </w:r>
        <w:r w:rsidR="002666CB">
          <w:rPr>
            <w:webHidden/>
          </w:rPr>
          <w:fldChar w:fldCharType="begin"/>
        </w:r>
        <w:r w:rsidR="002666CB">
          <w:rPr>
            <w:webHidden/>
          </w:rPr>
          <w:instrText xml:space="preserve"> PAGEREF _Toc357586080 \h </w:instrText>
        </w:r>
        <w:r w:rsidR="002666CB">
          <w:rPr>
            <w:webHidden/>
          </w:rPr>
        </w:r>
        <w:r w:rsidR="002666CB">
          <w:rPr>
            <w:webHidden/>
          </w:rPr>
          <w:fldChar w:fldCharType="separate"/>
        </w:r>
        <w:r w:rsidR="002666CB">
          <w:rPr>
            <w:webHidden/>
          </w:rPr>
          <w:t>23</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81" w:history="1">
        <w:r w:rsidR="002666CB" w:rsidRPr="00F17304">
          <w:rPr>
            <w:rStyle w:val="Hyperlink"/>
          </w:rPr>
          <w:t>5.1 Method</w:t>
        </w:r>
        <w:r w:rsidR="002666CB">
          <w:rPr>
            <w:webHidden/>
          </w:rPr>
          <w:tab/>
        </w:r>
        <w:r w:rsidR="002666CB">
          <w:rPr>
            <w:webHidden/>
          </w:rPr>
          <w:fldChar w:fldCharType="begin"/>
        </w:r>
        <w:r w:rsidR="002666CB">
          <w:rPr>
            <w:webHidden/>
          </w:rPr>
          <w:instrText xml:space="preserve"> PAGEREF _Toc357586081 \h </w:instrText>
        </w:r>
        <w:r w:rsidR="002666CB">
          <w:rPr>
            <w:webHidden/>
          </w:rPr>
        </w:r>
        <w:r w:rsidR="002666CB">
          <w:rPr>
            <w:webHidden/>
          </w:rPr>
          <w:fldChar w:fldCharType="separate"/>
        </w:r>
        <w:r w:rsidR="002666CB">
          <w:rPr>
            <w:webHidden/>
          </w:rPr>
          <w:t>23</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82" w:history="1">
        <w:r w:rsidR="002666CB" w:rsidRPr="00F17304">
          <w:rPr>
            <w:rStyle w:val="Hyperlink"/>
          </w:rPr>
          <w:t>5.2 Results</w:t>
        </w:r>
        <w:r w:rsidR="002666CB">
          <w:rPr>
            <w:webHidden/>
          </w:rPr>
          <w:tab/>
        </w:r>
        <w:r w:rsidR="002666CB">
          <w:rPr>
            <w:webHidden/>
          </w:rPr>
          <w:fldChar w:fldCharType="begin"/>
        </w:r>
        <w:r w:rsidR="002666CB">
          <w:rPr>
            <w:webHidden/>
          </w:rPr>
          <w:instrText xml:space="preserve"> PAGEREF _Toc357586082 \h </w:instrText>
        </w:r>
        <w:r w:rsidR="002666CB">
          <w:rPr>
            <w:webHidden/>
          </w:rPr>
        </w:r>
        <w:r w:rsidR="002666CB">
          <w:rPr>
            <w:webHidden/>
          </w:rPr>
          <w:fldChar w:fldCharType="separate"/>
        </w:r>
        <w:r w:rsidR="002666CB">
          <w:rPr>
            <w:webHidden/>
          </w:rPr>
          <w:t>24</w:t>
        </w:r>
        <w:r w:rsidR="002666CB">
          <w:rPr>
            <w:webHidden/>
          </w:rPr>
          <w:fldChar w:fldCharType="end"/>
        </w:r>
      </w:hyperlink>
    </w:p>
    <w:p w:rsidR="002666CB" w:rsidRDefault="007F11CF">
      <w:pPr>
        <w:pStyle w:val="TOC1"/>
        <w:rPr>
          <w:rFonts w:asciiTheme="minorHAnsi" w:eastAsiaTheme="minorEastAsia" w:hAnsiTheme="minorHAnsi" w:cstheme="minorBidi"/>
          <w:sz w:val="22"/>
          <w:szCs w:val="22"/>
        </w:rPr>
      </w:pPr>
      <w:hyperlink w:anchor="_Toc357586083" w:history="1">
        <w:r w:rsidR="002666CB" w:rsidRPr="00F17304">
          <w:rPr>
            <w:rStyle w:val="Hyperlink"/>
          </w:rPr>
          <w:t>6 Coastal Erosion</w:t>
        </w:r>
        <w:r w:rsidR="002666CB">
          <w:rPr>
            <w:webHidden/>
          </w:rPr>
          <w:tab/>
        </w:r>
        <w:r w:rsidR="002666CB">
          <w:rPr>
            <w:webHidden/>
          </w:rPr>
          <w:fldChar w:fldCharType="begin"/>
        </w:r>
        <w:r w:rsidR="002666CB">
          <w:rPr>
            <w:webHidden/>
          </w:rPr>
          <w:instrText xml:space="preserve"> PAGEREF _Toc357586083 \h </w:instrText>
        </w:r>
        <w:r w:rsidR="002666CB">
          <w:rPr>
            <w:webHidden/>
          </w:rPr>
        </w:r>
        <w:r w:rsidR="002666CB">
          <w:rPr>
            <w:webHidden/>
          </w:rPr>
          <w:fldChar w:fldCharType="separate"/>
        </w:r>
        <w:r w:rsidR="002666CB">
          <w:rPr>
            <w:webHidden/>
          </w:rPr>
          <w:t>27</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84" w:history="1">
        <w:r w:rsidR="002666CB" w:rsidRPr="00F17304">
          <w:rPr>
            <w:rStyle w:val="Hyperlink"/>
          </w:rPr>
          <w:t>6.1 Method</w:t>
        </w:r>
        <w:r w:rsidR="002666CB">
          <w:rPr>
            <w:webHidden/>
          </w:rPr>
          <w:tab/>
        </w:r>
        <w:r w:rsidR="002666CB">
          <w:rPr>
            <w:webHidden/>
          </w:rPr>
          <w:fldChar w:fldCharType="begin"/>
        </w:r>
        <w:r w:rsidR="002666CB">
          <w:rPr>
            <w:webHidden/>
          </w:rPr>
          <w:instrText xml:space="preserve"> PAGEREF _Toc357586084 \h </w:instrText>
        </w:r>
        <w:r w:rsidR="002666CB">
          <w:rPr>
            <w:webHidden/>
          </w:rPr>
        </w:r>
        <w:r w:rsidR="002666CB">
          <w:rPr>
            <w:webHidden/>
          </w:rPr>
          <w:fldChar w:fldCharType="separate"/>
        </w:r>
        <w:r w:rsidR="002666CB">
          <w:rPr>
            <w:webHidden/>
          </w:rPr>
          <w:t>27</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85" w:history="1">
        <w:r w:rsidR="002666CB" w:rsidRPr="00F17304">
          <w:rPr>
            <w:rStyle w:val="Hyperlink"/>
          </w:rPr>
          <w:t>6.2 Results</w:t>
        </w:r>
        <w:r w:rsidR="002666CB">
          <w:rPr>
            <w:webHidden/>
          </w:rPr>
          <w:tab/>
        </w:r>
        <w:r w:rsidR="002666CB">
          <w:rPr>
            <w:webHidden/>
          </w:rPr>
          <w:fldChar w:fldCharType="begin"/>
        </w:r>
        <w:r w:rsidR="002666CB">
          <w:rPr>
            <w:webHidden/>
          </w:rPr>
          <w:instrText xml:space="preserve"> PAGEREF _Toc357586085 \h </w:instrText>
        </w:r>
        <w:r w:rsidR="002666CB">
          <w:rPr>
            <w:webHidden/>
          </w:rPr>
        </w:r>
        <w:r w:rsidR="002666CB">
          <w:rPr>
            <w:webHidden/>
          </w:rPr>
          <w:fldChar w:fldCharType="separate"/>
        </w:r>
        <w:r w:rsidR="002666CB">
          <w:rPr>
            <w:webHidden/>
          </w:rPr>
          <w:t>29</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86" w:history="1">
        <w:r w:rsidR="002666CB" w:rsidRPr="00F17304">
          <w:rPr>
            <w:rStyle w:val="Hyperlink"/>
          </w:rPr>
          <w:t>6.3 Discussion</w:t>
        </w:r>
        <w:r w:rsidR="002666CB">
          <w:rPr>
            <w:webHidden/>
          </w:rPr>
          <w:tab/>
        </w:r>
        <w:r w:rsidR="002666CB">
          <w:rPr>
            <w:webHidden/>
          </w:rPr>
          <w:fldChar w:fldCharType="begin"/>
        </w:r>
        <w:r w:rsidR="002666CB">
          <w:rPr>
            <w:webHidden/>
          </w:rPr>
          <w:instrText xml:space="preserve"> PAGEREF _Toc357586086 \h </w:instrText>
        </w:r>
        <w:r w:rsidR="002666CB">
          <w:rPr>
            <w:webHidden/>
          </w:rPr>
        </w:r>
        <w:r w:rsidR="002666CB">
          <w:rPr>
            <w:webHidden/>
          </w:rPr>
          <w:fldChar w:fldCharType="separate"/>
        </w:r>
        <w:r w:rsidR="002666CB">
          <w:rPr>
            <w:webHidden/>
          </w:rPr>
          <w:t>29</w:t>
        </w:r>
        <w:r w:rsidR="002666CB">
          <w:rPr>
            <w:webHidden/>
          </w:rPr>
          <w:fldChar w:fldCharType="end"/>
        </w:r>
      </w:hyperlink>
    </w:p>
    <w:p w:rsidR="002666CB" w:rsidRDefault="007F11CF">
      <w:pPr>
        <w:pStyle w:val="TOC1"/>
        <w:rPr>
          <w:rFonts w:asciiTheme="minorHAnsi" w:eastAsiaTheme="minorEastAsia" w:hAnsiTheme="minorHAnsi" w:cstheme="minorBidi"/>
          <w:sz w:val="22"/>
          <w:szCs w:val="22"/>
        </w:rPr>
      </w:pPr>
      <w:hyperlink w:anchor="_Toc357586087" w:history="1">
        <w:r w:rsidR="002666CB" w:rsidRPr="00F17304">
          <w:rPr>
            <w:rStyle w:val="Hyperlink"/>
          </w:rPr>
          <w:t>7 Sea-level Rise</w:t>
        </w:r>
        <w:r w:rsidR="002666CB">
          <w:rPr>
            <w:webHidden/>
          </w:rPr>
          <w:tab/>
        </w:r>
        <w:r w:rsidR="002666CB">
          <w:rPr>
            <w:webHidden/>
          </w:rPr>
          <w:fldChar w:fldCharType="begin"/>
        </w:r>
        <w:r w:rsidR="002666CB">
          <w:rPr>
            <w:webHidden/>
          </w:rPr>
          <w:instrText xml:space="preserve"> PAGEREF _Toc357586087 \h </w:instrText>
        </w:r>
        <w:r w:rsidR="002666CB">
          <w:rPr>
            <w:webHidden/>
          </w:rPr>
        </w:r>
        <w:r w:rsidR="002666CB">
          <w:rPr>
            <w:webHidden/>
          </w:rPr>
          <w:fldChar w:fldCharType="separate"/>
        </w:r>
        <w:r w:rsidR="002666CB">
          <w:rPr>
            <w:webHidden/>
          </w:rPr>
          <w:t>31</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88" w:history="1">
        <w:r w:rsidR="002666CB" w:rsidRPr="00F17304">
          <w:rPr>
            <w:rStyle w:val="Hyperlink"/>
          </w:rPr>
          <w:t>7.1 Method</w:t>
        </w:r>
        <w:r w:rsidR="002666CB">
          <w:rPr>
            <w:webHidden/>
          </w:rPr>
          <w:tab/>
        </w:r>
        <w:r w:rsidR="002666CB">
          <w:rPr>
            <w:webHidden/>
          </w:rPr>
          <w:fldChar w:fldCharType="begin"/>
        </w:r>
        <w:r w:rsidR="002666CB">
          <w:rPr>
            <w:webHidden/>
          </w:rPr>
          <w:instrText xml:space="preserve"> PAGEREF _Toc357586088 \h </w:instrText>
        </w:r>
        <w:r w:rsidR="002666CB">
          <w:rPr>
            <w:webHidden/>
          </w:rPr>
        </w:r>
        <w:r w:rsidR="002666CB">
          <w:rPr>
            <w:webHidden/>
          </w:rPr>
          <w:fldChar w:fldCharType="separate"/>
        </w:r>
        <w:r w:rsidR="002666CB">
          <w:rPr>
            <w:webHidden/>
          </w:rPr>
          <w:t>31</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89" w:history="1">
        <w:r w:rsidR="002666CB" w:rsidRPr="00F17304">
          <w:rPr>
            <w:rStyle w:val="Hyperlink"/>
          </w:rPr>
          <w:t>7.2 Results/Discussion</w:t>
        </w:r>
        <w:r w:rsidR="002666CB">
          <w:rPr>
            <w:webHidden/>
          </w:rPr>
          <w:tab/>
        </w:r>
        <w:r w:rsidR="002666CB">
          <w:rPr>
            <w:webHidden/>
          </w:rPr>
          <w:fldChar w:fldCharType="begin"/>
        </w:r>
        <w:r w:rsidR="002666CB">
          <w:rPr>
            <w:webHidden/>
          </w:rPr>
          <w:instrText xml:space="preserve"> PAGEREF _Toc357586089 \h </w:instrText>
        </w:r>
        <w:r w:rsidR="002666CB">
          <w:rPr>
            <w:webHidden/>
          </w:rPr>
        </w:r>
        <w:r w:rsidR="002666CB">
          <w:rPr>
            <w:webHidden/>
          </w:rPr>
          <w:fldChar w:fldCharType="separate"/>
        </w:r>
        <w:r w:rsidR="002666CB">
          <w:rPr>
            <w:webHidden/>
          </w:rPr>
          <w:t>32</w:t>
        </w:r>
        <w:r w:rsidR="002666CB">
          <w:rPr>
            <w:webHidden/>
          </w:rPr>
          <w:fldChar w:fldCharType="end"/>
        </w:r>
      </w:hyperlink>
    </w:p>
    <w:p w:rsidR="002666CB" w:rsidRDefault="007F11CF">
      <w:pPr>
        <w:pStyle w:val="TOC1"/>
        <w:rPr>
          <w:rFonts w:asciiTheme="minorHAnsi" w:eastAsiaTheme="minorEastAsia" w:hAnsiTheme="minorHAnsi" w:cstheme="minorBidi"/>
          <w:sz w:val="22"/>
          <w:szCs w:val="22"/>
        </w:rPr>
      </w:pPr>
      <w:hyperlink w:anchor="_Toc357586090" w:history="1">
        <w:r w:rsidR="002666CB" w:rsidRPr="00F17304">
          <w:rPr>
            <w:rStyle w:val="Hyperlink"/>
          </w:rPr>
          <w:t>8 Discussion (all hazards)</w:t>
        </w:r>
        <w:r w:rsidR="002666CB">
          <w:rPr>
            <w:webHidden/>
          </w:rPr>
          <w:tab/>
        </w:r>
        <w:r w:rsidR="002666CB">
          <w:rPr>
            <w:webHidden/>
          </w:rPr>
          <w:fldChar w:fldCharType="begin"/>
        </w:r>
        <w:r w:rsidR="002666CB">
          <w:rPr>
            <w:webHidden/>
          </w:rPr>
          <w:instrText xml:space="preserve"> PAGEREF _Toc357586090 \h </w:instrText>
        </w:r>
        <w:r w:rsidR="002666CB">
          <w:rPr>
            <w:webHidden/>
          </w:rPr>
        </w:r>
        <w:r w:rsidR="002666CB">
          <w:rPr>
            <w:webHidden/>
          </w:rPr>
          <w:fldChar w:fldCharType="separate"/>
        </w:r>
        <w:r w:rsidR="002666CB">
          <w:rPr>
            <w:webHidden/>
          </w:rPr>
          <w:t>33</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91" w:history="1">
        <w:r w:rsidR="002666CB" w:rsidRPr="00F17304">
          <w:rPr>
            <w:rStyle w:val="Hyperlink"/>
          </w:rPr>
          <w:t>8.1 Study Limitations</w:t>
        </w:r>
        <w:r w:rsidR="002666CB">
          <w:rPr>
            <w:webHidden/>
          </w:rPr>
          <w:tab/>
        </w:r>
        <w:r w:rsidR="002666CB">
          <w:rPr>
            <w:webHidden/>
          </w:rPr>
          <w:fldChar w:fldCharType="begin"/>
        </w:r>
        <w:r w:rsidR="002666CB">
          <w:rPr>
            <w:webHidden/>
          </w:rPr>
          <w:instrText xml:space="preserve"> PAGEREF _Toc357586091 \h </w:instrText>
        </w:r>
        <w:r w:rsidR="002666CB">
          <w:rPr>
            <w:webHidden/>
          </w:rPr>
        </w:r>
        <w:r w:rsidR="002666CB">
          <w:rPr>
            <w:webHidden/>
          </w:rPr>
          <w:fldChar w:fldCharType="separate"/>
        </w:r>
        <w:r w:rsidR="002666CB">
          <w:rPr>
            <w:webHidden/>
          </w:rPr>
          <w:t>34</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92" w:history="1">
        <w:r w:rsidR="002666CB" w:rsidRPr="00F17304">
          <w:rPr>
            <w:rStyle w:val="Hyperlink"/>
          </w:rPr>
          <w:t>8.2 Treatment of Uncertainty</w:t>
        </w:r>
        <w:r w:rsidR="002666CB">
          <w:rPr>
            <w:webHidden/>
          </w:rPr>
          <w:tab/>
        </w:r>
        <w:r w:rsidR="002666CB">
          <w:rPr>
            <w:webHidden/>
          </w:rPr>
          <w:fldChar w:fldCharType="begin"/>
        </w:r>
        <w:r w:rsidR="002666CB">
          <w:rPr>
            <w:webHidden/>
          </w:rPr>
          <w:instrText xml:space="preserve"> PAGEREF _Toc357586092 \h </w:instrText>
        </w:r>
        <w:r w:rsidR="002666CB">
          <w:rPr>
            <w:webHidden/>
          </w:rPr>
        </w:r>
        <w:r w:rsidR="002666CB">
          <w:rPr>
            <w:webHidden/>
          </w:rPr>
          <w:fldChar w:fldCharType="separate"/>
        </w:r>
        <w:r w:rsidR="002666CB">
          <w:rPr>
            <w:webHidden/>
          </w:rPr>
          <w:t>34</w:t>
        </w:r>
        <w:r w:rsidR="002666CB">
          <w:rPr>
            <w:webHidden/>
          </w:rPr>
          <w:fldChar w:fldCharType="end"/>
        </w:r>
      </w:hyperlink>
    </w:p>
    <w:p w:rsidR="002666CB" w:rsidRDefault="007F11CF">
      <w:pPr>
        <w:pStyle w:val="TOC2"/>
        <w:rPr>
          <w:rFonts w:asciiTheme="minorHAnsi" w:eastAsiaTheme="minorEastAsia" w:hAnsiTheme="minorHAnsi" w:cstheme="minorBidi"/>
          <w:sz w:val="22"/>
          <w:szCs w:val="22"/>
        </w:rPr>
      </w:pPr>
      <w:hyperlink w:anchor="_Toc357586093" w:history="1">
        <w:r w:rsidR="002666CB" w:rsidRPr="00F17304">
          <w:rPr>
            <w:rStyle w:val="Hyperlink"/>
          </w:rPr>
          <w:t>8.3 Future Work</w:t>
        </w:r>
        <w:r w:rsidR="002666CB">
          <w:rPr>
            <w:webHidden/>
          </w:rPr>
          <w:tab/>
        </w:r>
        <w:r w:rsidR="002666CB">
          <w:rPr>
            <w:webHidden/>
          </w:rPr>
          <w:fldChar w:fldCharType="begin"/>
        </w:r>
        <w:r w:rsidR="002666CB">
          <w:rPr>
            <w:webHidden/>
          </w:rPr>
          <w:instrText xml:space="preserve"> PAGEREF _Toc357586093 \h </w:instrText>
        </w:r>
        <w:r w:rsidR="002666CB">
          <w:rPr>
            <w:webHidden/>
          </w:rPr>
        </w:r>
        <w:r w:rsidR="002666CB">
          <w:rPr>
            <w:webHidden/>
          </w:rPr>
          <w:fldChar w:fldCharType="separate"/>
        </w:r>
        <w:r w:rsidR="002666CB">
          <w:rPr>
            <w:webHidden/>
          </w:rPr>
          <w:t>36</w:t>
        </w:r>
        <w:r w:rsidR="002666CB">
          <w:rPr>
            <w:webHidden/>
          </w:rPr>
          <w:fldChar w:fldCharType="end"/>
        </w:r>
      </w:hyperlink>
    </w:p>
    <w:p w:rsidR="002666CB" w:rsidRDefault="007F11CF">
      <w:pPr>
        <w:pStyle w:val="TOC1"/>
        <w:rPr>
          <w:rFonts w:asciiTheme="minorHAnsi" w:eastAsiaTheme="minorEastAsia" w:hAnsiTheme="minorHAnsi" w:cstheme="minorBidi"/>
          <w:sz w:val="22"/>
          <w:szCs w:val="22"/>
        </w:rPr>
      </w:pPr>
      <w:hyperlink w:anchor="_Toc357586094" w:history="1">
        <w:r w:rsidR="002666CB" w:rsidRPr="00F17304">
          <w:rPr>
            <w:rStyle w:val="Hyperlink"/>
          </w:rPr>
          <w:t>9 Conclusion</w:t>
        </w:r>
        <w:r w:rsidR="002666CB">
          <w:rPr>
            <w:webHidden/>
          </w:rPr>
          <w:tab/>
        </w:r>
        <w:r w:rsidR="002666CB">
          <w:rPr>
            <w:webHidden/>
          </w:rPr>
          <w:fldChar w:fldCharType="begin"/>
        </w:r>
        <w:r w:rsidR="002666CB">
          <w:rPr>
            <w:webHidden/>
          </w:rPr>
          <w:instrText xml:space="preserve"> PAGEREF _Toc357586094 \h </w:instrText>
        </w:r>
        <w:r w:rsidR="002666CB">
          <w:rPr>
            <w:webHidden/>
          </w:rPr>
        </w:r>
        <w:r w:rsidR="002666CB">
          <w:rPr>
            <w:webHidden/>
          </w:rPr>
          <w:fldChar w:fldCharType="separate"/>
        </w:r>
        <w:r w:rsidR="002666CB">
          <w:rPr>
            <w:webHidden/>
          </w:rPr>
          <w:t>39</w:t>
        </w:r>
        <w:r w:rsidR="002666CB">
          <w:rPr>
            <w:webHidden/>
          </w:rPr>
          <w:fldChar w:fldCharType="end"/>
        </w:r>
      </w:hyperlink>
    </w:p>
    <w:p w:rsidR="002666CB" w:rsidRDefault="007F11CF">
      <w:pPr>
        <w:pStyle w:val="TOC1"/>
        <w:rPr>
          <w:rFonts w:asciiTheme="minorHAnsi" w:eastAsiaTheme="minorEastAsia" w:hAnsiTheme="minorHAnsi" w:cstheme="minorBidi"/>
          <w:sz w:val="22"/>
          <w:szCs w:val="22"/>
        </w:rPr>
      </w:pPr>
      <w:hyperlink w:anchor="_Toc357586095" w:history="1">
        <w:r w:rsidR="002666CB" w:rsidRPr="00F17304">
          <w:rPr>
            <w:rStyle w:val="Hyperlink"/>
          </w:rPr>
          <w:t>10 References</w:t>
        </w:r>
        <w:r w:rsidR="002666CB">
          <w:rPr>
            <w:webHidden/>
          </w:rPr>
          <w:tab/>
        </w:r>
        <w:r w:rsidR="002666CB">
          <w:rPr>
            <w:webHidden/>
          </w:rPr>
          <w:fldChar w:fldCharType="begin"/>
        </w:r>
        <w:r w:rsidR="002666CB">
          <w:rPr>
            <w:webHidden/>
          </w:rPr>
          <w:instrText xml:space="preserve"> PAGEREF _Toc357586095 \h </w:instrText>
        </w:r>
        <w:r w:rsidR="002666CB">
          <w:rPr>
            <w:webHidden/>
          </w:rPr>
        </w:r>
        <w:r w:rsidR="002666CB">
          <w:rPr>
            <w:webHidden/>
          </w:rPr>
          <w:fldChar w:fldCharType="separate"/>
        </w:r>
        <w:r w:rsidR="002666CB">
          <w:rPr>
            <w:webHidden/>
          </w:rPr>
          <w:t>41</w:t>
        </w:r>
        <w:r w:rsidR="002666CB">
          <w:rPr>
            <w:webHidden/>
          </w:rPr>
          <w:fldChar w:fldCharType="end"/>
        </w:r>
      </w:hyperlink>
    </w:p>
    <w:p w:rsidR="002666CB" w:rsidRDefault="007F11CF">
      <w:pPr>
        <w:pStyle w:val="TOC1"/>
        <w:rPr>
          <w:rFonts w:asciiTheme="minorHAnsi" w:eastAsiaTheme="minorEastAsia" w:hAnsiTheme="minorHAnsi" w:cstheme="minorBidi"/>
          <w:sz w:val="22"/>
          <w:szCs w:val="22"/>
        </w:rPr>
      </w:pPr>
      <w:hyperlink w:anchor="_Toc357586096" w:history="1">
        <w:r w:rsidR="002666CB" w:rsidRPr="00F17304">
          <w:rPr>
            <w:rStyle w:val="Hyperlink"/>
            <w14:scene3d>
              <w14:camera w14:prst="orthographicFront"/>
              <w14:lightRig w14:rig="threePt" w14:dir="t">
                <w14:rot w14:lat="0" w14:lon="0" w14:rev="0"/>
              </w14:lightRig>
            </w14:scene3d>
          </w:rPr>
          <w:t>Appendix A</w:t>
        </w:r>
        <w:r w:rsidR="002666CB" w:rsidRPr="00F17304">
          <w:rPr>
            <w:rStyle w:val="Hyperlink"/>
          </w:rPr>
          <w:t xml:space="preserve"> Tropical Cyclone Wind</w:t>
        </w:r>
        <w:r w:rsidR="002666CB">
          <w:rPr>
            <w:webHidden/>
          </w:rPr>
          <w:tab/>
        </w:r>
        <w:r w:rsidR="002666CB">
          <w:rPr>
            <w:webHidden/>
          </w:rPr>
          <w:fldChar w:fldCharType="begin"/>
        </w:r>
        <w:r w:rsidR="002666CB">
          <w:rPr>
            <w:webHidden/>
          </w:rPr>
          <w:instrText xml:space="preserve"> PAGEREF _Toc357586096 \h </w:instrText>
        </w:r>
        <w:r w:rsidR="002666CB">
          <w:rPr>
            <w:webHidden/>
          </w:rPr>
        </w:r>
        <w:r w:rsidR="002666CB">
          <w:rPr>
            <w:webHidden/>
          </w:rPr>
          <w:fldChar w:fldCharType="separate"/>
        </w:r>
        <w:r w:rsidR="002666CB">
          <w:rPr>
            <w:webHidden/>
          </w:rPr>
          <w:t>49</w:t>
        </w:r>
        <w:r w:rsidR="002666CB">
          <w:rPr>
            <w:webHidden/>
          </w:rPr>
          <w:fldChar w:fldCharType="end"/>
        </w:r>
      </w:hyperlink>
    </w:p>
    <w:p w:rsidR="002666CB" w:rsidRDefault="007F11CF">
      <w:pPr>
        <w:pStyle w:val="TOC1"/>
        <w:rPr>
          <w:rFonts w:asciiTheme="minorHAnsi" w:eastAsiaTheme="minorEastAsia" w:hAnsiTheme="minorHAnsi" w:cstheme="minorBidi"/>
          <w:sz w:val="22"/>
          <w:szCs w:val="22"/>
        </w:rPr>
      </w:pPr>
      <w:hyperlink w:anchor="_Toc357586097" w:history="1">
        <w:r w:rsidR="002666CB" w:rsidRPr="00F17304">
          <w:rPr>
            <w:rStyle w:val="Hyperlink"/>
            <w14:scene3d>
              <w14:camera w14:prst="orthographicFront"/>
              <w14:lightRig w14:rig="threePt" w14:dir="t">
                <w14:rot w14:lat="0" w14:lon="0" w14:rev="0"/>
              </w14:lightRig>
            </w14:scene3d>
          </w:rPr>
          <w:t>Appendix B</w:t>
        </w:r>
        <w:r w:rsidR="002666CB" w:rsidRPr="00F17304">
          <w:rPr>
            <w:rStyle w:val="Hyperlink"/>
          </w:rPr>
          <w:t xml:space="preserve"> Bushfire</w:t>
        </w:r>
        <w:r w:rsidR="002666CB">
          <w:rPr>
            <w:webHidden/>
          </w:rPr>
          <w:tab/>
        </w:r>
        <w:r w:rsidR="002666CB">
          <w:rPr>
            <w:webHidden/>
          </w:rPr>
          <w:fldChar w:fldCharType="begin"/>
        </w:r>
        <w:r w:rsidR="002666CB">
          <w:rPr>
            <w:webHidden/>
          </w:rPr>
          <w:instrText xml:space="preserve"> PAGEREF _Toc357586097 \h </w:instrText>
        </w:r>
        <w:r w:rsidR="002666CB">
          <w:rPr>
            <w:webHidden/>
          </w:rPr>
        </w:r>
        <w:r w:rsidR="002666CB">
          <w:rPr>
            <w:webHidden/>
          </w:rPr>
          <w:fldChar w:fldCharType="separate"/>
        </w:r>
        <w:r w:rsidR="002666CB">
          <w:rPr>
            <w:webHidden/>
          </w:rPr>
          <w:t>71</w:t>
        </w:r>
        <w:r w:rsidR="002666CB">
          <w:rPr>
            <w:webHidden/>
          </w:rPr>
          <w:fldChar w:fldCharType="end"/>
        </w:r>
      </w:hyperlink>
    </w:p>
    <w:p w:rsidR="002666CB" w:rsidRDefault="007F11CF">
      <w:pPr>
        <w:pStyle w:val="TOC1"/>
        <w:rPr>
          <w:rFonts w:asciiTheme="minorHAnsi" w:eastAsiaTheme="minorEastAsia" w:hAnsiTheme="minorHAnsi" w:cstheme="minorBidi"/>
          <w:sz w:val="22"/>
          <w:szCs w:val="22"/>
        </w:rPr>
      </w:pPr>
      <w:hyperlink w:anchor="_Toc357586098" w:history="1">
        <w:r w:rsidR="002666CB" w:rsidRPr="00F17304">
          <w:rPr>
            <w:rStyle w:val="Hyperlink"/>
            <w14:scene3d>
              <w14:camera w14:prst="orthographicFront"/>
              <w14:lightRig w14:rig="threePt" w14:dir="t">
                <w14:rot w14:lat="0" w14:lon="0" w14:rev="0"/>
              </w14:lightRig>
            </w14:scene3d>
          </w:rPr>
          <w:t>Appendix C</w:t>
        </w:r>
        <w:r w:rsidR="002666CB" w:rsidRPr="00F17304">
          <w:rPr>
            <w:rStyle w:val="Hyperlink"/>
          </w:rPr>
          <w:t xml:space="preserve"> Storm Tide</w:t>
        </w:r>
        <w:r w:rsidR="002666CB">
          <w:rPr>
            <w:webHidden/>
          </w:rPr>
          <w:tab/>
        </w:r>
        <w:r w:rsidR="002666CB">
          <w:rPr>
            <w:webHidden/>
          </w:rPr>
          <w:fldChar w:fldCharType="begin"/>
        </w:r>
        <w:r w:rsidR="002666CB">
          <w:rPr>
            <w:webHidden/>
          </w:rPr>
          <w:instrText xml:space="preserve"> PAGEREF _Toc357586098 \h </w:instrText>
        </w:r>
        <w:r w:rsidR="002666CB">
          <w:rPr>
            <w:webHidden/>
          </w:rPr>
        </w:r>
        <w:r w:rsidR="002666CB">
          <w:rPr>
            <w:webHidden/>
          </w:rPr>
          <w:fldChar w:fldCharType="separate"/>
        </w:r>
        <w:r w:rsidR="002666CB">
          <w:rPr>
            <w:webHidden/>
          </w:rPr>
          <w:t>97</w:t>
        </w:r>
        <w:r w:rsidR="002666CB">
          <w:rPr>
            <w:webHidden/>
          </w:rPr>
          <w:fldChar w:fldCharType="end"/>
        </w:r>
      </w:hyperlink>
    </w:p>
    <w:p w:rsidR="002666CB" w:rsidRDefault="007F11CF">
      <w:pPr>
        <w:pStyle w:val="TOC1"/>
        <w:rPr>
          <w:rFonts w:asciiTheme="minorHAnsi" w:eastAsiaTheme="minorEastAsia" w:hAnsiTheme="minorHAnsi" w:cstheme="minorBidi"/>
          <w:sz w:val="22"/>
          <w:szCs w:val="22"/>
        </w:rPr>
      </w:pPr>
      <w:hyperlink w:anchor="_Toc357586099" w:history="1">
        <w:r w:rsidR="002666CB" w:rsidRPr="00F17304">
          <w:rPr>
            <w:rStyle w:val="Hyperlink"/>
            <w14:scene3d>
              <w14:camera w14:prst="orthographicFront"/>
              <w14:lightRig w14:rig="threePt" w14:dir="t">
                <w14:rot w14:lat="0" w14:lon="0" w14:rev="0"/>
              </w14:lightRig>
            </w14:scene3d>
          </w:rPr>
          <w:t>Appendix D</w:t>
        </w:r>
        <w:r w:rsidR="002666CB" w:rsidRPr="00F17304">
          <w:rPr>
            <w:rStyle w:val="Hyperlink"/>
          </w:rPr>
          <w:t xml:space="preserve"> Coastal Erosion</w:t>
        </w:r>
        <w:r w:rsidR="002666CB">
          <w:rPr>
            <w:webHidden/>
          </w:rPr>
          <w:tab/>
        </w:r>
        <w:r w:rsidR="002666CB">
          <w:rPr>
            <w:webHidden/>
          </w:rPr>
          <w:fldChar w:fldCharType="begin"/>
        </w:r>
        <w:r w:rsidR="002666CB">
          <w:rPr>
            <w:webHidden/>
          </w:rPr>
          <w:instrText xml:space="preserve"> PAGEREF _Toc357586099 \h </w:instrText>
        </w:r>
        <w:r w:rsidR="002666CB">
          <w:rPr>
            <w:webHidden/>
          </w:rPr>
        </w:r>
        <w:r w:rsidR="002666CB">
          <w:rPr>
            <w:webHidden/>
          </w:rPr>
          <w:fldChar w:fldCharType="separate"/>
        </w:r>
        <w:r w:rsidR="002666CB">
          <w:rPr>
            <w:webHidden/>
          </w:rPr>
          <w:t>117</w:t>
        </w:r>
        <w:r w:rsidR="002666CB">
          <w:rPr>
            <w:webHidden/>
          </w:rPr>
          <w:fldChar w:fldCharType="end"/>
        </w:r>
      </w:hyperlink>
    </w:p>
    <w:p w:rsidR="002666CB" w:rsidRDefault="007F11CF">
      <w:pPr>
        <w:pStyle w:val="TOC1"/>
        <w:rPr>
          <w:rFonts w:asciiTheme="minorHAnsi" w:eastAsiaTheme="minorEastAsia" w:hAnsiTheme="minorHAnsi" w:cstheme="minorBidi"/>
          <w:sz w:val="22"/>
          <w:szCs w:val="22"/>
        </w:rPr>
      </w:pPr>
      <w:hyperlink w:anchor="_Toc357586100" w:history="1">
        <w:r w:rsidR="002666CB" w:rsidRPr="00F17304">
          <w:rPr>
            <w:rStyle w:val="Hyperlink"/>
            <w14:scene3d>
              <w14:camera w14:prst="orthographicFront"/>
              <w14:lightRig w14:rig="threePt" w14:dir="t">
                <w14:rot w14:lat="0" w14:lon="0" w14:rev="0"/>
              </w14:lightRig>
            </w14:scene3d>
          </w:rPr>
          <w:t>Appendix E</w:t>
        </w:r>
        <w:r w:rsidR="002666CB" w:rsidRPr="00F17304">
          <w:rPr>
            <w:rStyle w:val="Hyperlink"/>
          </w:rPr>
          <w:t xml:space="preserve"> Sea-level Rise</w:t>
        </w:r>
        <w:r w:rsidR="002666CB">
          <w:rPr>
            <w:webHidden/>
          </w:rPr>
          <w:tab/>
        </w:r>
        <w:r w:rsidR="002666CB">
          <w:rPr>
            <w:webHidden/>
          </w:rPr>
          <w:fldChar w:fldCharType="begin"/>
        </w:r>
        <w:r w:rsidR="002666CB">
          <w:rPr>
            <w:webHidden/>
          </w:rPr>
          <w:instrText xml:space="preserve"> PAGEREF _Toc357586100 \h </w:instrText>
        </w:r>
        <w:r w:rsidR="002666CB">
          <w:rPr>
            <w:webHidden/>
          </w:rPr>
        </w:r>
        <w:r w:rsidR="002666CB">
          <w:rPr>
            <w:webHidden/>
          </w:rPr>
          <w:fldChar w:fldCharType="separate"/>
        </w:r>
        <w:r w:rsidR="002666CB">
          <w:rPr>
            <w:webHidden/>
          </w:rPr>
          <w:t>133</w:t>
        </w:r>
        <w:r w:rsidR="002666CB">
          <w:rPr>
            <w:webHidden/>
          </w:rPr>
          <w:fldChar w:fldCharType="end"/>
        </w:r>
      </w:hyperlink>
    </w:p>
    <w:p w:rsidR="002666CB" w:rsidRDefault="007F11CF">
      <w:pPr>
        <w:pStyle w:val="TOC1"/>
        <w:rPr>
          <w:rFonts w:asciiTheme="minorHAnsi" w:eastAsiaTheme="minorEastAsia" w:hAnsiTheme="minorHAnsi" w:cstheme="minorBidi"/>
          <w:sz w:val="22"/>
          <w:szCs w:val="22"/>
        </w:rPr>
      </w:pPr>
      <w:hyperlink w:anchor="_Toc357586101" w:history="1">
        <w:r w:rsidR="002666CB" w:rsidRPr="00F17304">
          <w:rPr>
            <w:rStyle w:val="Hyperlink"/>
            <w14:scene3d>
              <w14:camera w14:prst="orthographicFront"/>
              <w14:lightRig w14:rig="threePt" w14:dir="t">
                <w14:rot w14:lat="0" w14:lon="0" w14:rev="0"/>
              </w14:lightRig>
            </w14:scene3d>
          </w:rPr>
          <w:t>Appendix F</w:t>
        </w:r>
        <w:r w:rsidR="002666CB" w:rsidRPr="00F17304">
          <w:rPr>
            <w:rStyle w:val="Hyperlink"/>
          </w:rPr>
          <w:t xml:space="preserve"> Hazard Maps</w:t>
        </w:r>
        <w:r w:rsidR="002666CB">
          <w:rPr>
            <w:webHidden/>
          </w:rPr>
          <w:tab/>
        </w:r>
        <w:r w:rsidR="002666CB">
          <w:rPr>
            <w:webHidden/>
          </w:rPr>
          <w:fldChar w:fldCharType="begin"/>
        </w:r>
        <w:r w:rsidR="002666CB">
          <w:rPr>
            <w:webHidden/>
          </w:rPr>
          <w:instrText xml:space="preserve"> PAGEREF _Toc357586101 \h </w:instrText>
        </w:r>
        <w:r w:rsidR="002666CB">
          <w:rPr>
            <w:webHidden/>
          </w:rPr>
        </w:r>
        <w:r w:rsidR="002666CB">
          <w:rPr>
            <w:webHidden/>
          </w:rPr>
          <w:fldChar w:fldCharType="separate"/>
        </w:r>
        <w:r w:rsidR="002666CB">
          <w:rPr>
            <w:webHidden/>
          </w:rPr>
          <w:t>137</w:t>
        </w:r>
        <w:r w:rsidR="002666CB">
          <w:rPr>
            <w:webHidden/>
          </w:rPr>
          <w:fldChar w:fldCharType="end"/>
        </w:r>
      </w:hyperlink>
    </w:p>
    <w:p w:rsidR="00606F01" w:rsidRPr="002B5957" w:rsidRDefault="00462463" w:rsidP="0033245F">
      <w:pPr>
        <w:pStyle w:val="Subtitle"/>
        <w:sectPr w:rsidR="00606F01" w:rsidRPr="002B5957" w:rsidSect="00AD5572">
          <w:headerReference w:type="even" r:id="rId13"/>
          <w:headerReference w:type="default" r:id="rId14"/>
          <w:footerReference w:type="even" r:id="rId15"/>
          <w:footerReference w:type="default" r:id="rId16"/>
          <w:pgSz w:w="11907" w:h="16840" w:code="9"/>
          <w:pgMar w:top="1985" w:right="1134" w:bottom="1134" w:left="1701" w:header="720" w:footer="397" w:gutter="0"/>
          <w:pgNumType w:fmt="lowerRoman" w:start="3"/>
          <w:cols w:space="720"/>
          <w:docGrid w:linePitch="272"/>
        </w:sectPr>
      </w:pPr>
      <w:r>
        <w:rPr>
          <w:noProof/>
        </w:rPr>
        <w:fldChar w:fldCharType="end"/>
      </w:r>
    </w:p>
    <w:p w:rsidR="008237BB" w:rsidRDefault="008237BB" w:rsidP="008237BB">
      <w:pPr>
        <w:pStyle w:val="Head1nonumbers"/>
      </w:pPr>
      <w:bookmarkStart w:id="141" w:name="_Toc346261426"/>
      <w:bookmarkStart w:id="142" w:name="_Toc346632723"/>
      <w:bookmarkStart w:id="143" w:name="_Toc346632835"/>
      <w:bookmarkStart w:id="144" w:name="_Toc346632947"/>
      <w:bookmarkStart w:id="145" w:name="_Toc346633059"/>
      <w:bookmarkStart w:id="146" w:name="_Toc346633171"/>
      <w:bookmarkStart w:id="147" w:name="_Toc347401604"/>
      <w:bookmarkStart w:id="148" w:name="_Toc347401716"/>
      <w:bookmarkStart w:id="149" w:name="_Toc347401828"/>
      <w:bookmarkStart w:id="150" w:name="_Toc347401940"/>
      <w:bookmarkStart w:id="151" w:name="_Toc347402052"/>
      <w:bookmarkStart w:id="152" w:name="_Toc349055232"/>
      <w:bookmarkStart w:id="153" w:name="_Toc349055345"/>
      <w:bookmarkStart w:id="154" w:name="_Toc349055458"/>
      <w:bookmarkStart w:id="155" w:name="_Toc349055571"/>
      <w:bookmarkStart w:id="156" w:name="_Toc349055684"/>
      <w:bookmarkStart w:id="157" w:name="_Toc349116902"/>
      <w:bookmarkStart w:id="158" w:name="_Toc350330002"/>
      <w:bookmarkStart w:id="159" w:name="_Toc350343980"/>
      <w:bookmarkStart w:id="160" w:name="_Toc354404022"/>
      <w:bookmarkStart w:id="161" w:name="_Toc354492686"/>
      <w:bookmarkStart w:id="162" w:name="_Toc354492827"/>
      <w:bookmarkStart w:id="163" w:name="_Toc354492933"/>
      <w:bookmarkStart w:id="164" w:name="_Toc354493063"/>
      <w:bookmarkStart w:id="165" w:name="_Toc354493224"/>
      <w:bookmarkStart w:id="166" w:name="_Toc354493693"/>
      <w:bookmarkStart w:id="167" w:name="_Toc354494228"/>
      <w:bookmarkStart w:id="168" w:name="_Toc354494446"/>
      <w:bookmarkStart w:id="169" w:name="_Toc354494657"/>
      <w:bookmarkStart w:id="170" w:name="_Toc354494951"/>
      <w:bookmarkStart w:id="171" w:name="_Toc354497834"/>
      <w:bookmarkStart w:id="172" w:name="_Toc354561247"/>
      <w:bookmarkStart w:id="173" w:name="_Toc355249587"/>
      <w:bookmarkStart w:id="174" w:name="_Toc357586059"/>
      <w:r>
        <w:lastRenderedPageBreak/>
        <w:t>Glossary</w:t>
      </w:r>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p>
    <w:tbl>
      <w:tblPr>
        <w:tblStyle w:val="TableGAHeaderRow"/>
        <w:tblW w:w="8505" w:type="dxa"/>
        <w:tblLook w:val="01E0" w:firstRow="1" w:lastRow="1" w:firstColumn="1" w:lastColumn="1" w:noHBand="0" w:noVBand="0"/>
        <w:tblDescription w:val="Glossary. AHD: Australian Height Datum. Vertical height datum which is approximately equal to Mean Sea Level.  Annual Exceedance Probability: The annual probability of an event occurring or being exceeded in magnitude.  ARI: Average Recurrence Interval: the average or expected period of time between exceedances of a given event magnitude. Equivalent to Return Period.  BoM: Bureau of Meteorology. cal. yrs BP: Calibrated years before present. CCAM: Cubic Conformal Atmospheric Model. CSIRO: Commonwealth Scientific and Industrial Research Organisation. DCC: Department of Climate Change. FFDI: Forest Fire Danger Index. GCM: General Circulation Model or Global Circulation Model. Generalised Extreme Value Distribution (GEV): A family of probability distributions used to model the distribution of maxima of a series of randomly distributed variables. GFDI: Grassland Fire Danger Index. GHG: Greenhouse Gas. Grid: Regular square mesh spatial data. HAT: Highest Astronomical Tide. IPCC: Intergovernmental Panel on Climate Change. IPCC AR4: Intergovernmental Panel on Climate Change Fourth Assessment Report. LSCB: Large-Scale Coastal Behaviour. LULCC: Land-use and land-cover change. m/s: Metres per second. . Convert to kilometres per hour through multiplying by a factor of 3.6. MHWS: Mean High Water Springs. The long-term mean of the heights of two successive high waters during those periods of 24 hours (approximately once a fortnight) when the range of tide is greatest: during full and new moon.(Source: Maritime Safety Queensland ). MLWS: Mean Low Water Springs. The long-term mean of the heights of two successive low waters over the same periods as defined for MHWS.(Source: Maritime Safety Queensland ). MSL: Mean Sea Level. PDF: Probability Density Function. QCHG: Queensland Coastal Hazards Guideline. Raster: Regular square mesh spatial data. RCM: Regional Climate Model. Return Period (RP): The average or expected period between exceedances of a given event magnitude. Equivalent to the Average Recurrence Interval. . RMW: Radius of Maximum Winds. SEQCARI: South East Queensland Climate Adaptation Research Initiative. SLR: Sea-Level Rise. SRES: Special Report on Emissions Scenarios (IPCC AR4). Storm tide: Describes the increase in water level from the combined effect of astronomical tide: storm surge and wave set up.  TC: Tropical Cyclone. TCRM: Tropical Cyclone Risk Model. Topographic LiDAR: Onshore LiDAR derived elevation data or digital elevation model. "/>
      </w:tblPr>
      <w:tblGrid>
        <w:gridCol w:w="2285"/>
        <w:gridCol w:w="6220"/>
      </w:tblGrid>
      <w:tr w:rsidR="00FE6048" w:rsidRPr="00A819A7" w:rsidTr="00FE6048">
        <w:trPr>
          <w:cnfStyle w:val="100000000000" w:firstRow="1" w:lastRow="0" w:firstColumn="0" w:lastColumn="0" w:oddVBand="0" w:evenVBand="0" w:oddHBand="0" w:evenHBand="0" w:firstRowFirstColumn="0" w:firstRowLastColumn="0" w:lastRowFirstColumn="0" w:lastRowLastColumn="0"/>
          <w:cantSplit w:val="0"/>
          <w:trHeight w:val="32"/>
          <w:tblHeader/>
        </w:trPr>
        <w:tc>
          <w:tcPr>
            <w:cnfStyle w:val="000010000000" w:firstRow="0" w:lastRow="0" w:firstColumn="0" w:lastColumn="0" w:oddVBand="1" w:evenVBand="0" w:oddHBand="0" w:evenHBand="0" w:firstRowFirstColumn="0" w:firstRowLastColumn="0" w:lastRowFirstColumn="0" w:lastRowLastColumn="0"/>
            <w:tcW w:w="2285" w:type="dxa"/>
          </w:tcPr>
          <w:p w:rsidR="00FE6048" w:rsidRPr="00A819A7" w:rsidRDefault="00FE6048" w:rsidP="001D132F">
            <w:pPr>
              <w:pStyle w:val="Tabletextleft"/>
            </w:pPr>
            <w:r>
              <w:t>Term</w:t>
            </w:r>
          </w:p>
        </w:tc>
        <w:tc>
          <w:tcPr>
            <w:tcW w:w="6220" w:type="dxa"/>
          </w:tcPr>
          <w:p w:rsidR="00FE6048" w:rsidRPr="00A819A7" w:rsidRDefault="00FE6048" w:rsidP="001D132F">
            <w:pPr>
              <w:pStyle w:val="Tabletextleft"/>
              <w:cnfStyle w:val="100000000000" w:firstRow="1" w:lastRow="0" w:firstColumn="0" w:lastColumn="0" w:oddVBand="0" w:evenVBand="0" w:oddHBand="0" w:evenHBand="0" w:firstRowFirstColumn="0" w:firstRowLastColumn="0" w:lastRowFirstColumn="0" w:lastRowLastColumn="0"/>
            </w:pPr>
            <w:r>
              <w:t>Definition</w:t>
            </w:r>
          </w:p>
        </w:tc>
      </w:tr>
      <w:tr w:rsidR="008237BB" w:rsidRPr="00A819A7" w:rsidTr="00FE6048">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Pr="00A819A7" w:rsidRDefault="008237BB" w:rsidP="001D132F">
            <w:pPr>
              <w:pStyle w:val="Tabletextleft"/>
            </w:pPr>
            <w:r w:rsidRPr="00A819A7">
              <w:t>AHD</w:t>
            </w:r>
          </w:p>
        </w:tc>
        <w:tc>
          <w:tcPr>
            <w:tcW w:w="6220" w:type="dxa"/>
          </w:tcPr>
          <w:p w:rsidR="008237BB" w:rsidRPr="00A819A7"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A819A7">
              <w:t>Australian Height Datum. Vertical height datum which is approximately equal to Mean Sea Level.</w:t>
            </w:r>
          </w:p>
        </w:tc>
      </w:tr>
      <w:tr w:rsidR="008237BB" w:rsidRPr="00A819A7" w:rsidTr="00FE6048">
        <w:trPr>
          <w:cnfStyle w:val="000000010000" w:firstRow="0" w:lastRow="0" w:firstColumn="0" w:lastColumn="0" w:oddVBand="0" w:evenVBand="0" w:oddHBand="0" w:evenHBand="1"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Default="008237BB" w:rsidP="001D132F">
            <w:pPr>
              <w:pStyle w:val="Tabletextleft"/>
            </w:pPr>
            <w:r>
              <w:t>Annual Exceedance Probability</w:t>
            </w:r>
          </w:p>
        </w:tc>
        <w:tc>
          <w:tcPr>
            <w:tcW w:w="6220" w:type="dxa"/>
          </w:tcPr>
          <w:p w:rsidR="008237BB" w:rsidRPr="00A819A7"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A819A7">
              <w:t>The annual probability of an event occurring or being exceeded in magnitude.</w:t>
            </w:r>
          </w:p>
        </w:tc>
      </w:tr>
      <w:tr w:rsidR="008237BB" w:rsidRPr="00A819A7" w:rsidTr="00FE6048">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Pr="00A819A7" w:rsidRDefault="008237BB" w:rsidP="001D132F">
            <w:pPr>
              <w:pStyle w:val="Tabletextleft"/>
            </w:pPr>
            <w:r w:rsidRPr="00A819A7">
              <w:t>ARI</w:t>
            </w:r>
          </w:p>
        </w:tc>
        <w:tc>
          <w:tcPr>
            <w:tcW w:w="6220" w:type="dxa"/>
          </w:tcPr>
          <w:p w:rsidR="008237BB" w:rsidRPr="00A819A7" w:rsidRDefault="008237BB" w:rsidP="001D132F">
            <w:pPr>
              <w:pStyle w:val="Tabletextleft"/>
              <w:cnfStyle w:val="000000100000" w:firstRow="0" w:lastRow="0" w:firstColumn="0" w:lastColumn="0" w:oddVBand="0" w:evenVBand="0" w:oddHBand="1" w:evenHBand="0" w:firstRowFirstColumn="0" w:firstRowLastColumn="0" w:lastRowFirstColumn="0" w:lastRowLastColumn="0"/>
              <w:rPr>
                <w:b/>
              </w:rPr>
            </w:pPr>
            <w:r w:rsidRPr="00A819A7">
              <w:t xml:space="preserve">Average Recurrence Interval, </w:t>
            </w:r>
            <w:r>
              <w:t>the average or expected period of time between exceedances of a given event magnitude. Equivalent to Return Period.</w:t>
            </w:r>
          </w:p>
        </w:tc>
      </w:tr>
      <w:tr w:rsidR="008237BB" w:rsidRPr="00A819A7" w:rsidTr="00FE6048">
        <w:trPr>
          <w:cnfStyle w:val="000000010000" w:firstRow="0" w:lastRow="0" w:firstColumn="0" w:lastColumn="0" w:oddVBand="0" w:evenVBand="0" w:oddHBand="0" w:evenHBand="1"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Default="008237BB" w:rsidP="001D132F">
            <w:pPr>
              <w:pStyle w:val="Tabletextleft"/>
            </w:pPr>
            <w:r>
              <w:t>BoM</w:t>
            </w:r>
          </w:p>
        </w:tc>
        <w:tc>
          <w:tcPr>
            <w:tcW w:w="6220" w:type="dxa"/>
          </w:tcPr>
          <w:p w:rsidR="008237BB" w:rsidRPr="00A819A7"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A819A7">
              <w:t>Bureau of Meteorology</w:t>
            </w:r>
          </w:p>
        </w:tc>
      </w:tr>
      <w:tr w:rsidR="008237BB" w:rsidRPr="00A819A7" w:rsidTr="00FE6048">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Pr="00A819A7" w:rsidRDefault="008237BB" w:rsidP="001D132F">
            <w:pPr>
              <w:pStyle w:val="Tabletextleft"/>
            </w:pPr>
            <w:r>
              <w:t>cal. yrs BP</w:t>
            </w:r>
          </w:p>
        </w:tc>
        <w:tc>
          <w:tcPr>
            <w:tcW w:w="6220" w:type="dxa"/>
          </w:tcPr>
          <w:p w:rsidR="008237BB" w:rsidRPr="00A819A7"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A819A7">
              <w:t>Calibrated years before present</w:t>
            </w:r>
          </w:p>
        </w:tc>
      </w:tr>
      <w:tr w:rsidR="008237BB" w:rsidRPr="00A819A7" w:rsidTr="00FE6048">
        <w:trPr>
          <w:cnfStyle w:val="000000010000" w:firstRow="0" w:lastRow="0" w:firstColumn="0" w:lastColumn="0" w:oddVBand="0" w:evenVBand="0" w:oddHBand="0" w:evenHBand="1"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Default="008237BB" w:rsidP="001D132F">
            <w:pPr>
              <w:pStyle w:val="Tabletextleft"/>
            </w:pPr>
            <w:r>
              <w:t>CCAM</w:t>
            </w:r>
          </w:p>
        </w:tc>
        <w:tc>
          <w:tcPr>
            <w:tcW w:w="6220" w:type="dxa"/>
          </w:tcPr>
          <w:p w:rsidR="008237BB" w:rsidRPr="00A819A7"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A819A7">
              <w:t>Cubic Conformal Atmospheric Model</w:t>
            </w:r>
          </w:p>
        </w:tc>
      </w:tr>
      <w:tr w:rsidR="008237BB" w:rsidRPr="00A819A7" w:rsidTr="00FE6048">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Default="008237BB" w:rsidP="001D132F">
            <w:pPr>
              <w:pStyle w:val="Tabletextleft"/>
            </w:pPr>
            <w:r>
              <w:t>CSIRO</w:t>
            </w:r>
          </w:p>
        </w:tc>
        <w:tc>
          <w:tcPr>
            <w:tcW w:w="6220" w:type="dxa"/>
          </w:tcPr>
          <w:p w:rsidR="008237BB" w:rsidRPr="00A819A7"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A819A7">
              <w:t>Commonwealth Scientific and Industrial Research Organisation</w:t>
            </w:r>
          </w:p>
        </w:tc>
      </w:tr>
      <w:tr w:rsidR="008237BB" w:rsidRPr="00A819A7" w:rsidTr="00FE6048">
        <w:trPr>
          <w:cnfStyle w:val="000000010000" w:firstRow="0" w:lastRow="0" w:firstColumn="0" w:lastColumn="0" w:oddVBand="0" w:evenVBand="0" w:oddHBand="0" w:evenHBand="1"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Default="008237BB" w:rsidP="001D132F">
            <w:pPr>
              <w:pStyle w:val="Tabletextleft"/>
            </w:pPr>
            <w:r>
              <w:t>DCC</w:t>
            </w:r>
          </w:p>
        </w:tc>
        <w:tc>
          <w:tcPr>
            <w:tcW w:w="6220" w:type="dxa"/>
          </w:tcPr>
          <w:p w:rsidR="008237BB" w:rsidRPr="00A819A7"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A819A7">
              <w:t>Department of Climate Change</w:t>
            </w:r>
          </w:p>
        </w:tc>
      </w:tr>
      <w:tr w:rsidR="008237BB" w:rsidRPr="00A819A7" w:rsidTr="00FE6048">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Default="008237BB" w:rsidP="001D132F">
            <w:pPr>
              <w:pStyle w:val="Tabletextleft"/>
            </w:pPr>
            <w:r>
              <w:t>FFDI</w:t>
            </w:r>
          </w:p>
        </w:tc>
        <w:tc>
          <w:tcPr>
            <w:tcW w:w="6220" w:type="dxa"/>
          </w:tcPr>
          <w:p w:rsidR="008237BB" w:rsidRPr="00A819A7"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A819A7">
              <w:t>Forest Fire Danger Index</w:t>
            </w:r>
          </w:p>
        </w:tc>
      </w:tr>
      <w:tr w:rsidR="008237BB" w:rsidRPr="00A819A7" w:rsidTr="00FE6048">
        <w:trPr>
          <w:cnfStyle w:val="000000010000" w:firstRow="0" w:lastRow="0" w:firstColumn="0" w:lastColumn="0" w:oddVBand="0" w:evenVBand="0" w:oddHBand="0" w:evenHBand="1"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Default="008237BB" w:rsidP="001D132F">
            <w:pPr>
              <w:pStyle w:val="Tabletextleft"/>
            </w:pPr>
            <w:r>
              <w:t>GCM</w:t>
            </w:r>
          </w:p>
        </w:tc>
        <w:tc>
          <w:tcPr>
            <w:tcW w:w="6220" w:type="dxa"/>
          </w:tcPr>
          <w:p w:rsidR="008237BB" w:rsidRPr="00A819A7"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A819A7">
              <w:t>General Circulation Model or Global Circulation Model</w:t>
            </w:r>
          </w:p>
        </w:tc>
      </w:tr>
      <w:tr w:rsidR="008237BB" w:rsidRPr="00A819A7" w:rsidTr="00FE6048">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Default="008237BB" w:rsidP="001D132F">
            <w:pPr>
              <w:pStyle w:val="Tabletextleft"/>
            </w:pPr>
            <w:r>
              <w:t>Generalised Extreme Value Distribution (GEV)</w:t>
            </w:r>
          </w:p>
        </w:tc>
        <w:tc>
          <w:tcPr>
            <w:tcW w:w="6220" w:type="dxa"/>
          </w:tcPr>
          <w:p w:rsidR="008237BB" w:rsidRPr="00A819A7"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A819A7">
              <w:t>A family of probability distributions used to model the distribution of maxima of a series of randomly distributed variables</w:t>
            </w:r>
          </w:p>
        </w:tc>
      </w:tr>
      <w:tr w:rsidR="008237BB" w:rsidRPr="00A819A7" w:rsidTr="00FE6048">
        <w:trPr>
          <w:cnfStyle w:val="000000010000" w:firstRow="0" w:lastRow="0" w:firstColumn="0" w:lastColumn="0" w:oddVBand="0" w:evenVBand="0" w:oddHBand="0" w:evenHBand="1"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Default="008237BB" w:rsidP="001D132F">
            <w:pPr>
              <w:pStyle w:val="Tabletextleft"/>
            </w:pPr>
            <w:r>
              <w:t>GFDI</w:t>
            </w:r>
          </w:p>
        </w:tc>
        <w:tc>
          <w:tcPr>
            <w:tcW w:w="6220" w:type="dxa"/>
          </w:tcPr>
          <w:p w:rsidR="008237BB" w:rsidRPr="00A819A7"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A819A7">
              <w:t>Grassland Fire Danger Index</w:t>
            </w:r>
          </w:p>
        </w:tc>
      </w:tr>
      <w:tr w:rsidR="008237BB" w:rsidRPr="00A819A7" w:rsidTr="00FE6048">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Default="008237BB" w:rsidP="001D132F">
            <w:pPr>
              <w:pStyle w:val="Tabletextleft"/>
            </w:pPr>
            <w:r>
              <w:t>GHG</w:t>
            </w:r>
          </w:p>
        </w:tc>
        <w:tc>
          <w:tcPr>
            <w:tcW w:w="6220" w:type="dxa"/>
          </w:tcPr>
          <w:p w:rsidR="008237BB" w:rsidRPr="00A819A7"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A819A7">
              <w:t>Greenhouse Gas</w:t>
            </w:r>
          </w:p>
        </w:tc>
      </w:tr>
      <w:tr w:rsidR="008237BB" w:rsidRPr="00A819A7" w:rsidTr="00FE6048">
        <w:trPr>
          <w:cnfStyle w:val="000000010000" w:firstRow="0" w:lastRow="0" w:firstColumn="0" w:lastColumn="0" w:oddVBand="0" w:evenVBand="0" w:oddHBand="0" w:evenHBand="1"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Pr="00A819A7" w:rsidRDefault="008237BB" w:rsidP="001D132F">
            <w:pPr>
              <w:pStyle w:val="Tabletextleft"/>
              <w:rPr>
                <w:rFonts w:cs="Times"/>
                <w:sz w:val="24"/>
                <w:szCs w:val="24"/>
              </w:rPr>
            </w:pPr>
            <w:r w:rsidRPr="00A819A7">
              <w:t>Grid</w:t>
            </w:r>
          </w:p>
        </w:tc>
        <w:tc>
          <w:tcPr>
            <w:tcW w:w="6220" w:type="dxa"/>
          </w:tcPr>
          <w:p w:rsidR="008237BB" w:rsidRPr="00A819A7" w:rsidRDefault="008237BB" w:rsidP="001D132F">
            <w:pPr>
              <w:pStyle w:val="Tabletextleft"/>
              <w:cnfStyle w:val="000000010000" w:firstRow="0" w:lastRow="0" w:firstColumn="0" w:lastColumn="0" w:oddVBand="0" w:evenVBand="0" w:oddHBand="0" w:evenHBand="1" w:firstRowFirstColumn="0" w:firstRowLastColumn="0" w:lastRowFirstColumn="0" w:lastRowLastColumn="0"/>
              <w:rPr>
                <w:rFonts w:cs="Times"/>
                <w:sz w:val="24"/>
                <w:szCs w:val="24"/>
              </w:rPr>
            </w:pPr>
            <w:r w:rsidRPr="00A819A7">
              <w:t>Regular square mesh spatial data</w:t>
            </w:r>
          </w:p>
        </w:tc>
      </w:tr>
      <w:tr w:rsidR="008237BB" w:rsidRPr="00A819A7" w:rsidTr="00FE6048">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Pr="00A819A7" w:rsidRDefault="008237BB" w:rsidP="001D132F">
            <w:pPr>
              <w:pStyle w:val="Tabletextleft"/>
            </w:pPr>
            <w:r w:rsidRPr="00A819A7">
              <w:t>HAT</w:t>
            </w:r>
          </w:p>
        </w:tc>
        <w:tc>
          <w:tcPr>
            <w:tcW w:w="6220" w:type="dxa"/>
          </w:tcPr>
          <w:p w:rsidR="008237BB" w:rsidRPr="00A819A7"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A819A7">
              <w:t>Highest Astronomical Tide</w:t>
            </w:r>
          </w:p>
        </w:tc>
      </w:tr>
      <w:tr w:rsidR="008237BB" w:rsidRPr="00A819A7" w:rsidTr="00FE6048">
        <w:trPr>
          <w:cnfStyle w:val="000000010000" w:firstRow="0" w:lastRow="0" w:firstColumn="0" w:lastColumn="0" w:oddVBand="0" w:evenVBand="0" w:oddHBand="0" w:evenHBand="1"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Default="008237BB" w:rsidP="001D132F">
            <w:pPr>
              <w:pStyle w:val="Tabletextleft"/>
            </w:pPr>
            <w:r>
              <w:t>IPCC</w:t>
            </w:r>
          </w:p>
        </w:tc>
        <w:tc>
          <w:tcPr>
            <w:tcW w:w="6220" w:type="dxa"/>
          </w:tcPr>
          <w:p w:rsidR="008237BB" w:rsidRPr="00A819A7"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A819A7">
              <w:t>Intergovernmental Panel on Climate Change</w:t>
            </w:r>
          </w:p>
        </w:tc>
      </w:tr>
      <w:tr w:rsidR="008237BB" w:rsidRPr="00A819A7" w:rsidTr="00FE6048">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Default="008237BB" w:rsidP="001D132F">
            <w:pPr>
              <w:pStyle w:val="Tabletextleft"/>
            </w:pPr>
            <w:r>
              <w:t>IPCC AR4</w:t>
            </w:r>
          </w:p>
        </w:tc>
        <w:tc>
          <w:tcPr>
            <w:tcW w:w="6220" w:type="dxa"/>
          </w:tcPr>
          <w:p w:rsidR="008237BB" w:rsidRPr="00A819A7"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A819A7">
              <w:t>Intergovernmental Panel on Climate Change Fourth Assessment Report</w:t>
            </w:r>
          </w:p>
        </w:tc>
      </w:tr>
      <w:tr w:rsidR="008237BB" w:rsidRPr="00A819A7" w:rsidTr="00FE6048">
        <w:trPr>
          <w:cnfStyle w:val="000000010000" w:firstRow="0" w:lastRow="0" w:firstColumn="0" w:lastColumn="0" w:oddVBand="0" w:evenVBand="0" w:oddHBand="0" w:evenHBand="1"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Pr="00A819A7" w:rsidRDefault="008237BB" w:rsidP="001D132F">
            <w:pPr>
              <w:pStyle w:val="Tabletextleft"/>
              <w:rPr>
                <w:rFonts w:cs="Times"/>
                <w:sz w:val="24"/>
                <w:szCs w:val="24"/>
              </w:rPr>
            </w:pPr>
            <w:r w:rsidRPr="00A819A7">
              <w:t>LSCB</w:t>
            </w:r>
          </w:p>
        </w:tc>
        <w:tc>
          <w:tcPr>
            <w:tcW w:w="6220" w:type="dxa"/>
          </w:tcPr>
          <w:p w:rsidR="008237BB" w:rsidRPr="00A819A7" w:rsidRDefault="008237BB" w:rsidP="001D132F">
            <w:pPr>
              <w:pStyle w:val="Tabletextleft"/>
              <w:cnfStyle w:val="000000010000" w:firstRow="0" w:lastRow="0" w:firstColumn="0" w:lastColumn="0" w:oddVBand="0" w:evenVBand="0" w:oddHBand="0" w:evenHBand="1" w:firstRowFirstColumn="0" w:firstRowLastColumn="0" w:lastRowFirstColumn="0" w:lastRowLastColumn="0"/>
              <w:rPr>
                <w:rFonts w:cs="Times"/>
                <w:sz w:val="24"/>
                <w:szCs w:val="24"/>
              </w:rPr>
            </w:pPr>
            <w:r w:rsidRPr="00A819A7">
              <w:t>Large-Scale Coastal Behaviour</w:t>
            </w:r>
          </w:p>
        </w:tc>
      </w:tr>
      <w:tr w:rsidR="008237BB" w:rsidRPr="00A819A7" w:rsidTr="00FE6048">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Default="008237BB" w:rsidP="001D132F">
            <w:pPr>
              <w:pStyle w:val="Tabletextleft"/>
            </w:pPr>
            <w:r>
              <w:t>LULCC</w:t>
            </w:r>
          </w:p>
        </w:tc>
        <w:tc>
          <w:tcPr>
            <w:tcW w:w="6220" w:type="dxa"/>
          </w:tcPr>
          <w:p w:rsidR="008237BB" w:rsidRPr="00A819A7"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A819A7">
              <w:t>Land-use and land-cover change</w:t>
            </w:r>
          </w:p>
        </w:tc>
      </w:tr>
      <w:tr w:rsidR="008237BB" w:rsidRPr="00A819A7" w:rsidTr="00FE6048">
        <w:trPr>
          <w:cnfStyle w:val="000000010000" w:firstRow="0" w:lastRow="0" w:firstColumn="0" w:lastColumn="0" w:oddVBand="0" w:evenVBand="0" w:oddHBand="0" w:evenHBand="1"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Default="008237BB" w:rsidP="001D132F">
            <w:pPr>
              <w:pStyle w:val="Tabletextleft"/>
            </w:pPr>
            <w:r>
              <w:t>m/s</w:t>
            </w:r>
          </w:p>
        </w:tc>
        <w:tc>
          <w:tcPr>
            <w:tcW w:w="6220" w:type="dxa"/>
          </w:tcPr>
          <w:p w:rsidR="002F691C"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A819A7">
              <w:t>Metres per second.</w:t>
            </w:r>
          </w:p>
          <w:p w:rsidR="008237BB" w:rsidRPr="00A819A7"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A819A7">
              <w:t>Convert to kilometres per hour through multiplying by a factor of 3.6</w:t>
            </w:r>
          </w:p>
        </w:tc>
      </w:tr>
      <w:tr w:rsidR="008237BB" w:rsidRPr="00A819A7" w:rsidTr="00FE6048">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Pr="00A819A7" w:rsidRDefault="008237BB" w:rsidP="001D132F">
            <w:pPr>
              <w:pStyle w:val="Tabletextleft"/>
            </w:pPr>
            <w:r w:rsidRPr="00A819A7">
              <w:t>MHWS</w:t>
            </w:r>
          </w:p>
        </w:tc>
        <w:tc>
          <w:tcPr>
            <w:tcW w:w="6220" w:type="dxa"/>
          </w:tcPr>
          <w:p w:rsidR="008237BB" w:rsidRPr="00A819A7"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A819A7">
              <w:t>Mean High Water Springs. The long-term mean of the heights of two successive high waters during those periods of 24 hours (approximately once a fortnight) when the range of tide is greatest, during full and new moon.(Source: Maritime Safety Queensland</w:t>
            </w:r>
            <w:r w:rsidR="005B482F">
              <w:rPr>
                <w:rStyle w:val="FootnoteReference"/>
              </w:rPr>
              <w:footnoteReference w:id="2"/>
            </w:r>
            <w:r w:rsidRPr="00A819A7">
              <w:t>)</w:t>
            </w:r>
          </w:p>
        </w:tc>
      </w:tr>
      <w:tr w:rsidR="008237BB" w:rsidRPr="00A819A7" w:rsidTr="00FE6048">
        <w:trPr>
          <w:cnfStyle w:val="000000010000" w:firstRow="0" w:lastRow="0" w:firstColumn="0" w:lastColumn="0" w:oddVBand="0" w:evenVBand="0" w:oddHBand="0" w:evenHBand="1"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Pr="00A819A7" w:rsidRDefault="008237BB" w:rsidP="001D132F">
            <w:pPr>
              <w:pStyle w:val="Tabletextleft"/>
            </w:pPr>
            <w:r w:rsidRPr="00A819A7">
              <w:t>MLWS</w:t>
            </w:r>
          </w:p>
        </w:tc>
        <w:tc>
          <w:tcPr>
            <w:tcW w:w="6220" w:type="dxa"/>
          </w:tcPr>
          <w:p w:rsidR="008237BB" w:rsidRPr="00A819A7"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A819A7">
              <w:t>Mean Low Water Springs. The long-term mean of the heights of two successive low waters over the same periods as defined for MHWS.(Source: Maritime Safety Queensland</w:t>
            </w:r>
            <w:r w:rsidR="005B482F">
              <w:rPr>
                <w:rStyle w:val="FootnoteReference"/>
              </w:rPr>
              <w:footnoteReference w:id="3"/>
            </w:r>
            <w:r w:rsidRPr="00A819A7">
              <w:t>)</w:t>
            </w:r>
          </w:p>
        </w:tc>
      </w:tr>
      <w:tr w:rsidR="008237BB" w:rsidRPr="00A819A7" w:rsidTr="00FE6048">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Pr="00A819A7" w:rsidRDefault="008237BB" w:rsidP="001D132F">
            <w:pPr>
              <w:pStyle w:val="Tabletextleft"/>
            </w:pPr>
            <w:r w:rsidRPr="00A819A7">
              <w:lastRenderedPageBreak/>
              <w:t>MSL</w:t>
            </w:r>
          </w:p>
        </w:tc>
        <w:tc>
          <w:tcPr>
            <w:tcW w:w="6220" w:type="dxa"/>
          </w:tcPr>
          <w:p w:rsidR="008237BB" w:rsidRPr="00A819A7"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A819A7">
              <w:t>Mean Sea Level</w:t>
            </w:r>
          </w:p>
        </w:tc>
      </w:tr>
      <w:tr w:rsidR="008237BB" w:rsidRPr="00A819A7" w:rsidTr="00FE6048">
        <w:trPr>
          <w:cnfStyle w:val="000000010000" w:firstRow="0" w:lastRow="0" w:firstColumn="0" w:lastColumn="0" w:oddVBand="0" w:evenVBand="0" w:oddHBand="0" w:evenHBand="1"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Default="008237BB" w:rsidP="001D132F">
            <w:pPr>
              <w:pStyle w:val="Tabletextleft"/>
            </w:pPr>
            <w:r>
              <w:t>PDF</w:t>
            </w:r>
          </w:p>
        </w:tc>
        <w:tc>
          <w:tcPr>
            <w:tcW w:w="6220" w:type="dxa"/>
          </w:tcPr>
          <w:p w:rsidR="008237BB" w:rsidRPr="00A819A7"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A819A7">
              <w:t>Probability Density Function</w:t>
            </w:r>
          </w:p>
        </w:tc>
      </w:tr>
      <w:tr w:rsidR="008237BB" w:rsidRPr="00A819A7" w:rsidTr="00FE6048">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Default="008237BB" w:rsidP="001D132F">
            <w:pPr>
              <w:pStyle w:val="Tabletextleft"/>
            </w:pPr>
            <w:r>
              <w:t>QCHG</w:t>
            </w:r>
          </w:p>
        </w:tc>
        <w:tc>
          <w:tcPr>
            <w:tcW w:w="6220" w:type="dxa"/>
          </w:tcPr>
          <w:p w:rsidR="008237BB" w:rsidRPr="00A819A7"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A819A7">
              <w:t>Queensland Coastal Hazards Guideline</w:t>
            </w:r>
          </w:p>
        </w:tc>
      </w:tr>
      <w:tr w:rsidR="008237BB" w:rsidRPr="00A819A7" w:rsidTr="00FE6048">
        <w:trPr>
          <w:cnfStyle w:val="000000010000" w:firstRow="0" w:lastRow="0" w:firstColumn="0" w:lastColumn="0" w:oddVBand="0" w:evenVBand="0" w:oddHBand="0" w:evenHBand="1"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Pr="00A819A7" w:rsidRDefault="008237BB" w:rsidP="001D132F">
            <w:pPr>
              <w:pStyle w:val="Tabletextleft"/>
              <w:rPr>
                <w:rFonts w:cs="Times"/>
                <w:sz w:val="24"/>
                <w:szCs w:val="24"/>
              </w:rPr>
            </w:pPr>
            <w:r w:rsidRPr="00A819A7">
              <w:t>Raster</w:t>
            </w:r>
          </w:p>
        </w:tc>
        <w:tc>
          <w:tcPr>
            <w:tcW w:w="6220" w:type="dxa"/>
          </w:tcPr>
          <w:p w:rsidR="008237BB" w:rsidRPr="00A819A7" w:rsidRDefault="008237BB" w:rsidP="001D132F">
            <w:pPr>
              <w:pStyle w:val="Tabletextleft"/>
              <w:cnfStyle w:val="000000010000" w:firstRow="0" w:lastRow="0" w:firstColumn="0" w:lastColumn="0" w:oddVBand="0" w:evenVBand="0" w:oddHBand="0" w:evenHBand="1" w:firstRowFirstColumn="0" w:firstRowLastColumn="0" w:lastRowFirstColumn="0" w:lastRowLastColumn="0"/>
              <w:rPr>
                <w:rFonts w:cs="Times"/>
                <w:sz w:val="24"/>
                <w:szCs w:val="24"/>
              </w:rPr>
            </w:pPr>
            <w:r w:rsidRPr="00A819A7">
              <w:t>Regular square mesh spatial data</w:t>
            </w:r>
          </w:p>
        </w:tc>
      </w:tr>
      <w:tr w:rsidR="008237BB" w:rsidRPr="00A819A7" w:rsidTr="00FE6048">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Default="008237BB" w:rsidP="001D132F">
            <w:pPr>
              <w:pStyle w:val="Tabletextleft"/>
            </w:pPr>
            <w:r>
              <w:t>RCM</w:t>
            </w:r>
          </w:p>
        </w:tc>
        <w:tc>
          <w:tcPr>
            <w:tcW w:w="6220" w:type="dxa"/>
          </w:tcPr>
          <w:p w:rsidR="008237BB" w:rsidRPr="00A819A7"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A819A7">
              <w:t>Regional Climate Model</w:t>
            </w:r>
          </w:p>
        </w:tc>
      </w:tr>
      <w:tr w:rsidR="008237BB" w:rsidRPr="00A819A7" w:rsidTr="00FE6048">
        <w:trPr>
          <w:cnfStyle w:val="000000010000" w:firstRow="0" w:lastRow="0" w:firstColumn="0" w:lastColumn="0" w:oddVBand="0" w:evenVBand="0" w:oddHBand="0" w:evenHBand="1"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Pr="00A819A7" w:rsidRDefault="008237BB" w:rsidP="001D132F">
            <w:pPr>
              <w:pStyle w:val="Tabletextleft"/>
            </w:pPr>
            <w:r w:rsidRPr="00A819A7">
              <w:t>Return Period (RP)</w:t>
            </w:r>
          </w:p>
        </w:tc>
        <w:tc>
          <w:tcPr>
            <w:tcW w:w="6220" w:type="dxa"/>
          </w:tcPr>
          <w:p w:rsidR="008237BB" w:rsidRPr="00A819A7"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A819A7">
              <w:t xml:space="preserve">The average or expected period between exceedances of a given event magnitude. Equivalent to the Average Recurrence Interval. </w:t>
            </w:r>
          </w:p>
        </w:tc>
      </w:tr>
      <w:tr w:rsidR="008237BB" w:rsidRPr="00A819A7" w:rsidTr="00FE6048">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Pr="00A819A7" w:rsidRDefault="008237BB" w:rsidP="001D132F">
            <w:pPr>
              <w:pStyle w:val="Tabletextleft"/>
              <w:rPr>
                <w:rFonts w:cs="Times"/>
                <w:sz w:val="24"/>
                <w:szCs w:val="24"/>
              </w:rPr>
            </w:pPr>
            <w:r w:rsidRPr="00A819A7">
              <w:t>RMW</w:t>
            </w:r>
          </w:p>
        </w:tc>
        <w:tc>
          <w:tcPr>
            <w:tcW w:w="6220" w:type="dxa"/>
          </w:tcPr>
          <w:p w:rsidR="008237BB" w:rsidRPr="00A819A7" w:rsidRDefault="008237BB" w:rsidP="001D132F">
            <w:pPr>
              <w:pStyle w:val="Tabletextleft"/>
              <w:cnfStyle w:val="000000100000" w:firstRow="0" w:lastRow="0" w:firstColumn="0" w:lastColumn="0" w:oddVBand="0" w:evenVBand="0" w:oddHBand="1" w:evenHBand="0" w:firstRowFirstColumn="0" w:firstRowLastColumn="0" w:lastRowFirstColumn="0" w:lastRowLastColumn="0"/>
              <w:rPr>
                <w:rFonts w:cs="Times"/>
                <w:sz w:val="24"/>
                <w:szCs w:val="24"/>
              </w:rPr>
            </w:pPr>
            <w:r w:rsidRPr="00A819A7">
              <w:t>Radius of Maximum Winds</w:t>
            </w:r>
          </w:p>
        </w:tc>
      </w:tr>
      <w:tr w:rsidR="008237BB" w:rsidRPr="00A819A7" w:rsidTr="00FE6048">
        <w:trPr>
          <w:cnfStyle w:val="000000010000" w:firstRow="0" w:lastRow="0" w:firstColumn="0" w:lastColumn="0" w:oddVBand="0" w:evenVBand="0" w:oddHBand="0" w:evenHBand="1"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Default="008237BB" w:rsidP="001D132F">
            <w:pPr>
              <w:pStyle w:val="Tabletextleft"/>
            </w:pPr>
            <w:r>
              <w:t>SEQCARI</w:t>
            </w:r>
          </w:p>
        </w:tc>
        <w:tc>
          <w:tcPr>
            <w:tcW w:w="6220" w:type="dxa"/>
          </w:tcPr>
          <w:p w:rsidR="008237BB" w:rsidRPr="00A819A7"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A819A7">
              <w:t>South East Queensland Climate Adaptation Research Initiative</w:t>
            </w:r>
          </w:p>
        </w:tc>
      </w:tr>
      <w:tr w:rsidR="008237BB" w:rsidRPr="00A819A7" w:rsidTr="00FE6048">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Pr="00A819A7" w:rsidRDefault="008237BB" w:rsidP="001D132F">
            <w:pPr>
              <w:pStyle w:val="Tabletextleft"/>
              <w:rPr>
                <w:rFonts w:cs="Times"/>
                <w:sz w:val="24"/>
                <w:szCs w:val="24"/>
              </w:rPr>
            </w:pPr>
            <w:r w:rsidRPr="00A819A7">
              <w:t>SLR</w:t>
            </w:r>
          </w:p>
        </w:tc>
        <w:tc>
          <w:tcPr>
            <w:tcW w:w="6220" w:type="dxa"/>
          </w:tcPr>
          <w:p w:rsidR="008237BB" w:rsidRPr="00A819A7" w:rsidRDefault="008237BB" w:rsidP="001D132F">
            <w:pPr>
              <w:pStyle w:val="Tabletextleft"/>
              <w:cnfStyle w:val="000000100000" w:firstRow="0" w:lastRow="0" w:firstColumn="0" w:lastColumn="0" w:oddVBand="0" w:evenVBand="0" w:oddHBand="1" w:evenHBand="0" w:firstRowFirstColumn="0" w:firstRowLastColumn="0" w:lastRowFirstColumn="0" w:lastRowLastColumn="0"/>
              <w:rPr>
                <w:rFonts w:cs="Times"/>
                <w:sz w:val="24"/>
                <w:szCs w:val="24"/>
              </w:rPr>
            </w:pPr>
            <w:r w:rsidRPr="00A819A7">
              <w:t>Sea-Level Rise</w:t>
            </w:r>
          </w:p>
        </w:tc>
      </w:tr>
      <w:tr w:rsidR="008237BB" w:rsidRPr="00A819A7" w:rsidTr="00FE6048">
        <w:trPr>
          <w:cnfStyle w:val="000000010000" w:firstRow="0" w:lastRow="0" w:firstColumn="0" w:lastColumn="0" w:oddVBand="0" w:evenVBand="0" w:oddHBand="0" w:evenHBand="1"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Default="008237BB" w:rsidP="001D132F">
            <w:pPr>
              <w:pStyle w:val="Tabletextleft"/>
            </w:pPr>
            <w:r>
              <w:t>SRES</w:t>
            </w:r>
          </w:p>
        </w:tc>
        <w:tc>
          <w:tcPr>
            <w:tcW w:w="6220" w:type="dxa"/>
          </w:tcPr>
          <w:p w:rsidR="008237BB" w:rsidRPr="00A819A7"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A819A7">
              <w:t>Special Report on Emissions Scenarios (IPCC AR4)</w:t>
            </w:r>
          </w:p>
        </w:tc>
      </w:tr>
      <w:tr w:rsidR="008237BB" w:rsidRPr="00A819A7" w:rsidTr="00FE6048">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Default="008237BB" w:rsidP="001D132F">
            <w:pPr>
              <w:pStyle w:val="Tabletextleft"/>
            </w:pPr>
            <w:r>
              <w:t>Storm tide</w:t>
            </w:r>
          </w:p>
        </w:tc>
        <w:tc>
          <w:tcPr>
            <w:tcW w:w="6220" w:type="dxa"/>
          </w:tcPr>
          <w:p w:rsidR="008237BB" w:rsidRPr="00A819A7"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A819A7">
              <w:t>Describes the increase in water level from the combined effect of astronomical tide, storm surge and wave set up.</w:t>
            </w:r>
          </w:p>
        </w:tc>
      </w:tr>
      <w:tr w:rsidR="008237BB" w:rsidRPr="00A819A7" w:rsidTr="00FE6048">
        <w:trPr>
          <w:cnfStyle w:val="000000010000" w:firstRow="0" w:lastRow="0" w:firstColumn="0" w:lastColumn="0" w:oddVBand="0" w:evenVBand="0" w:oddHBand="0" w:evenHBand="1"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Pr="00A819A7" w:rsidRDefault="008237BB" w:rsidP="001D132F">
            <w:pPr>
              <w:pStyle w:val="Tabletextleft"/>
              <w:rPr>
                <w:rFonts w:cs="Times"/>
                <w:sz w:val="24"/>
                <w:szCs w:val="24"/>
              </w:rPr>
            </w:pPr>
            <w:r w:rsidRPr="00A819A7">
              <w:t>TC</w:t>
            </w:r>
          </w:p>
        </w:tc>
        <w:tc>
          <w:tcPr>
            <w:tcW w:w="6220" w:type="dxa"/>
          </w:tcPr>
          <w:p w:rsidR="008237BB" w:rsidRPr="00A819A7" w:rsidRDefault="008237BB" w:rsidP="001D132F">
            <w:pPr>
              <w:pStyle w:val="Tabletextleft"/>
              <w:cnfStyle w:val="000000010000" w:firstRow="0" w:lastRow="0" w:firstColumn="0" w:lastColumn="0" w:oddVBand="0" w:evenVBand="0" w:oddHBand="0" w:evenHBand="1" w:firstRowFirstColumn="0" w:firstRowLastColumn="0" w:lastRowFirstColumn="0" w:lastRowLastColumn="0"/>
              <w:rPr>
                <w:rFonts w:cs="Times"/>
                <w:sz w:val="24"/>
                <w:szCs w:val="24"/>
              </w:rPr>
            </w:pPr>
            <w:r w:rsidRPr="00A819A7">
              <w:t>Tropical Cyclone</w:t>
            </w:r>
          </w:p>
        </w:tc>
      </w:tr>
      <w:tr w:rsidR="008237BB" w:rsidRPr="00A819A7" w:rsidTr="00FE6048">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Default="008237BB" w:rsidP="001D132F">
            <w:pPr>
              <w:pStyle w:val="Tabletextleft"/>
            </w:pPr>
            <w:r>
              <w:t>TCRM</w:t>
            </w:r>
          </w:p>
        </w:tc>
        <w:tc>
          <w:tcPr>
            <w:tcW w:w="6220" w:type="dxa"/>
          </w:tcPr>
          <w:p w:rsidR="008237BB" w:rsidRPr="00A819A7"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A819A7">
              <w:t>Tropical Cyclone Risk Model</w:t>
            </w:r>
          </w:p>
        </w:tc>
      </w:tr>
      <w:tr w:rsidR="008237BB" w:rsidRPr="00A819A7" w:rsidTr="00FE6048">
        <w:trPr>
          <w:cnfStyle w:val="000000010000" w:firstRow="0" w:lastRow="0" w:firstColumn="0" w:lastColumn="0" w:oddVBand="0" w:evenVBand="0" w:oddHBand="0" w:evenHBand="1"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2285" w:type="dxa"/>
          </w:tcPr>
          <w:p w:rsidR="008237BB" w:rsidRPr="00A819A7" w:rsidRDefault="008237BB" w:rsidP="001D132F">
            <w:pPr>
              <w:pStyle w:val="Tabletextleft"/>
            </w:pPr>
            <w:r>
              <w:t>Topographic LiDAR</w:t>
            </w:r>
          </w:p>
        </w:tc>
        <w:tc>
          <w:tcPr>
            <w:tcW w:w="6220" w:type="dxa"/>
          </w:tcPr>
          <w:p w:rsidR="008237BB" w:rsidRPr="00A819A7"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A819A7">
              <w:t>Onshore LiDAR derived elevation data or digital elevation model</w:t>
            </w:r>
          </w:p>
        </w:tc>
      </w:tr>
    </w:tbl>
    <w:p w:rsidR="0066054E" w:rsidRDefault="0066054E" w:rsidP="0066054E">
      <w:pPr>
        <w:pStyle w:val="BodyText"/>
      </w:pPr>
      <w:bookmarkStart w:id="175" w:name="_Toc346261427"/>
      <w:bookmarkStart w:id="176" w:name="_Toc346632724"/>
      <w:bookmarkStart w:id="177" w:name="_Toc346632836"/>
      <w:bookmarkStart w:id="178" w:name="_Toc346632948"/>
      <w:bookmarkStart w:id="179" w:name="_Toc346633060"/>
      <w:bookmarkStart w:id="180" w:name="_Toc346633172"/>
      <w:bookmarkStart w:id="181" w:name="_Toc347401605"/>
      <w:bookmarkStart w:id="182" w:name="_Toc347401717"/>
      <w:bookmarkStart w:id="183" w:name="_Toc347401829"/>
      <w:bookmarkStart w:id="184" w:name="_Toc347401941"/>
      <w:bookmarkStart w:id="185" w:name="_Toc347402053"/>
      <w:bookmarkStart w:id="186" w:name="_Toc349055233"/>
      <w:bookmarkStart w:id="187" w:name="_Toc349055346"/>
      <w:bookmarkStart w:id="188" w:name="_Toc349055459"/>
      <w:bookmarkStart w:id="189" w:name="_Toc349055572"/>
      <w:bookmarkStart w:id="190" w:name="_Toc349055685"/>
      <w:bookmarkStart w:id="191" w:name="_Toc349116903"/>
      <w:bookmarkStart w:id="192" w:name="_Toc350330003"/>
      <w:bookmarkStart w:id="193" w:name="_Toc350343981"/>
      <w:bookmarkStart w:id="194" w:name="_Toc354404023"/>
      <w:bookmarkStart w:id="195" w:name="_Toc354492687"/>
      <w:bookmarkStart w:id="196" w:name="_Toc354492828"/>
      <w:bookmarkStart w:id="197" w:name="_Toc354492934"/>
      <w:bookmarkStart w:id="198" w:name="_Toc354493064"/>
      <w:bookmarkStart w:id="199" w:name="_Toc354493225"/>
      <w:bookmarkStart w:id="200" w:name="_Toc354493694"/>
      <w:bookmarkStart w:id="201" w:name="_Toc354494229"/>
      <w:bookmarkStart w:id="202" w:name="_Toc354494447"/>
      <w:bookmarkStart w:id="203" w:name="_Toc354494658"/>
      <w:bookmarkStart w:id="204" w:name="_Toc354494952"/>
      <w:bookmarkStart w:id="205" w:name="_Toc354497835"/>
      <w:bookmarkStart w:id="206" w:name="_Toc354561248"/>
      <w:bookmarkStart w:id="207" w:name="_Toc355249588"/>
      <w:r>
        <w:br w:type="page"/>
      </w:r>
    </w:p>
    <w:p w:rsidR="008237BB" w:rsidRPr="0066054E" w:rsidRDefault="008237BB" w:rsidP="0066054E">
      <w:pPr>
        <w:pStyle w:val="Head1nonumbers"/>
      </w:pPr>
      <w:bookmarkStart w:id="208" w:name="_Toc357586060"/>
      <w:r w:rsidRPr="0066054E">
        <w:lastRenderedPageBreak/>
        <w:t>Figures</w:t>
      </w:r>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p>
    <w:p w:rsidR="00356FFD" w:rsidRDefault="007D5A42">
      <w:pPr>
        <w:pStyle w:val="TableofFigures"/>
        <w:rPr>
          <w:rFonts w:asciiTheme="minorHAnsi" w:eastAsiaTheme="minorEastAsia" w:hAnsiTheme="minorHAnsi" w:cstheme="minorBidi"/>
          <w:sz w:val="22"/>
          <w:szCs w:val="22"/>
        </w:rPr>
      </w:pPr>
      <w:r>
        <w:fldChar w:fldCharType="begin"/>
      </w:r>
      <w:r>
        <w:instrText xml:space="preserve"> TOC \h \z \c "Figure" </w:instrText>
      </w:r>
      <w:r>
        <w:fldChar w:fldCharType="separate"/>
      </w:r>
      <w:hyperlink w:anchor="_Toc356489936" w:history="1">
        <w:r w:rsidR="00356FFD" w:rsidRPr="000E3B8A">
          <w:rPr>
            <w:rStyle w:val="Hyperlink"/>
          </w:rPr>
          <w:t>Figure 2.1. The Rockhampton study region (black outline) and primary roads (red lines).</w:t>
        </w:r>
        <w:r w:rsidR="00356FFD">
          <w:rPr>
            <w:webHidden/>
          </w:rPr>
          <w:tab/>
        </w:r>
        <w:r w:rsidR="00356FFD">
          <w:rPr>
            <w:webHidden/>
          </w:rPr>
          <w:fldChar w:fldCharType="begin"/>
        </w:r>
        <w:r w:rsidR="00356FFD">
          <w:rPr>
            <w:webHidden/>
          </w:rPr>
          <w:instrText xml:space="preserve"> PAGEREF _Toc356489936 \h </w:instrText>
        </w:r>
        <w:r w:rsidR="00356FFD">
          <w:rPr>
            <w:webHidden/>
          </w:rPr>
        </w:r>
        <w:r w:rsidR="00356FFD">
          <w:rPr>
            <w:webHidden/>
          </w:rPr>
          <w:fldChar w:fldCharType="separate"/>
        </w:r>
        <w:r w:rsidR="00413858">
          <w:rPr>
            <w:webHidden/>
          </w:rPr>
          <w:t>11</w:t>
        </w:r>
        <w:r w:rsidR="00356FFD">
          <w:rPr>
            <w:webHidden/>
          </w:rPr>
          <w:fldChar w:fldCharType="end"/>
        </w:r>
      </w:hyperlink>
    </w:p>
    <w:p w:rsidR="00356FFD" w:rsidRDefault="007F11CF">
      <w:pPr>
        <w:pStyle w:val="TableofFigures"/>
        <w:rPr>
          <w:rFonts w:asciiTheme="minorHAnsi" w:eastAsiaTheme="minorEastAsia" w:hAnsiTheme="minorHAnsi" w:cstheme="minorBidi"/>
          <w:sz w:val="22"/>
          <w:szCs w:val="22"/>
        </w:rPr>
      </w:pPr>
      <w:hyperlink w:anchor="_Toc356489937" w:history="1">
        <w:r w:rsidR="00356FFD" w:rsidRPr="000E3B8A">
          <w:rPr>
            <w:rStyle w:val="Hyperlink"/>
          </w:rPr>
          <w:t>Figure 2.2. Multi-model averages and assessed ranges for surface warming (IPCC, 2007a).</w:t>
        </w:r>
        <w:r w:rsidR="00356FFD">
          <w:rPr>
            <w:webHidden/>
          </w:rPr>
          <w:tab/>
        </w:r>
        <w:r w:rsidR="00356FFD">
          <w:rPr>
            <w:webHidden/>
          </w:rPr>
          <w:fldChar w:fldCharType="begin"/>
        </w:r>
        <w:r w:rsidR="00356FFD">
          <w:rPr>
            <w:webHidden/>
          </w:rPr>
          <w:instrText xml:space="preserve"> PAGEREF _Toc356489937 \h </w:instrText>
        </w:r>
        <w:r w:rsidR="00356FFD">
          <w:rPr>
            <w:webHidden/>
          </w:rPr>
        </w:r>
        <w:r w:rsidR="00356FFD">
          <w:rPr>
            <w:webHidden/>
          </w:rPr>
          <w:fldChar w:fldCharType="separate"/>
        </w:r>
        <w:r w:rsidR="00413858">
          <w:rPr>
            <w:webHidden/>
          </w:rPr>
          <w:t>14</w:t>
        </w:r>
        <w:r w:rsidR="00356FFD">
          <w:rPr>
            <w:webHidden/>
          </w:rPr>
          <w:fldChar w:fldCharType="end"/>
        </w:r>
      </w:hyperlink>
    </w:p>
    <w:p w:rsidR="00356FFD" w:rsidRDefault="007F11CF">
      <w:pPr>
        <w:pStyle w:val="TableofFigures"/>
        <w:rPr>
          <w:rFonts w:asciiTheme="minorHAnsi" w:eastAsiaTheme="minorEastAsia" w:hAnsiTheme="minorHAnsi" w:cstheme="minorBidi"/>
          <w:sz w:val="22"/>
          <w:szCs w:val="22"/>
        </w:rPr>
      </w:pPr>
      <w:hyperlink w:anchor="_Toc356489938" w:history="1">
        <w:r w:rsidR="00356FFD" w:rsidRPr="000E3B8A">
          <w:rPr>
            <w:rStyle w:val="Hyperlink"/>
          </w:rPr>
          <w:t>Figure 3.1 Current-climate 50 year ARI TC wind hazard.</w:t>
        </w:r>
        <w:r w:rsidR="00356FFD">
          <w:rPr>
            <w:webHidden/>
          </w:rPr>
          <w:tab/>
        </w:r>
        <w:r w:rsidR="00356FFD">
          <w:rPr>
            <w:webHidden/>
          </w:rPr>
          <w:fldChar w:fldCharType="begin"/>
        </w:r>
        <w:r w:rsidR="00356FFD">
          <w:rPr>
            <w:webHidden/>
          </w:rPr>
          <w:instrText xml:space="preserve"> PAGEREF _Toc356489938 \h </w:instrText>
        </w:r>
        <w:r w:rsidR="00356FFD">
          <w:rPr>
            <w:webHidden/>
          </w:rPr>
        </w:r>
        <w:r w:rsidR="00356FFD">
          <w:rPr>
            <w:webHidden/>
          </w:rPr>
          <w:fldChar w:fldCharType="separate"/>
        </w:r>
        <w:r w:rsidR="00413858">
          <w:rPr>
            <w:webHidden/>
          </w:rPr>
          <w:t>16</w:t>
        </w:r>
        <w:r w:rsidR="00356FFD">
          <w:rPr>
            <w:webHidden/>
          </w:rPr>
          <w:fldChar w:fldCharType="end"/>
        </w:r>
      </w:hyperlink>
    </w:p>
    <w:p w:rsidR="00356FFD" w:rsidRDefault="007F11CF">
      <w:pPr>
        <w:pStyle w:val="TableofFigures"/>
        <w:rPr>
          <w:rFonts w:asciiTheme="minorHAnsi" w:eastAsiaTheme="minorEastAsia" w:hAnsiTheme="minorHAnsi" w:cstheme="minorBidi"/>
          <w:sz w:val="22"/>
          <w:szCs w:val="22"/>
        </w:rPr>
      </w:pPr>
      <w:hyperlink w:anchor="_Toc356489939" w:history="1">
        <w:r w:rsidR="00356FFD" w:rsidRPr="000E3B8A">
          <w:rPr>
            <w:rStyle w:val="Hyperlink"/>
          </w:rPr>
          <w:t>Figure 3.2. 2090 50 year ARI TC wind hazard for the SRES A2 scenario.</w:t>
        </w:r>
        <w:r w:rsidR="00356FFD">
          <w:rPr>
            <w:webHidden/>
          </w:rPr>
          <w:tab/>
        </w:r>
        <w:r w:rsidR="00356FFD">
          <w:rPr>
            <w:webHidden/>
          </w:rPr>
          <w:fldChar w:fldCharType="begin"/>
        </w:r>
        <w:r w:rsidR="00356FFD">
          <w:rPr>
            <w:webHidden/>
          </w:rPr>
          <w:instrText xml:space="preserve"> PAGEREF _Toc356489939 \h </w:instrText>
        </w:r>
        <w:r w:rsidR="00356FFD">
          <w:rPr>
            <w:webHidden/>
          </w:rPr>
        </w:r>
        <w:r w:rsidR="00356FFD">
          <w:rPr>
            <w:webHidden/>
          </w:rPr>
          <w:fldChar w:fldCharType="separate"/>
        </w:r>
        <w:r w:rsidR="00413858">
          <w:rPr>
            <w:webHidden/>
          </w:rPr>
          <w:t>16</w:t>
        </w:r>
        <w:r w:rsidR="00356FFD">
          <w:rPr>
            <w:webHidden/>
          </w:rPr>
          <w:fldChar w:fldCharType="end"/>
        </w:r>
      </w:hyperlink>
    </w:p>
    <w:p w:rsidR="00356FFD" w:rsidRDefault="007F11CF">
      <w:pPr>
        <w:pStyle w:val="TableofFigures"/>
        <w:rPr>
          <w:rFonts w:asciiTheme="minorHAnsi" w:eastAsiaTheme="minorEastAsia" w:hAnsiTheme="minorHAnsi" w:cstheme="minorBidi"/>
          <w:sz w:val="22"/>
          <w:szCs w:val="22"/>
        </w:rPr>
      </w:pPr>
      <w:hyperlink w:anchor="_Toc356489940" w:history="1">
        <w:r w:rsidR="00356FFD" w:rsidRPr="000E3B8A">
          <w:rPr>
            <w:rStyle w:val="Hyperlink"/>
          </w:rPr>
          <w:t>Figure 4.1. Rockhampton region Fire Danger Rating, current-climate – 50 year ARI. See Appendix B for a description/discussion of the region of lower confidence (dashed area).</w:t>
        </w:r>
        <w:r w:rsidR="00356FFD">
          <w:rPr>
            <w:webHidden/>
          </w:rPr>
          <w:tab/>
        </w:r>
        <w:r w:rsidR="00356FFD">
          <w:rPr>
            <w:webHidden/>
          </w:rPr>
          <w:fldChar w:fldCharType="begin"/>
        </w:r>
        <w:r w:rsidR="00356FFD">
          <w:rPr>
            <w:webHidden/>
          </w:rPr>
          <w:instrText xml:space="preserve"> PAGEREF _Toc356489940 \h </w:instrText>
        </w:r>
        <w:r w:rsidR="00356FFD">
          <w:rPr>
            <w:webHidden/>
          </w:rPr>
        </w:r>
        <w:r w:rsidR="00356FFD">
          <w:rPr>
            <w:webHidden/>
          </w:rPr>
          <w:fldChar w:fldCharType="separate"/>
        </w:r>
        <w:r w:rsidR="00413858">
          <w:rPr>
            <w:webHidden/>
          </w:rPr>
          <w:t>20</w:t>
        </w:r>
        <w:r w:rsidR="00356FFD">
          <w:rPr>
            <w:webHidden/>
          </w:rPr>
          <w:fldChar w:fldCharType="end"/>
        </w:r>
      </w:hyperlink>
    </w:p>
    <w:p w:rsidR="00356FFD" w:rsidRDefault="007F11CF">
      <w:pPr>
        <w:pStyle w:val="TableofFigures"/>
        <w:rPr>
          <w:rFonts w:asciiTheme="minorHAnsi" w:eastAsiaTheme="minorEastAsia" w:hAnsiTheme="minorHAnsi" w:cstheme="minorBidi"/>
          <w:sz w:val="22"/>
          <w:szCs w:val="22"/>
        </w:rPr>
      </w:pPr>
      <w:hyperlink w:anchor="_Toc356489941" w:history="1">
        <w:r w:rsidR="00356FFD" w:rsidRPr="000E3B8A">
          <w:rPr>
            <w:rStyle w:val="Hyperlink"/>
          </w:rPr>
          <w:t>Figure 4.2. Rockhampton region Fire Danger Rating, 2090 – 50 year ARI (A2 scenario). See Appendix B for a description/discussion of the region of lower confidence (dashed area).</w:t>
        </w:r>
        <w:r w:rsidR="00356FFD">
          <w:rPr>
            <w:webHidden/>
          </w:rPr>
          <w:tab/>
        </w:r>
        <w:r w:rsidR="00356FFD">
          <w:rPr>
            <w:webHidden/>
          </w:rPr>
          <w:fldChar w:fldCharType="begin"/>
        </w:r>
        <w:r w:rsidR="00356FFD">
          <w:rPr>
            <w:webHidden/>
          </w:rPr>
          <w:instrText xml:space="preserve"> PAGEREF _Toc356489941 \h </w:instrText>
        </w:r>
        <w:r w:rsidR="00356FFD">
          <w:rPr>
            <w:webHidden/>
          </w:rPr>
        </w:r>
        <w:r w:rsidR="00356FFD">
          <w:rPr>
            <w:webHidden/>
          </w:rPr>
          <w:fldChar w:fldCharType="separate"/>
        </w:r>
        <w:r w:rsidR="00413858">
          <w:rPr>
            <w:webHidden/>
          </w:rPr>
          <w:t>21</w:t>
        </w:r>
        <w:r w:rsidR="00356FFD">
          <w:rPr>
            <w:webHidden/>
          </w:rPr>
          <w:fldChar w:fldCharType="end"/>
        </w:r>
      </w:hyperlink>
    </w:p>
    <w:p w:rsidR="00356FFD" w:rsidRDefault="007F11CF">
      <w:pPr>
        <w:pStyle w:val="TableofFigures"/>
        <w:rPr>
          <w:rFonts w:asciiTheme="minorHAnsi" w:eastAsiaTheme="minorEastAsia" w:hAnsiTheme="minorHAnsi" w:cstheme="minorBidi"/>
          <w:sz w:val="22"/>
          <w:szCs w:val="22"/>
        </w:rPr>
      </w:pPr>
      <w:hyperlink w:anchor="_Toc356489942" w:history="1">
        <w:r w:rsidR="00356FFD" w:rsidRPr="000E3B8A">
          <w:rPr>
            <w:rStyle w:val="Hyperlink"/>
          </w:rPr>
          <w:t>Figure 5.1. Current climate - tropical cyclone storm tide inundation.</w:t>
        </w:r>
        <w:r w:rsidR="00356FFD">
          <w:rPr>
            <w:webHidden/>
          </w:rPr>
          <w:tab/>
        </w:r>
        <w:r w:rsidR="00356FFD">
          <w:rPr>
            <w:webHidden/>
          </w:rPr>
          <w:fldChar w:fldCharType="begin"/>
        </w:r>
        <w:r w:rsidR="00356FFD">
          <w:rPr>
            <w:webHidden/>
          </w:rPr>
          <w:instrText xml:space="preserve"> PAGEREF _Toc356489942 \h </w:instrText>
        </w:r>
        <w:r w:rsidR="00356FFD">
          <w:rPr>
            <w:webHidden/>
          </w:rPr>
        </w:r>
        <w:r w:rsidR="00356FFD">
          <w:rPr>
            <w:webHidden/>
          </w:rPr>
          <w:fldChar w:fldCharType="separate"/>
        </w:r>
        <w:r w:rsidR="00413858">
          <w:rPr>
            <w:webHidden/>
          </w:rPr>
          <w:t>24</w:t>
        </w:r>
        <w:r w:rsidR="00356FFD">
          <w:rPr>
            <w:webHidden/>
          </w:rPr>
          <w:fldChar w:fldCharType="end"/>
        </w:r>
      </w:hyperlink>
    </w:p>
    <w:p w:rsidR="00356FFD" w:rsidRDefault="007F11CF">
      <w:pPr>
        <w:pStyle w:val="TableofFigures"/>
        <w:rPr>
          <w:rFonts w:asciiTheme="minorHAnsi" w:eastAsiaTheme="minorEastAsia" w:hAnsiTheme="minorHAnsi" w:cstheme="minorBidi"/>
          <w:sz w:val="22"/>
          <w:szCs w:val="22"/>
        </w:rPr>
      </w:pPr>
      <w:hyperlink w:anchor="_Toc356489943" w:history="1">
        <w:r w:rsidR="00356FFD" w:rsidRPr="000E3B8A">
          <w:rPr>
            <w:rStyle w:val="Hyperlink"/>
          </w:rPr>
          <w:t>Figure 5.2. Future-climate - 2100 sea-level rise (1.1 m) combined with tropical cyclone storm-tide inundation.</w:t>
        </w:r>
        <w:r w:rsidR="00356FFD">
          <w:rPr>
            <w:webHidden/>
          </w:rPr>
          <w:tab/>
        </w:r>
        <w:r w:rsidR="00356FFD">
          <w:rPr>
            <w:webHidden/>
          </w:rPr>
          <w:fldChar w:fldCharType="begin"/>
        </w:r>
        <w:r w:rsidR="00356FFD">
          <w:rPr>
            <w:webHidden/>
          </w:rPr>
          <w:instrText xml:space="preserve"> PAGEREF _Toc356489943 \h </w:instrText>
        </w:r>
        <w:r w:rsidR="00356FFD">
          <w:rPr>
            <w:webHidden/>
          </w:rPr>
        </w:r>
        <w:r w:rsidR="00356FFD">
          <w:rPr>
            <w:webHidden/>
          </w:rPr>
          <w:fldChar w:fldCharType="separate"/>
        </w:r>
        <w:r w:rsidR="00413858">
          <w:rPr>
            <w:webHidden/>
          </w:rPr>
          <w:t>25</w:t>
        </w:r>
        <w:r w:rsidR="00356FFD">
          <w:rPr>
            <w:webHidden/>
          </w:rPr>
          <w:fldChar w:fldCharType="end"/>
        </w:r>
      </w:hyperlink>
    </w:p>
    <w:p w:rsidR="00356FFD" w:rsidRDefault="007F11CF">
      <w:pPr>
        <w:pStyle w:val="TableofFigures"/>
        <w:rPr>
          <w:rFonts w:asciiTheme="minorHAnsi" w:eastAsiaTheme="minorEastAsia" w:hAnsiTheme="minorHAnsi" w:cstheme="minorBidi"/>
          <w:sz w:val="22"/>
          <w:szCs w:val="22"/>
        </w:rPr>
      </w:pPr>
      <w:hyperlink w:anchor="_Toc356489944" w:history="1">
        <w:r w:rsidR="00356FFD" w:rsidRPr="000E3B8A">
          <w:rPr>
            <w:rStyle w:val="Hyperlink"/>
          </w:rPr>
          <w:t>Figure 6.1. Current-climate coastal erosion exposed coastline.</w:t>
        </w:r>
        <w:r w:rsidR="00356FFD">
          <w:rPr>
            <w:webHidden/>
          </w:rPr>
          <w:tab/>
        </w:r>
        <w:r w:rsidR="00356FFD">
          <w:rPr>
            <w:webHidden/>
          </w:rPr>
          <w:fldChar w:fldCharType="begin"/>
        </w:r>
        <w:r w:rsidR="00356FFD">
          <w:rPr>
            <w:webHidden/>
          </w:rPr>
          <w:instrText xml:space="preserve"> PAGEREF _Toc356489944 \h </w:instrText>
        </w:r>
        <w:r w:rsidR="00356FFD">
          <w:rPr>
            <w:webHidden/>
          </w:rPr>
        </w:r>
        <w:r w:rsidR="00356FFD">
          <w:rPr>
            <w:webHidden/>
          </w:rPr>
          <w:fldChar w:fldCharType="separate"/>
        </w:r>
        <w:r w:rsidR="00413858">
          <w:rPr>
            <w:webHidden/>
          </w:rPr>
          <w:t>29</w:t>
        </w:r>
        <w:r w:rsidR="00356FFD">
          <w:rPr>
            <w:webHidden/>
          </w:rPr>
          <w:fldChar w:fldCharType="end"/>
        </w:r>
      </w:hyperlink>
    </w:p>
    <w:p w:rsidR="00356FFD" w:rsidRDefault="007F11CF">
      <w:pPr>
        <w:pStyle w:val="TableofFigures"/>
        <w:rPr>
          <w:rFonts w:asciiTheme="minorHAnsi" w:eastAsiaTheme="minorEastAsia" w:hAnsiTheme="minorHAnsi" w:cstheme="minorBidi"/>
          <w:sz w:val="22"/>
          <w:szCs w:val="22"/>
        </w:rPr>
      </w:pPr>
      <w:hyperlink w:anchor="_Toc356489945" w:history="1">
        <w:r w:rsidR="00356FFD" w:rsidRPr="000E3B8A">
          <w:rPr>
            <w:rStyle w:val="Hyperlink"/>
          </w:rPr>
          <w:t>Figure 6.2. Future-climate (2100) coastal erosion exposed coastline.</w:t>
        </w:r>
        <w:r w:rsidR="00356FFD">
          <w:rPr>
            <w:webHidden/>
          </w:rPr>
          <w:tab/>
        </w:r>
        <w:r w:rsidR="00356FFD">
          <w:rPr>
            <w:webHidden/>
          </w:rPr>
          <w:fldChar w:fldCharType="begin"/>
        </w:r>
        <w:r w:rsidR="00356FFD">
          <w:rPr>
            <w:webHidden/>
          </w:rPr>
          <w:instrText xml:space="preserve"> PAGEREF _Toc356489945 \h </w:instrText>
        </w:r>
        <w:r w:rsidR="00356FFD">
          <w:rPr>
            <w:webHidden/>
          </w:rPr>
        </w:r>
        <w:r w:rsidR="00356FFD">
          <w:rPr>
            <w:webHidden/>
          </w:rPr>
          <w:fldChar w:fldCharType="separate"/>
        </w:r>
        <w:r w:rsidR="00413858">
          <w:rPr>
            <w:webHidden/>
          </w:rPr>
          <w:t>30</w:t>
        </w:r>
        <w:r w:rsidR="00356FFD">
          <w:rPr>
            <w:webHidden/>
          </w:rPr>
          <w:fldChar w:fldCharType="end"/>
        </w:r>
      </w:hyperlink>
    </w:p>
    <w:p w:rsidR="00356FFD" w:rsidRDefault="007F11CF">
      <w:pPr>
        <w:pStyle w:val="TableofFigures"/>
      </w:pPr>
      <w:hyperlink w:anchor="_Toc356489946" w:history="1">
        <w:r w:rsidR="00356FFD" w:rsidRPr="000E3B8A">
          <w:rPr>
            <w:rStyle w:val="Hyperlink"/>
          </w:rPr>
          <w:t>Figure 7.1. Sea-level rise inundation extent.</w:t>
        </w:r>
        <w:r w:rsidR="00356FFD">
          <w:rPr>
            <w:webHidden/>
          </w:rPr>
          <w:tab/>
        </w:r>
        <w:r w:rsidR="00356FFD">
          <w:rPr>
            <w:webHidden/>
          </w:rPr>
          <w:fldChar w:fldCharType="begin"/>
        </w:r>
        <w:r w:rsidR="00356FFD">
          <w:rPr>
            <w:webHidden/>
          </w:rPr>
          <w:instrText xml:space="preserve"> PAGEREF _Toc356489946 \h </w:instrText>
        </w:r>
        <w:r w:rsidR="00356FFD">
          <w:rPr>
            <w:webHidden/>
          </w:rPr>
        </w:r>
        <w:r w:rsidR="00356FFD">
          <w:rPr>
            <w:webHidden/>
          </w:rPr>
          <w:fldChar w:fldCharType="separate"/>
        </w:r>
        <w:r w:rsidR="00413858">
          <w:rPr>
            <w:webHidden/>
          </w:rPr>
          <w:t>32</w:t>
        </w:r>
        <w:r w:rsidR="00356FFD">
          <w:rPr>
            <w:webHidden/>
          </w:rPr>
          <w:fldChar w:fldCharType="end"/>
        </w:r>
      </w:hyperlink>
    </w:p>
    <w:p w:rsidR="00365346" w:rsidRDefault="00365346" w:rsidP="00365346">
      <w:pPr>
        <w:pStyle w:val="BodyText"/>
        <w:rPr>
          <w:noProof/>
        </w:rPr>
      </w:pPr>
      <w:r>
        <w:rPr>
          <w:noProof/>
        </w:rPr>
        <w:br w:type="page"/>
      </w:r>
    </w:p>
    <w:p w:rsidR="00365346" w:rsidRDefault="00365346" w:rsidP="00365346">
      <w:pPr>
        <w:pStyle w:val="Bodyblankpage"/>
        <w:rPr>
          <w:noProof/>
        </w:rPr>
      </w:pPr>
      <w:r>
        <w:rPr>
          <w:noProof/>
        </w:rPr>
        <w:lastRenderedPageBreak/>
        <w:t>This page is intentionally blank</w:t>
      </w:r>
    </w:p>
    <w:p w:rsidR="00365346" w:rsidRDefault="00365346" w:rsidP="00365346">
      <w:pPr>
        <w:pStyle w:val="BodyText"/>
        <w:rPr>
          <w:noProof/>
        </w:rPr>
      </w:pPr>
    </w:p>
    <w:p w:rsidR="008237BB" w:rsidRPr="009340CE" w:rsidRDefault="007D5A42" w:rsidP="000067F7">
      <w:pPr>
        <w:pStyle w:val="Heading1"/>
      </w:pPr>
      <w:r>
        <w:lastRenderedPageBreak/>
        <w:fldChar w:fldCharType="end"/>
      </w:r>
      <w:bookmarkStart w:id="209" w:name="_Toc354476672"/>
      <w:bookmarkStart w:id="210" w:name="_Toc354476796"/>
      <w:bookmarkStart w:id="211" w:name="_Toc354476920"/>
      <w:bookmarkStart w:id="212" w:name="_Toc354477044"/>
      <w:bookmarkStart w:id="213" w:name="_Toc354492688"/>
      <w:bookmarkStart w:id="214" w:name="_Toc354492829"/>
      <w:bookmarkStart w:id="215" w:name="_Toc354492935"/>
      <w:bookmarkStart w:id="216" w:name="_Toc354493065"/>
      <w:bookmarkStart w:id="217" w:name="_Toc354493226"/>
      <w:bookmarkStart w:id="218" w:name="_Toc354493695"/>
      <w:bookmarkStart w:id="219" w:name="_Toc354494230"/>
      <w:bookmarkStart w:id="220" w:name="_Toc354494339"/>
      <w:bookmarkStart w:id="221" w:name="_Toc354494448"/>
      <w:bookmarkStart w:id="222" w:name="_Toc354494659"/>
      <w:bookmarkStart w:id="223" w:name="_Toc354494953"/>
      <w:bookmarkStart w:id="224" w:name="_Toc346261429"/>
      <w:bookmarkStart w:id="225" w:name="_Toc346632726"/>
      <w:bookmarkStart w:id="226" w:name="_Toc346632838"/>
      <w:bookmarkStart w:id="227" w:name="_Toc346632950"/>
      <w:bookmarkStart w:id="228" w:name="_Toc346633062"/>
      <w:bookmarkStart w:id="229" w:name="_Toc346633174"/>
      <w:bookmarkStart w:id="230" w:name="_Toc347401607"/>
      <w:bookmarkStart w:id="231" w:name="_Toc347401719"/>
      <w:bookmarkStart w:id="232" w:name="_Toc347401831"/>
      <w:bookmarkStart w:id="233" w:name="_Toc347401943"/>
      <w:bookmarkStart w:id="234" w:name="_Toc347402055"/>
      <w:bookmarkStart w:id="235" w:name="_Toc349055235"/>
      <w:bookmarkStart w:id="236" w:name="_Toc349055348"/>
      <w:bookmarkStart w:id="237" w:name="_Toc349055461"/>
      <w:bookmarkStart w:id="238" w:name="_Toc349055574"/>
      <w:bookmarkStart w:id="239" w:name="_Toc349055687"/>
      <w:bookmarkStart w:id="240" w:name="_Toc349116904"/>
      <w:bookmarkStart w:id="241" w:name="_Toc350330004"/>
      <w:bookmarkStart w:id="242" w:name="_Toc350343982"/>
      <w:bookmarkStart w:id="243" w:name="_Toc354404024"/>
      <w:bookmarkStart w:id="244" w:name="_Toc354492689"/>
      <w:bookmarkStart w:id="245" w:name="_Toc354492830"/>
      <w:bookmarkStart w:id="246" w:name="_Toc354492936"/>
      <w:bookmarkStart w:id="247" w:name="_Toc354493066"/>
      <w:bookmarkStart w:id="248" w:name="_Toc354493227"/>
      <w:bookmarkStart w:id="249" w:name="_Toc354493696"/>
      <w:bookmarkStart w:id="250" w:name="_Toc354494231"/>
      <w:bookmarkStart w:id="251" w:name="_Toc354494449"/>
      <w:bookmarkStart w:id="252" w:name="_Toc354494660"/>
      <w:bookmarkStart w:id="253" w:name="_Toc354494954"/>
      <w:bookmarkStart w:id="254" w:name="_Toc354497836"/>
      <w:bookmarkStart w:id="255" w:name="_Toc354561249"/>
      <w:bookmarkStart w:id="256" w:name="_Toc355249589"/>
      <w:bookmarkStart w:id="257" w:name="_Toc357586061"/>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r w:rsidR="008237BB" w:rsidRPr="009340CE">
        <w:t xml:space="preserve">Executive </w:t>
      </w:r>
      <w:r w:rsidR="008237BB" w:rsidRPr="007D5A42">
        <w:t>summary</w:t>
      </w:r>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p>
    <w:p w:rsidR="008237BB" w:rsidRDefault="008237BB" w:rsidP="008237BB">
      <w:pPr>
        <w:pStyle w:val="BodyText"/>
      </w:pPr>
      <w:r>
        <w:t>Due to the developing understanding of the science, c</w:t>
      </w:r>
      <w:r w:rsidRPr="00C343B6">
        <w:t xml:space="preserve">limate change uncertainties present significant challenges for land use planning, emergency management and risk mitigation across Australia. </w:t>
      </w:r>
      <w:r>
        <w:t>Even in current-climate conditions, t</w:t>
      </w:r>
      <w:r w:rsidRPr="00C343B6">
        <w:t>he</w:t>
      </w:r>
      <w:r>
        <w:t xml:space="preserve"> Rockhampton</w:t>
      </w:r>
      <w:r w:rsidRPr="00C343B6">
        <w:t xml:space="preserve"> </w:t>
      </w:r>
      <w:r>
        <w:t>Regional Council area</w:t>
      </w:r>
      <w:r w:rsidRPr="00C343B6">
        <w:t xml:space="preserve"> is subject to</w:t>
      </w:r>
      <w:r>
        <w:t xml:space="preserve"> the</w:t>
      </w:r>
      <w:r w:rsidRPr="00C343B6">
        <w:t xml:space="preserve"> </w:t>
      </w:r>
      <w:r>
        <w:t>impacts of natural hazards, such as bushfires, floods, and tropical cyclones (extreme winds and</w:t>
      </w:r>
      <w:r w:rsidRPr="00C343B6">
        <w:t xml:space="preserve"> storm surge</w:t>
      </w:r>
      <w:r>
        <w:t xml:space="preserve">s). All of these hazards </w:t>
      </w:r>
      <w:r w:rsidRPr="00C343B6">
        <w:t>may worsen with climate change.</w:t>
      </w:r>
    </w:p>
    <w:p w:rsidR="008237BB" w:rsidRDefault="008237BB" w:rsidP="008237BB">
      <w:pPr>
        <w:pStyle w:val="BodyText"/>
      </w:pPr>
      <w:r w:rsidRPr="00C343B6">
        <w:t xml:space="preserve">The </w:t>
      </w:r>
      <w:r>
        <w:t>Commonwealth</w:t>
      </w:r>
      <w:r w:rsidRPr="00C343B6">
        <w:t xml:space="preserve"> Government’s </w:t>
      </w:r>
      <w:r>
        <w:t>first pass n</w:t>
      </w:r>
      <w:r w:rsidRPr="00C343B6">
        <w:t xml:space="preserve">ational </w:t>
      </w:r>
      <w:r>
        <w:t>a</w:t>
      </w:r>
      <w:r w:rsidRPr="00C343B6">
        <w:t>ssessment</w:t>
      </w:r>
      <w:r>
        <w:t xml:space="preserve"> of the potential impact of climate change on coastal infrastructure (Cechet </w:t>
      </w:r>
      <w:r w:rsidRPr="007B6C0C">
        <w:rPr>
          <w:rStyle w:val="Bodytextitalic"/>
        </w:rPr>
        <w:t>et al.,</w:t>
      </w:r>
      <w:r>
        <w:t xml:space="preserve"> 2012)</w:t>
      </w:r>
      <w:r w:rsidRPr="00C343B6">
        <w:t xml:space="preserve"> indicated that</w:t>
      </w:r>
      <w:r>
        <w:t>,</w:t>
      </w:r>
      <w:r w:rsidRPr="00C343B6">
        <w:t xml:space="preserve"> of the significantly populated Queensland </w:t>
      </w:r>
      <w:r>
        <w:t>Local Government Areas (</w:t>
      </w:r>
      <w:r w:rsidRPr="00C343B6">
        <w:t>LGAs</w:t>
      </w:r>
      <w:r>
        <w:t>)</w:t>
      </w:r>
      <w:r w:rsidRPr="00C343B6">
        <w:t>, the R</w:t>
      </w:r>
      <w:r>
        <w:t xml:space="preserve">ockhampton </w:t>
      </w:r>
      <w:r w:rsidRPr="00C343B6">
        <w:t>R</w:t>
      </w:r>
      <w:r>
        <w:t xml:space="preserve">egional </w:t>
      </w:r>
      <w:r w:rsidRPr="00C343B6">
        <w:t>C</w:t>
      </w:r>
      <w:r>
        <w:t>ouncil</w:t>
      </w:r>
      <w:r w:rsidRPr="00C343B6">
        <w:t xml:space="preserve"> </w:t>
      </w:r>
      <w:r>
        <w:t>has the largest</w:t>
      </w:r>
      <w:r w:rsidRPr="00C343B6">
        <w:t xml:space="preserve"> area potentially inundated</w:t>
      </w:r>
      <w:r>
        <w:t xml:space="preserve"> through the combined impacts of sea-level rise, coastal erosion and storm tide. Considering the expected population increase in Rockhampton (from under 117 000 people in 2011 to over 175 000 for 2031 under the high series prediction (Qld OESR, 2012)) even current-climate hazard will, through time, progressively expose greater numbers of people to the impact of natural disasters. A potential increase in future-climate hazard would further increase exposure. The Rockhampton Regional </w:t>
      </w:r>
      <w:r w:rsidRPr="00C343B6">
        <w:t>C</w:t>
      </w:r>
      <w:r>
        <w:t>ouncil</w:t>
      </w:r>
      <w:r w:rsidRPr="00C343B6">
        <w:t xml:space="preserve"> will </w:t>
      </w:r>
      <w:r>
        <w:t>need prudent planning</w:t>
      </w:r>
      <w:r w:rsidRPr="00C343B6">
        <w:t xml:space="preserve"> to accommodate the </w:t>
      </w:r>
      <w:r>
        <w:t>increased population while taking into account potential changes in the hazard</w:t>
      </w:r>
      <w:r w:rsidRPr="00C343B6">
        <w:t xml:space="preserve">. </w:t>
      </w:r>
      <w:r>
        <w:t xml:space="preserve">The process of </w:t>
      </w:r>
      <w:r w:rsidRPr="00C343B6">
        <w:t>incorporat</w:t>
      </w:r>
      <w:r>
        <w:t>ing</w:t>
      </w:r>
      <w:r w:rsidRPr="00C343B6">
        <w:t xml:space="preserve"> projected changes in hazards into planning processes offer</w:t>
      </w:r>
      <w:r>
        <w:t>s</w:t>
      </w:r>
      <w:r w:rsidRPr="00C343B6">
        <w:t xml:space="preserve"> important insights for other region</w:t>
      </w:r>
      <w:r>
        <w:t>al councils</w:t>
      </w:r>
      <w:r w:rsidRPr="00C343B6">
        <w:t xml:space="preserve"> in Australia.</w:t>
      </w:r>
    </w:p>
    <w:p w:rsidR="002F691C" w:rsidRDefault="008237BB" w:rsidP="008237BB">
      <w:pPr>
        <w:pStyle w:val="BodyText"/>
      </w:pPr>
      <w:r>
        <w:t xml:space="preserve">To consider future-climate hazard within council practices, the Rockhampton Regional Council received funding from the National Climate Change Adaptation Research Grants Program Project for a project under the Settlements and Infrastructure theme. This funding was provided to evaluate the ability of urban planning principles and practices to accommodate climate change and the uncertainty of climate change impacts. </w:t>
      </w:r>
      <w:r w:rsidRPr="00F30E70">
        <w:t>Within this project, the Rockhampton Regional Council engaged Geoscience Australia to undertake the modelling of natural hazards under current and future climate. This report describes the methodology and the results of the work undertaken by Geoscience Australia an</w:t>
      </w:r>
      <w:r>
        <w:t>d constitutes the final project</w:t>
      </w:r>
      <w:r w:rsidRPr="00F30E70">
        <w:t xml:space="preserve"> deliverable for the Rockhampton Regional Council.</w:t>
      </w:r>
    </w:p>
    <w:p w:rsidR="008237BB" w:rsidRDefault="008237BB" w:rsidP="008237BB">
      <w:pPr>
        <w:pStyle w:val="BodyText"/>
      </w:pPr>
      <w:r>
        <w:t>Geoscience Australia’s work within the broader project has utilised natural hazard modelling techniques to develop a series of spatial datasets describing hazards under current-climate conditions and a future-climate scenario. The following natural hazards were considered:</w:t>
      </w:r>
    </w:p>
    <w:p w:rsidR="008237BB" w:rsidRPr="00C018F4" w:rsidRDefault="008237BB" w:rsidP="004B379B">
      <w:pPr>
        <w:pStyle w:val="Bulletlevel1"/>
      </w:pPr>
      <w:r w:rsidRPr="00C018F4">
        <w:t>tropical cyclone wind</w:t>
      </w:r>
    </w:p>
    <w:p w:rsidR="002F691C" w:rsidRDefault="008237BB" w:rsidP="004B379B">
      <w:pPr>
        <w:pStyle w:val="Bulletlevel1"/>
      </w:pPr>
      <w:r w:rsidRPr="00C018F4">
        <w:t>bushfire</w:t>
      </w:r>
    </w:p>
    <w:p w:rsidR="008237BB" w:rsidRPr="00C018F4" w:rsidRDefault="008237BB" w:rsidP="004B379B">
      <w:pPr>
        <w:pStyle w:val="Bulletlevel1"/>
      </w:pPr>
      <w:r w:rsidRPr="00C018F4">
        <w:t>storm tide</w:t>
      </w:r>
    </w:p>
    <w:p w:rsidR="008237BB" w:rsidRPr="00C018F4" w:rsidRDefault="008237BB" w:rsidP="004B379B">
      <w:pPr>
        <w:pStyle w:val="Bulletlevel1"/>
      </w:pPr>
      <w:r w:rsidRPr="00C018F4">
        <w:t xml:space="preserve">coastal </w:t>
      </w:r>
      <w:r>
        <w:t>erosion</w:t>
      </w:r>
    </w:p>
    <w:p w:rsidR="002F691C" w:rsidRDefault="008237BB" w:rsidP="004B379B">
      <w:pPr>
        <w:pStyle w:val="Bulletlevel1"/>
      </w:pPr>
      <w:r w:rsidRPr="00C018F4">
        <w:t>sea-level rise.</w:t>
      </w:r>
    </w:p>
    <w:p w:rsidR="008237BB" w:rsidRDefault="008237BB" w:rsidP="008237BB">
      <w:pPr>
        <w:pStyle w:val="BodyText"/>
      </w:pPr>
      <w:r w:rsidRPr="00C018F4">
        <w:t xml:space="preserve">The </w:t>
      </w:r>
      <w:r>
        <w:t>future-climate</w:t>
      </w:r>
      <w:r w:rsidRPr="00C018F4">
        <w:t xml:space="preserve"> scenario considered </w:t>
      </w:r>
      <w:r>
        <w:t>was</w:t>
      </w:r>
      <w:r w:rsidRPr="00C018F4">
        <w:t xml:space="preserve"> the A2</w:t>
      </w:r>
      <w:r>
        <w:t xml:space="preserve"> greenhouse gas (GHG)</w:t>
      </w:r>
      <w:r w:rsidRPr="00C018F4">
        <w:t xml:space="preserve"> emissions scenario (Special Report on Emissions Scenario; SRES) from the Intergovernmental Panel on Climate Change (IPCC) (Nakicenovic and Swart, 2000). </w:t>
      </w:r>
      <w:r>
        <w:t>By 2100, t</w:t>
      </w:r>
      <w:r w:rsidRPr="00C018F4">
        <w:t xml:space="preserve">he </w:t>
      </w:r>
      <w:r>
        <w:t>A2 emissions scenario predicts a ‘best estimate’</w:t>
      </w:r>
      <w:r w:rsidRPr="00C018F4">
        <w:t xml:space="preserve"> average global</w:t>
      </w:r>
      <w:r>
        <w:t xml:space="preserve"> surface air temperature</w:t>
      </w:r>
      <w:r w:rsidRPr="00C018F4">
        <w:t xml:space="preserve"> warming of 3.4 °C (2.0-5.4 °C; IPCC</w:t>
      </w:r>
      <w:r>
        <w:t>,</w:t>
      </w:r>
      <w:r w:rsidRPr="00C018F4">
        <w:t xml:space="preserve"> 2007) based on a number of climate models with a range of climate sensitivities (IPCC, 2001).</w:t>
      </w:r>
      <w:r>
        <w:t xml:space="preserve"> T</w:t>
      </w:r>
      <w:r w:rsidRPr="00C018F4">
        <w:t xml:space="preserve">he application of downscaling techniques to the global A2 scenario </w:t>
      </w:r>
      <w:r>
        <w:t xml:space="preserve">produces a </w:t>
      </w:r>
      <w:r w:rsidRPr="00C018F4">
        <w:t xml:space="preserve">mid- to high-range climate response for </w:t>
      </w:r>
      <w:r w:rsidRPr="00C018F4">
        <w:lastRenderedPageBreak/>
        <w:t xml:space="preserve">the likely projected future </w:t>
      </w:r>
      <w:r>
        <w:t xml:space="preserve">for </w:t>
      </w:r>
      <w:r w:rsidRPr="00C018F4">
        <w:t xml:space="preserve">the </w:t>
      </w:r>
      <w:r>
        <w:t xml:space="preserve">study </w:t>
      </w:r>
      <w:r w:rsidRPr="00C018F4">
        <w:t xml:space="preserve">region. </w:t>
      </w:r>
      <w:r>
        <w:t>Current ob</w:t>
      </w:r>
      <w:r w:rsidRPr="000B31BE">
        <w:t>served</w:t>
      </w:r>
      <w:r>
        <w:t xml:space="preserve"> global</w:t>
      </w:r>
      <w:r w:rsidRPr="000B31BE">
        <w:t xml:space="preserve"> emissions are</w:t>
      </w:r>
      <w:r>
        <w:t xml:space="preserve"> </w:t>
      </w:r>
      <w:r w:rsidRPr="000B31BE">
        <w:t>tracking</w:t>
      </w:r>
      <w:r>
        <w:t xml:space="preserve"> very close to</w:t>
      </w:r>
      <w:r w:rsidRPr="000B31BE">
        <w:t xml:space="preserve"> the A2 </w:t>
      </w:r>
      <w:r>
        <w:t>e</w:t>
      </w:r>
      <w:r w:rsidRPr="000B31BE">
        <w:t xml:space="preserve">missions </w:t>
      </w:r>
      <w:r>
        <w:t>s</w:t>
      </w:r>
      <w:r w:rsidRPr="000B31BE">
        <w:t>cenario projection</w:t>
      </w:r>
      <w:r>
        <w:t>s</w:t>
      </w:r>
      <w:r w:rsidRPr="000B31BE">
        <w:t xml:space="preserve"> (Peters </w:t>
      </w:r>
      <w:r w:rsidRPr="007B6C0C">
        <w:rPr>
          <w:rStyle w:val="Bodytextitalic"/>
        </w:rPr>
        <w:t>et al.,</w:t>
      </w:r>
      <w:r w:rsidRPr="000B31BE">
        <w:t xml:space="preserve"> 2012).</w:t>
      </w:r>
    </w:p>
    <w:p w:rsidR="008237BB" w:rsidRPr="009340CE" w:rsidRDefault="008237BB" w:rsidP="000067F7">
      <w:pPr>
        <w:pStyle w:val="Heading2"/>
      </w:pPr>
      <w:bookmarkStart w:id="258" w:name="_Toc346261430"/>
      <w:bookmarkStart w:id="259" w:name="_Toc346632727"/>
      <w:bookmarkStart w:id="260" w:name="_Toc346632839"/>
      <w:bookmarkStart w:id="261" w:name="_Toc346632951"/>
      <w:bookmarkStart w:id="262" w:name="_Toc346633063"/>
      <w:bookmarkStart w:id="263" w:name="_Toc346633175"/>
      <w:bookmarkStart w:id="264" w:name="_Toc347401608"/>
      <w:bookmarkStart w:id="265" w:name="_Toc347401720"/>
      <w:bookmarkStart w:id="266" w:name="_Toc347401832"/>
      <w:bookmarkStart w:id="267" w:name="_Toc347401944"/>
      <w:bookmarkStart w:id="268" w:name="_Toc347402056"/>
      <w:bookmarkStart w:id="269" w:name="_Toc349055236"/>
      <w:bookmarkStart w:id="270" w:name="_Toc349055349"/>
      <w:bookmarkStart w:id="271" w:name="_Toc349055462"/>
      <w:bookmarkStart w:id="272" w:name="_Toc349055575"/>
      <w:bookmarkStart w:id="273" w:name="_Toc349055688"/>
      <w:bookmarkStart w:id="274" w:name="_Toc349116905"/>
      <w:bookmarkStart w:id="275" w:name="_Toc350330005"/>
      <w:bookmarkStart w:id="276" w:name="_Toc350343983"/>
      <w:bookmarkStart w:id="277" w:name="_Toc354404025"/>
      <w:bookmarkStart w:id="278" w:name="_Toc354492690"/>
      <w:bookmarkStart w:id="279" w:name="_Toc354492831"/>
      <w:bookmarkStart w:id="280" w:name="_Toc354492937"/>
      <w:bookmarkStart w:id="281" w:name="_Toc354493067"/>
      <w:bookmarkStart w:id="282" w:name="_Toc354493228"/>
      <w:bookmarkStart w:id="283" w:name="_Toc354493697"/>
      <w:bookmarkStart w:id="284" w:name="_Toc354494232"/>
      <w:bookmarkStart w:id="285" w:name="_Toc354494450"/>
      <w:bookmarkStart w:id="286" w:name="_Toc354494661"/>
      <w:bookmarkStart w:id="287" w:name="_Toc354494955"/>
      <w:bookmarkStart w:id="288" w:name="_Toc354497837"/>
      <w:bookmarkStart w:id="289" w:name="_Toc354561250"/>
      <w:bookmarkStart w:id="290" w:name="_Toc355249590"/>
      <w:bookmarkStart w:id="291" w:name="_Toc357586062"/>
      <w:r w:rsidRPr="009340CE">
        <w:t>Methodology</w:t>
      </w:r>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p>
    <w:p w:rsidR="002F691C" w:rsidRDefault="008237BB" w:rsidP="008237BB">
      <w:pPr>
        <w:pStyle w:val="BodyText"/>
      </w:pPr>
      <w:r w:rsidRPr="00C018F4">
        <w:t xml:space="preserve">The tropical cyclone wind hazard assessment </w:t>
      </w:r>
      <w:r>
        <w:t>was generated with</w:t>
      </w:r>
      <w:r w:rsidRPr="00C018F4">
        <w:t xml:space="preserve"> Geoscience Australia’s Tropical Cyclone Risk Model (TCRM</w:t>
      </w:r>
      <w:r>
        <w:t xml:space="preserve">; </w:t>
      </w:r>
      <w:r w:rsidRPr="00EB2F80">
        <w:t>Arthur, In Prep</w:t>
      </w:r>
      <w:r w:rsidRPr="00C018F4">
        <w:t>)</w:t>
      </w:r>
      <w:r>
        <w:t>. The TCRM</w:t>
      </w:r>
      <w:r w:rsidRPr="00C018F4">
        <w:t xml:space="preserve"> </w:t>
      </w:r>
      <w:r>
        <w:t>produces</w:t>
      </w:r>
      <w:r w:rsidRPr="00C018F4">
        <w:t xml:space="preserve"> a </w:t>
      </w:r>
      <w:r>
        <w:t>stochastic</w:t>
      </w:r>
      <w:r w:rsidRPr="00C018F4">
        <w:t xml:space="preserve"> catalogue of synthetic events</w:t>
      </w:r>
      <w:r>
        <w:t xml:space="preserve"> that are statistically similar to the input events. Firstly, current climate tropical cyclone wind hazard was modelled based on the historical record of activity in the Rockhampton area, including the impact of local terrain on damaging wind speeds.</w:t>
      </w:r>
      <w:r w:rsidRPr="00C018F4">
        <w:t xml:space="preserve"> </w:t>
      </w:r>
      <w:r>
        <w:t>Then, t</w:t>
      </w:r>
      <w:r w:rsidRPr="00C018F4">
        <w:t>o model future climate, the TCRM was trained on outputs from a downscaled</w:t>
      </w:r>
      <w:r>
        <w:t xml:space="preserve"> General (also referred to as Global) Circulation Model (GCM) </w:t>
      </w:r>
      <w:r w:rsidRPr="00C018F4">
        <w:t xml:space="preserve">forced by the SRES A2 emissions scenario for the two decades </w:t>
      </w:r>
      <w:r>
        <w:t xml:space="preserve">centred </w:t>
      </w:r>
      <w:r w:rsidRPr="00C018F4">
        <w:t>around 2050 and 2090</w:t>
      </w:r>
      <w:r>
        <w:t xml:space="preserve"> to provide details on changes in frequency, intensity and tracks of tropical cyclones</w:t>
      </w:r>
      <w:r w:rsidRPr="00C018F4">
        <w:t>.</w:t>
      </w:r>
    </w:p>
    <w:p w:rsidR="008237BB" w:rsidRDefault="008237BB" w:rsidP="008237BB">
      <w:pPr>
        <w:pStyle w:val="BodyText"/>
      </w:pPr>
      <w:r w:rsidRPr="00C018F4">
        <w:t xml:space="preserve">The bushfire hazard assessment </w:t>
      </w:r>
      <w:r>
        <w:t>was</w:t>
      </w:r>
      <w:r w:rsidRPr="00C018F4">
        <w:t xml:space="preserve"> based on the Forest Fire Danger Index (FFDI)</w:t>
      </w:r>
      <w:r>
        <w:t xml:space="preserve"> and the Grassland Fire Danger Index (GFDI).</w:t>
      </w:r>
      <w:r w:rsidRPr="00C018F4">
        <w:t xml:space="preserve"> The</w:t>
      </w:r>
      <w:r>
        <w:t>se</w:t>
      </w:r>
      <w:r w:rsidRPr="00C018F4">
        <w:t xml:space="preserve"> </w:t>
      </w:r>
      <w:r>
        <w:t>indices</w:t>
      </w:r>
      <w:r w:rsidRPr="00C018F4">
        <w:t xml:space="preserve"> quantif</w:t>
      </w:r>
      <w:r>
        <w:t>y</w:t>
      </w:r>
      <w:r w:rsidRPr="00C018F4">
        <w:t xml:space="preserve"> fire weather hazard. Weather observations (temperature, relative humidity and wind speed) </w:t>
      </w:r>
      <w:r>
        <w:t>we</w:t>
      </w:r>
      <w:r w:rsidRPr="00C018F4">
        <w:t xml:space="preserve">re combined with an estimate of the fuel state to predict likely fire behaviour </w:t>
      </w:r>
      <w:r>
        <w:t>in the event of ignition</w:t>
      </w:r>
      <w:r w:rsidRPr="00C018F4">
        <w:t xml:space="preserve">. The spatial distribution of the weather components of the FFDI across the Rockhampton region was modelled with a high resolution numerical weather model. Future climate was based on output from three downscaled </w:t>
      </w:r>
      <w:r>
        <w:t>GCMs</w:t>
      </w:r>
      <w:r w:rsidRPr="00C018F4">
        <w:t xml:space="preserve"> forced by the SRES A2 emissions scenario for the two decades </w:t>
      </w:r>
      <w:r>
        <w:t xml:space="preserve">centred </w:t>
      </w:r>
      <w:r w:rsidRPr="00C018F4">
        <w:t>around 2050 and 2090.</w:t>
      </w:r>
    </w:p>
    <w:p w:rsidR="002F691C" w:rsidRDefault="008237BB" w:rsidP="008237BB">
      <w:pPr>
        <w:pStyle w:val="BodyText"/>
      </w:pPr>
      <w:r>
        <w:t xml:space="preserve">The storm tide (storm surge plus tide) assessment was based on modelled tide levels from a national hydrodynamic study of extreme water levels by Haigh </w:t>
      </w:r>
      <w:r w:rsidRPr="009E1AAE">
        <w:rPr>
          <w:rStyle w:val="Bodytextitalic"/>
        </w:rPr>
        <w:t>et al.</w:t>
      </w:r>
      <w:r>
        <w:t xml:space="preserve"> (2012). The potential inundation based on the modelled storm tide heights were predicted using a bath-tub methodology (Eastman, 1993). For future climate, projected sea-level rise scenario heights for 2050, 2070 and 2100 were added to the modelled current-climate storm tide heights.</w:t>
      </w:r>
    </w:p>
    <w:p w:rsidR="002F691C" w:rsidRDefault="008237BB" w:rsidP="008237BB">
      <w:pPr>
        <w:pStyle w:val="BodyText"/>
      </w:pPr>
      <w:r>
        <w:t>The coastal erosion assessment applied the method outlined by the Queensland Coastal Hazards Guideline (QCHG; DERM, 2012a). Current-climate coastal areas prone to erosion were identified based on the analysis of coastal change identified from historical aerial photography captured from 1961 and 1964 and compared with a 2010 image. The eroding sections of coast identified represent the areal extent of coastal erosion hazard under current climate. For future climate, the erosion hazard was determined using the proscribed QCHG widths for the 100 year planning period.</w:t>
      </w:r>
    </w:p>
    <w:p w:rsidR="002F691C" w:rsidRDefault="008237BB" w:rsidP="008237BB">
      <w:pPr>
        <w:pStyle w:val="BodyText"/>
      </w:pPr>
      <w:r>
        <w:t>The sea-level rise (SLR) hazard assessment considered the still water extent (i.e. no wave setup or run-up) of the area prone to inundation from projected sea levels. The analysis considered three scenarios; the combining of the 2012 value for Highest Astronomical Tide (HAT) with each of four sea level increases projected for 2050, 2070 and 2100. The inundated area was predicted using a bath-tub methodology (Eastman, 1993).</w:t>
      </w:r>
    </w:p>
    <w:p w:rsidR="008237BB" w:rsidRPr="009340CE" w:rsidRDefault="008237BB" w:rsidP="000067F7">
      <w:pPr>
        <w:pStyle w:val="Heading2"/>
      </w:pPr>
      <w:bookmarkStart w:id="292" w:name="_Toc346261431"/>
      <w:bookmarkStart w:id="293" w:name="_Toc346632728"/>
      <w:bookmarkStart w:id="294" w:name="_Toc346632840"/>
      <w:bookmarkStart w:id="295" w:name="_Toc346632952"/>
      <w:bookmarkStart w:id="296" w:name="_Toc346633064"/>
      <w:bookmarkStart w:id="297" w:name="_Toc346633176"/>
      <w:bookmarkStart w:id="298" w:name="_Toc347401609"/>
      <w:bookmarkStart w:id="299" w:name="_Toc347401721"/>
      <w:bookmarkStart w:id="300" w:name="_Toc347401833"/>
      <w:bookmarkStart w:id="301" w:name="_Toc347401945"/>
      <w:bookmarkStart w:id="302" w:name="_Toc347402057"/>
      <w:bookmarkStart w:id="303" w:name="_Toc349055237"/>
      <w:bookmarkStart w:id="304" w:name="_Toc349055350"/>
      <w:bookmarkStart w:id="305" w:name="_Toc349055463"/>
      <w:bookmarkStart w:id="306" w:name="_Toc349055576"/>
      <w:bookmarkStart w:id="307" w:name="_Toc349055689"/>
      <w:bookmarkStart w:id="308" w:name="_Toc349116906"/>
      <w:bookmarkStart w:id="309" w:name="_Toc350330006"/>
      <w:bookmarkStart w:id="310" w:name="_Toc350343984"/>
      <w:bookmarkStart w:id="311" w:name="_Toc354404026"/>
      <w:bookmarkStart w:id="312" w:name="_Toc354492691"/>
      <w:bookmarkStart w:id="313" w:name="_Toc354492832"/>
      <w:bookmarkStart w:id="314" w:name="_Toc354492938"/>
      <w:bookmarkStart w:id="315" w:name="_Toc354493068"/>
      <w:bookmarkStart w:id="316" w:name="_Toc354493229"/>
      <w:bookmarkStart w:id="317" w:name="_Toc354493698"/>
      <w:bookmarkStart w:id="318" w:name="_Toc354494233"/>
      <w:bookmarkStart w:id="319" w:name="_Toc354494451"/>
      <w:bookmarkStart w:id="320" w:name="_Toc354494662"/>
      <w:bookmarkStart w:id="321" w:name="_Toc354494956"/>
      <w:bookmarkStart w:id="322" w:name="_Toc354497838"/>
      <w:bookmarkStart w:id="323" w:name="_Toc354561251"/>
      <w:bookmarkStart w:id="324" w:name="_Toc355249591"/>
      <w:bookmarkStart w:id="325" w:name="_Toc357586063"/>
      <w:r w:rsidRPr="009340CE">
        <w:lastRenderedPageBreak/>
        <w:t>Key Findings</w:t>
      </w:r>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p>
    <w:p w:rsidR="008237BB" w:rsidRPr="00CB5C24" w:rsidRDefault="008237BB" w:rsidP="000067F7">
      <w:pPr>
        <w:pStyle w:val="Heading3"/>
      </w:pPr>
      <w:bookmarkStart w:id="326" w:name="_Toc346261432"/>
      <w:bookmarkStart w:id="327" w:name="_Toc346632729"/>
      <w:bookmarkStart w:id="328" w:name="_Toc346632841"/>
      <w:bookmarkStart w:id="329" w:name="_Toc346632953"/>
      <w:bookmarkStart w:id="330" w:name="_Toc346633065"/>
      <w:bookmarkStart w:id="331" w:name="_Toc346633177"/>
      <w:bookmarkStart w:id="332" w:name="_Toc347401610"/>
      <w:bookmarkStart w:id="333" w:name="_Toc347401722"/>
      <w:bookmarkStart w:id="334" w:name="_Toc347401834"/>
      <w:bookmarkStart w:id="335" w:name="_Toc347401946"/>
      <w:bookmarkStart w:id="336" w:name="_Toc347402058"/>
      <w:bookmarkStart w:id="337" w:name="_Toc349055238"/>
      <w:bookmarkStart w:id="338" w:name="_Toc349055351"/>
      <w:bookmarkStart w:id="339" w:name="_Toc349055464"/>
      <w:bookmarkStart w:id="340" w:name="_Toc349055577"/>
      <w:bookmarkStart w:id="341" w:name="_Toc349055690"/>
      <w:bookmarkStart w:id="342" w:name="_Toc349116907"/>
      <w:bookmarkStart w:id="343" w:name="_Toc350330007"/>
      <w:bookmarkStart w:id="344" w:name="_Toc350343985"/>
      <w:bookmarkStart w:id="345" w:name="_Toc354401966"/>
      <w:bookmarkStart w:id="346" w:name="_Toc354404027"/>
      <w:bookmarkStart w:id="347" w:name="_Toc354476463"/>
      <w:bookmarkStart w:id="348" w:name="_Toc354492692"/>
      <w:bookmarkStart w:id="349" w:name="_Toc354492833"/>
      <w:bookmarkStart w:id="350" w:name="_Toc354492939"/>
      <w:bookmarkStart w:id="351" w:name="_Toc354493069"/>
      <w:bookmarkStart w:id="352" w:name="_Toc354493230"/>
      <w:bookmarkStart w:id="353" w:name="_Toc354493699"/>
      <w:bookmarkStart w:id="354" w:name="_Toc354494234"/>
      <w:bookmarkStart w:id="355" w:name="_Toc354494452"/>
      <w:bookmarkStart w:id="356" w:name="_Toc354494663"/>
      <w:bookmarkStart w:id="357" w:name="_Toc354494957"/>
      <w:bookmarkStart w:id="358" w:name="_Toc354497839"/>
      <w:bookmarkStart w:id="359" w:name="_Toc354561252"/>
      <w:bookmarkStart w:id="360" w:name="_Toc355164149"/>
      <w:bookmarkStart w:id="361" w:name="_Toc355249592"/>
      <w:r>
        <w:t>Current Climate</w:t>
      </w:r>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p>
    <w:p w:rsidR="008237BB" w:rsidRPr="00C018F4" w:rsidRDefault="008237BB" w:rsidP="00523156">
      <w:pPr>
        <w:pStyle w:val="BodyText"/>
        <w:keepNext/>
      </w:pPr>
      <w:r w:rsidRPr="00C018F4">
        <w:t xml:space="preserve">The Rockhampton region is exposed to a significant level of hazard even in </w:t>
      </w:r>
      <w:r>
        <w:t>current-climate</w:t>
      </w:r>
      <w:r w:rsidRPr="00C018F4">
        <w:t xml:space="preserve"> conditions. Some key findings of the </w:t>
      </w:r>
      <w:r>
        <w:t>current-climate</w:t>
      </w:r>
      <w:r w:rsidRPr="00C018F4">
        <w:t xml:space="preserve"> hazard assessment </w:t>
      </w:r>
      <w:r>
        <w:t>are</w:t>
      </w:r>
      <w:r w:rsidRPr="00C018F4">
        <w:t>:</w:t>
      </w:r>
    </w:p>
    <w:p w:rsidR="008237BB" w:rsidRPr="00C018F4" w:rsidRDefault="008237BB" w:rsidP="004911EB">
      <w:pPr>
        <w:pStyle w:val="Bulletlevel1"/>
      </w:pPr>
      <w:r w:rsidRPr="004911EB">
        <w:rPr>
          <w:rStyle w:val="Italic"/>
        </w:rPr>
        <w:t xml:space="preserve">Tropical cyclone: </w:t>
      </w:r>
      <w:r w:rsidRPr="00C018F4">
        <w:t>Rockhampton is in a high tropical cyclone hazard region. The results of the severe cyclonic wind assessment indicate hazard levels similar to the design wind speeds from the existing building code, although they are much greater than the wind hazard estimated from the observational record at Rockhampton Airport.</w:t>
      </w:r>
    </w:p>
    <w:p w:rsidR="002F691C" w:rsidRDefault="008237BB" w:rsidP="004B379B">
      <w:pPr>
        <w:pStyle w:val="Bulletlevel2"/>
      </w:pPr>
      <w:r w:rsidRPr="004B379B">
        <w:t>Higher elevation locations can be expected to experience extreme wind speeds equivalent to Tropical Cyclone (TC) Category 4 and 5, or higher, on average every 20 to 25 years. This includes Mount Archer, Flat Top Range, Mount Morgan and Native Cat Range.</w:t>
      </w:r>
    </w:p>
    <w:p w:rsidR="008237BB" w:rsidRPr="004B379B" w:rsidRDefault="008237BB" w:rsidP="004B379B">
      <w:pPr>
        <w:pStyle w:val="Bulletlevel2"/>
      </w:pPr>
      <w:r w:rsidRPr="004B379B">
        <w:t>The remainder of the study region is exposed to TC Category 3 wind speeds at similar recurrence intervals, with only small areas exposed to lower hazard levels.</w:t>
      </w:r>
    </w:p>
    <w:p w:rsidR="008237BB" w:rsidRPr="00C018F4" w:rsidRDefault="008237BB" w:rsidP="004911EB">
      <w:pPr>
        <w:pStyle w:val="Bulletlevel1"/>
      </w:pPr>
      <w:r w:rsidRPr="004911EB">
        <w:rPr>
          <w:rStyle w:val="Italic"/>
        </w:rPr>
        <w:t>Bushfire:</w:t>
      </w:r>
      <w:r w:rsidRPr="00C018F4">
        <w:t xml:space="preserve"> Days with “</w:t>
      </w:r>
      <w:r>
        <w:t>E</w:t>
      </w:r>
      <w:r w:rsidRPr="00C018F4">
        <w:t>xtreme” and “</w:t>
      </w:r>
      <w:r>
        <w:t>C</w:t>
      </w:r>
      <w:r w:rsidRPr="00C018F4">
        <w:t xml:space="preserve">atastrophic” Fire Danger ratings can be expected to occur once every fifty or one hundred years for many locations in the Rockhampton region: notably Flat Top Range and south to the Fitzroy River and Mount Archer </w:t>
      </w:r>
      <w:r>
        <w:t>N</w:t>
      </w:r>
      <w:r w:rsidRPr="00C018F4">
        <w:t xml:space="preserve">ational </w:t>
      </w:r>
      <w:r>
        <w:t>P</w:t>
      </w:r>
      <w:r w:rsidRPr="00C018F4">
        <w:t>ark.</w:t>
      </w:r>
    </w:p>
    <w:p w:rsidR="008237BB" w:rsidRPr="00C018F4" w:rsidRDefault="008237BB" w:rsidP="004911EB">
      <w:pPr>
        <w:pStyle w:val="Bulletlevel1"/>
      </w:pPr>
      <w:r w:rsidRPr="004911EB">
        <w:rPr>
          <w:rStyle w:val="Italic"/>
        </w:rPr>
        <w:t>Storm tide</w:t>
      </w:r>
      <w:r w:rsidRPr="00C018F4">
        <w:t>: Many</w:t>
      </w:r>
      <w:r>
        <w:t xml:space="preserve"> low-lying</w:t>
      </w:r>
      <w:r w:rsidRPr="00C018F4">
        <w:t xml:space="preserve"> areas </w:t>
      </w:r>
      <w:r>
        <w:t>we</w:t>
      </w:r>
      <w:r w:rsidRPr="00C018F4">
        <w:t xml:space="preserve">re shown to be susceptible to inundation from storm tide; such as wetlands, lakes and also built-up areas. Roads shown as being exposed to storm-tide hazard include Yeppoon-Emu Park </w:t>
      </w:r>
      <w:r>
        <w:t>Road</w:t>
      </w:r>
      <w:r w:rsidRPr="00C018F4">
        <w:t xml:space="preserve"> and Bajool-Port Alma </w:t>
      </w:r>
      <w:r>
        <w:t>Road</w:t>
      </w:r>
      <w:r w:rsidRPr="00C018F4">
        <w:t>.</w:t>
      </w:r>
    </w:p>
    <w:p w:rsidR="008237BB" w:rsidRPr="00C018F4" w:rsidRDefault="008237BB" w:rsidP="004911EB">
      <w:pPr>
        <w:pStyle w:val="Bulletlevel1"/>
      </w:pPr>
      <w:r w:rsidRPr="004911EB">
        <w:rPr>
          <w:rStyle w:val="Italic"/>
        </w:rPr>
        <w:t xml:space="preserve">Coastal erosion: </w:t>
      </w:r>
      <w:r w:rsidRPr="00C018F4">
        <w:t xml:space="preserve">Some buildings in Yeppoon and Emu Park </w:t>
      </w:r>
      <w:r>
        <w:t>ar</w:t>
      </w:r>
      <w:r w:rsidRPr="00C018F4">
        <w:t>e within the zone identified as exposed to coastal erosion.</w:t>
      </w:r>
    </w:p>
    <w:p w:rsidR="002F691C" w:rsidRDefault="008237BB" w:rsidP="004911EB">
      <w:pPr>
        <w:pStyle w:val="Bulletlevel1"/>
      </w:pPr>
      <w:r w:rsidRPr="004911EB">
        <w:rPr>
          <w:rStyle w:val="Italic"/>
        </w:rPr>
        <w:t>Sea-level rise</w:t>
      </w:r>
      <w:r w:rsidRPr="00C018F4">
        <w:t xml:space="preserve">: </w:t>
      </w:r>
      <w:r>
        <w:t xml:space="preserve">The current climate </w:t>
      </w:r>
      <w:r w:rsidRPr="00C018F4">
        <w:t>HAT identifies significant inundation. The area exposed to inundation under a HAT event includes Yeppoon R</w:t>
      </w:r>
      <w:r>
        <w:t>oad</w:t>
      </w:r>
      <w:r w:rsidRPr="00C018F4">
        <w:t>, the Bajool-Port Alma R</w:t>
      </w:r>
      <w:r>
        <w:t>oa</w:t>
      </w:r>
      <w:r w:rsidRPr="00C018F4">
        <w:t>d, Port Alma, the Scenic Highway, South of Yeppoon and buildings in the vicinity of Keppel Sands.</w:t>
      </w:r>
    </w:p>
    <w:p w:rsidR="008237BB" w:rsidRPr="00C018F4" w:rsidRDefault="008237BB" w:rsidP="000067F7">
      <w:pPr>
        <w:pStyle w:val="Heading3"/>
      </w:pPr>
      <w:bookmarkStart w:id="362" w:name="_Toc346261433"/>
      <w:bookmarkStart w:id="363" w:name="_Toc346632730"/>
      <w:bookmarkStart w:id="364" w:name="_Toc346632842"/>
      <w:bookmarkStart w:id="365" w:name="_Toc346632954"/>
      <w:bookmarkStart w:id="366" w:name="_Toc346633066"/>
      <w:bookmarkStart w:id="367" w:name="_Toc346633178"/>
      <w:bookmarkStart w:id="368" w:name="_Toc347401611"/>
      <w:bookmarkStart w:id="369" w:name="_Toc347401723"/>
      <w:bookmarkStart w:id="370" w:name="_Toc347401835"/>
      <w:bookmarkStart w:id="371" w:name="_Toc347401947"/>
      <w:bookmarkStart w:id="372" w:name="_Toc347402059"/>
      <w:bookmarkStart w:id="373" w:name="_Toc349055239"/>
      <w:bookmarkStart w:id="374" w:name="_Toc349055352"/>
      <w:bookmarkStart w:id="375" w:name="_Toc349055465"/>
      <w:bookmarkStart w:id="376" w:name="_Toc349055578"/>
      <w:bookmarkStart w:id="377" w:name="_Toc349055691"/>
      <w:bookmarkStart w:id="378" w:name="_Toc349116908"/>
      <w:bookmarkStart w:id="379" w:name="_Toc350330008"/>
      <w:bookmarkStart w:id="380" w:name="_Toc350343986"/>
      <w:bookmarkStart w:id="381" w:name="_Toc354401967"/>
      <w:bookmarkStart w:id="382" w:name="_Toc354404028"/>
      <w:bookmarkStart w:id="383" w:name="_Toc354476464"/>
      <w:bookmarkStart w:id="384" w:name="_Toc354492693"/>
      <w:bookmarkStart w:id="385" w:name="_Toc354492834"/>
      <w:bookmarkStart w:id="386" w:name="_Toc354492940"/>
      <w:bookmarkStart w:id="387" w:name="_Toc354493070"/>
      <w:bookmarkStart w:id="388" w:name="_Toc354493231"/>
      <w:bookmarkStart w:id="389" w:name="_Toc354493700"/>
      <w:bookmarkStart w:id="390" w:name="_Toc354494235"/>
      <w:bookmarkStart w:id="391" w:name="_Toc354494453"/>
      <w:bookmarkStart w:id="392" w:name="_Toc354494664"/>
      <w:bookmarkStart w:id="393" w:name="_Toc354494958"/>
      <w:bookmarkStart w:id="394" w:name="_Toc354497840"/>
      <w:bookmarkStart w:id="395" w:name="_Toc354561253"/>
      <w:bookmarkStart w:id="396" w:name="_Toc355164150"/>
      <w:bookmarkStart w:id="397" w:name="_Toc355249593"/>
      <w:r w:rsidRPr="00C018F4">
        <w:t xml:space="preserve">Future </w:t>
      </w:r>
      <w:r>
        <w:t>C</w:t>
      </w:r>
      <w:r w:rsidRPr="00C018F4">
        <w:t>limate</w:t>
      </w:r>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p>
    <w:p w:rsidR="008237BB" w:rsidRDefault="008237BB" w:rsidP="008237BB">
      <w:pPr>
        <w:pStyle w:val="BodyText"/>
      </w:pPr>
      <w:r>
        <w:t xml:space="preserve">All </w:t>
      </w:r>
      <w:r w:rsidRPr="00C018F4">
        <w:t>hazards</w:t>
      </w:r>
      <w:r w:rsidRPr="00346C97">
        <w:t xml:space="preserve"> </w:t>
      </w:r>
      <w:r w:rsidRPr="00C018F4">
        <w:t>considered in this study</w:t>
      </w:r>
      <w:r>
        <w:t>, with the exception of tropical</w:t>
      </w:r>
      <w:r w:rsidRPr="00C018F4">
        <w:t xml:space="preserve"> cyclone</w:t>
      </w:r>
      <w:r>
        <w:t xml:space="preserve"> wind hazard,</w:t>
      </w:r>
      <w:r w:rsidRPr="00C018F4">
        <w:t xml:space="preserve"> increase under simulated </w:t>
      </w:r>
      <w:r>
        <w:t>future-climate</w:t>
      </w:r>
      <w:r w:rsidRPr="00C018F4">
        <w:t xml:space="preserve"> conditions. However, the change is not uniform across the region; some areas will experience relatively much less increase then others.</w:t>
      </w:r>
    </w:p>
    <w:p w:rsidR="002F691C" w:rsidRDefault="008237BB" w:rsidP="008237BB">
      <w:r w:rsidRPr="00C018F4">
        <w:t xml:space="preserve">Some key findings of the </w:t>
      </w:r>
      <w:r>
        <w:t>future-climate</w:t>
      </w:r>
      <w:r w:rsidRPr="00C018F4">
        <w:t xml:space="preserve"> hazard </w:t>
      </w:r>
      <w:r>
        <w:t>are</w:t>
      </w:r>
      <w:r w:rsidRPr="00C018F4">
        <w:t>:</w:t>
      </w:r>
    </w:p>
    <w:p w:rsidR="008237BB" w:rsidRPr="00C018F4" w:rsidRDefault="008237BB" w:rsidP="004B379B">
      <w:pPr>
        <w:pStyle w:val="Bulletlevel1"/>
      </w:pPr>
      <w:r w:rsidRPr="005B6444">
        <w:t xml:space="preserve">Tropical cyclone: </w:t>
      </w:r>
      <w:r w:rsidRPr="00C018F4">
        <w:t>There is a</w:t>
      </w:r>
      <w:r>
        <w:t>n apparent</w:t>
      </w:r>
      <w:r w:rsidRPr="00C018F4">
        <w:t xml:space="preserve"> decline in wind hazard into the future</w:t>
      </w:r>
      <w:r>
        <w:t>;</w:t>
      </w:r>
      <w:r w:rsidRPr="00C018F4">
        <w:t xml:space="preserve"> </w:t>
      </w:r>
      <w:r>
        <w:t>h</w:t>
      </w:r>
      <w:r w:rsidRPr="00C018F4">
        <w:t>owever, due to the variability of the process modelled, uncertainties are large, and none of the changes were statistically significant</w:t>
      </w:r>
    </w:p>
    <w:p w:rsidR="008237BB" w:rsidRPr="00C018F4" w:rsidRDefault="008237BB" w:rsidP="004B379B">
      <w:pPr>
        <w:pStyle w:val="Bulletlevel1"/>
      </w:pPr>
      <w:r w:rsidRPr="005B6444">
        <w:t>Bushfire</w:t>
      </w:r>
      <w:r w:rsidRPr="00C018F4">
        <w:t>: The area characterised by “High” bushfire hazard increases in both magnitude and extent through 2050 to 2090. Significant areas of higher bushfire hazard include:</w:t>
      </w:r>
    </w:p>
    <w:p w:rsidR="008237BB" w:rsidRPr="00C018F4" w:rsidRDefault="008237BB" w:rsidP="004B379B">
      <w:pPr>
        <w:pStyle w:val="Bulletlevel2"/>
      </w:pPr>
      <w:r w:rsidRPr="00C018F4">
        <w:t>south-west of Gracemere</w:t>
      </w:r>
    </w:p>
    <w:p w:rsidR="008237BB" w:rsidRPr="00C018F4" w:rsidRDefault="008237BB" w:rsidP="004B379B">
      <w:pPr>
        <w:pStyle w:val="Bulletlevel2"/>
      </w:pPr>
      <w:r w:rsidRPr="00C018F4">
        <w:t>north of Rockhampton on the eastern side of the Bruce Highway</w:t>
      </w:r>
    </w:p>
    <w:p w:rsidR="008237BB" w:rsidRPr="00C018F4" w:rsidRDefault="008237BB" w:rsidP="004B379B">
      <w:pPr>
        <w:pStyle w:val="Bulletlevel2"/>
      </w:pPr>
      <w:r w:rsidRPr="00C018F4">
        <w:t>south of Rockhampton on the western side of the Bruce Highway.</w:t>
      </w:r>
    </w:p>
    <w:p w:rsidR="008237BB" w:rsidRPr="00C018F4" w:rsidRDefault="008237BB" w:rsidP="004B379B">
      <w:pPr>
        <w:pStyle w:val="Bulletlevel1"/>
      </w:pPr>
      <w:r w:rsidRPr="005B6444">
        <w:t xml:space="preserve">Storm tide: </w:t>
      </w:r>
      <w:r w:rsidRPr="00C018F4">
        <w:t xml:space="preserve">The storm tide hazard increases with the addition of sea-level rise. Exposure under current climate increases </w:t>
      </w:r>
      <w:r>
        <w:t>with the addition of sea-level rise</w:t>
      </w:r>
      <w:r w:rsidRPr="00C018F4">
        <w:t xml:space="preserve">, e.g. the Yeppoon-Emu Park </w:t>
      </w:r>
      <w:r>
        <w:t>Road</w:t>
      </w:r>
      <w:r w:rsidRPr="00C018F4">
        <w:t xml:space="preserve"> </w:t>
      </w:r>
      <w:r>
        <w:lastRenderedPageBreak/>
        <w:t>will be inundated under</w:t>
      </w:r>
      <w:r w:rsidRPr="00C018F4">
        <w:t xml:space="preserve"> the 2100 </w:t>
      </w:r>
      <w:r>
        <w:t>future-climate</w:t>
      </w:r>
      <w:r w:rsidRPr="00C018F4">
        <w:t xml:space="preserve"> scenario inundation. New areas </w:t>
      </w:r>
      <w:r>
        <w:t>wer</w:t>
      </w:r>
      <w:r w:rsidRPr="00C018F4">
        <w:t>e exposed</w:t>
      </w:r>
      <w:r>
        <w:t>,</w:t>
      </w:r>
      <w:r w:rsidRPr="00C018F4">
        <w:t xml:space="preserve"> such as the Keppel Sands R</w:t>
      </w:r>
      <w:r>
        <w:t>oa</w:t>
      </w:r>
      <w:r w:rsidRPr="00C018F4">
        <w:t>d which is exposed to the 2100</w:t>
      </w:r>
      <w:r>
        <w:t xml:space="preserve"> SLR</w:t>
      </w:r>
      <w:r w:rsidRPr="00C018F4">
        <w:t xml:space="preserve"> </w:t>
      </w:r>
      <w:r>
        <w:t>future-climate</w:t>
      </w:r>
      <w:r w:rsidRPr="00C018F4">
        <w:t xml:space="preserve"> scenario.</w:t>
      </w:r>
    </w:p>
    <w:p w:rsidR="002F691C" w:rsidRDefault="008237BB" w:rsidP="004B379B">
      <w:pPr>
        <w:pStyle w:val="Bulletlevel1"/>
      </w:pPr>
      <w:r w:rsidRPr="005B6444">
        <w:t>Coastal erosion</w:t>
      </w:r>
      <w:r w:rsidRPr="00C018F4">
        <w:t>: The 2100 simulated coastline</w:t>
      </w:r>
      <w:r>
        <w:t xml:space="preserve"> is within 0 and 400 </w:t>
      </w:r>
      <w:r w:rsidRPr="00C018F4">
        <w:t xml:space="preserve">m landward of the existing coastline. Buildings </w:t>
      </w:r>
      <w:r>
        <w:t>we</w:t>
      </w:r>
      <w:r w:rsidRPr="00C018F4">
        <w:t>re exposed in many cases, e.g. in Keppel Sands, Emu Park, Shoal Bay and Yeppoon.</w:t>
      </w:r>
    </w:p>
    <w:p w:rsidR="008237BB" w:rsidRDefault="008237BB" w:rsidP="004B379B">
      <w:pPr>
        <w:pStyle w:val="Bulletlevel1"/>
      </w:pPr>
      <w:r w:rsidRPr="005B6444">
        <w:t xml:space="preserve">Sea-level rise: </w:t>
      </w:r>
      <w:r w:rsidRPr="00C018F4">
        <w:t>The sea-level rise analysis, HAT + SLR, identified that the HAT inundation on the floodplain downstream of Rockhampton is progressively exacerbated, with increasing SLR heights towards the city of Rockhampton and the Bruce Highway. The open coast appears to not be further exposed with the addition of SLR heights to HAT.</w:t>
      </w:r>
    </w:p>
    <w:p w:rsidR="008237BB" w:rsidRPr="009340CE" w:rsidRDefault="008237BB" w:rsidP="000067F7">
      <w:pPr>
        <w:pStyle w:val="Heading2"/>
      </w:pPr>
      <w:bookmarkStart w:id="398" w:name="_Toc346261434"/>
      <w:bookmarkStart w:id="399" w:name="_Toc346632731"/>
      <w:bookmarkStart w:id="400" w:name="_Toc346632843"/>
      <w:bookmarkStart w:id="401" w:name="_Toc346632955"/>
      <w:bookmarkStart w:id="402" w:name="_Toc346633067"/>
      <w:bookmarkStart w:id="403" w:name="_Toc346633179"/>
      <w:bookmarkStart w:id="404" w:name="_Toc347401612"/>
      <w:bookmarkStart w:id="405" w:name="_Toc347401724"/>
      <w:bookmarkStart w:id="406" w:name="_Toc347401836"/>
      <w:bookmarkStart w:id="407" w:name="_Toc347401948"/>
      <w:bookmarkStart w:id="408" w:name="_Toc347402060"/>
      <w:bookmarkStart w:id="409" w:name="_Toc349055240"/>
      <w:bookmarkStart w:id="410" w:name="_Toc349055353"/>
      <w:bookmarkStart w:id="411" w:name="_Toc349055466"/>
      <w:bookmarkStart w:id="412" w:name="_Toc349055579"/>
      <w:bookmarkStart w:id="413" w:name="_Toc349055692"/>
      <w:bookmarkStart w:id="414" w:name="_Toc349116909"/>
      <w:bookmarkStart w:id="415" w:name="_Toc350330009"/>
      <w:bookmarkStart w:id="416" w:name="_Toc350343987"/>
      <w:bookmarkStart w:id="417" w:name="_Toc354404029"/>
      <w:bookmarkStart w:id="418" w:name="_Toc354492694"/>
      <w:bookmarkStart w:id="419" w:name="_Toc354492835"/>
      <w:bookmarkStart w:id="420" w:name="_Toc354492941"/>
      <w:bookmarkStart w:id="421" w:name="_Toc354493071"/>
      <w:bookmarkStart w:id="422" w:name="_Toc354493232"/>
      <w:bookmarkStart w:id="423" w:name="_Toc354493701"/>
      <w:bookmarkStart w:id="424" w:name="_Toc354494236"/>
      <w:bookmarkStart w:id="425" w:name="_Toc354494454"/>
      <w:bookmarkStart w:id="426" w:name="_Toc354494665"/>
      <w:bookmarkStart w:id="427" w:name="_Toc354494959"/>
      <w:bookmarkStart w:id="428" w:name="_Toc354497841"/>
      <w:bookmarkStart w:id="429" w:name="_Toc354561254"/>
      <w:bookmarkStart w:id="430" w:name="_Toc355249594"/>
      <w:bookmarkStart w:id="431" w:name="_Toc357586064"/>
      <w:r w:rsidRPr="009340CE">
        <w:t>Conclusion</w:t>
      </w:r>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p>
    <w:p w:rsidR="002F691C" w:rsidRDefault="008237BB" w:rsidP="008237BB">
      <w:pPr>
        <w:pStyle w:val="BodyText"/>
      </w:pPr>
      <w:r>
        <w:t>The results of this study provide an assessment of hazard from extreme events, under both current and future climate, that is indicative on a regional scale. Land use planning should consider how the projected future hazard level may impact on proposed development. Effective local planning could contribute to reducing the risk from some hazard types, e.g. storm surge and bushfire Hazard levels across the wider region may need to be considered when planning access roads or other infrastructure. The present study did not include flooding, or consider the correlation between hazards such as coincident cyclone, storm surge and flood hazard; both of which are important components of a full understanding of current and future hazard.</w:t>
      </w:r>
    </w:p>
    <w:p w:rsidR="008237BB" w:rsidRPr="009340CE" w:rsidRDefault="008237BB" w:rsidP="000067F7">
      <w:pPr>
        <w:pStyle w:val="Heading2"/>
      </w:pPr>
      <w:bookmarkStart w:id="432" w:name="_Toc346261435"/>
      <w:bookmarkStart w:id="433" w:name="_Toc346632732"/>
      <w:bookmarkStart w:id="434" w:name="_Toc346632844"/>
      <w:bookmarkStart w:id="435" w:name="_Toc346632956"/>
      <w:bookmarkStart w:id="436" w:name="_Toc346633068"/>
      <w:bookmarkStart w:id="437" w:name="_Toc346633180"/>
      <w:bookmarkStart w:id="438" w:name="_Toc347401613"/>
      <w:bookmarkStart w:id="439" w:name="_Toc347401725"/>
      <w:bookmarkStart w:id="440" w:name="_Toc347401837"/>
      <w:bookmarkStart w:id="441" w:name="_Toc347401949"/>
      <w:bookmarkStart w:id="442" w:name="_Toc347402061"/>
      <w:bookmarkStart w:id="443" w:name="_Toc349055241"/>
      <w:bookmarkStart w:id="444" w:name="_Toc349055354"/>
      <w:bookmarkStart w:id="445" w:name="_Toc349055467"/>
      <w:bookmarkStart w:id="446" w:name="_Toc349055580"/>
      <w:bookmarkStart w:id="447" w:name="_Toc349055693"/>
      <w:bookmarkStart w:id="448" w:name="_Toc349116910"/>
      <w:bookmarkStart w:id="449" w:name="_Toc350330010"/>
      <w:bookmarkStart w:id="450" w:name="_Toc350343988"/>
      <w:bookmarkStart w:id="451" w:name="_Toc354404030"/>
      <w:bookmarkStart w:id="452" w:name="_Toc354492695"/>
      <w:bookmarkStart w:id="453" w:name="_Toc354492836"/>
      <w:bookmarkStart w:id="454" w:name="_Toc354492942"/>
      <w:bookmarkStart w:id="455" w:name="_Toc354493072"/>
      <w:bookmarkStart w:id="456" w:name="_Toc354493233"/>
      <w:bookmarkStart w:id="457" w:name="_Toc354493702"/>
      <w:bookmarkStart w:id="458" w:name="_Toc354494237"/>
      <w:bookmarkStart w:id="459" w:name="_Toc354494455"/>
      <w:bookmarkStart w:id="460" w:name="_Toc354494666"/>
      <w:bookmarkStart w:id="461" w:name="_Toc354494960"/>
      <w:bookmarkStart w:id="462" w:name="_Toc354497842"/>
      <w:bookmarkStart w:id="463" w:name="_Toc354561255"/>
      <w:bookmarkStart w:id="464" w:name="_Toc355249595"/>
      <w:bookmarkStart w:id="465" w:name="_Toc357586065"/>
      <w:r w:rsidRPr="009340CE">
        <w:t>Uncertainty and Limitations</w:t>
      </w:r>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p>
    <w:p w:rsidR="002F691C" w:rsidRDefault="008237BB" w:rsidP="008237BB">
      <w:pPr>
        <w:pStyle w:val="BodyText"/>
        <w:rPr>
          <w:lang w:val="en"/>
        </w:rPr>
      </w:pPr>
      <w:r>
        <w:t xml:space="preserve">This study has been completed using currently available world best-practice methods. Climate science is a developing field and, as such, the results of this study need to be compared to future-climate research to consider the ongoing validity of the results. The future-climate simulation in this study has been based on regional climate simulations that have, in turn, been based on the global IPCC AR4 results. The IPCC Fifth Assessment Report (AR5) is due for release in September 2013. The climate impacts and adaptation research community, including such organisations as the CSIRO, provide a constantly evolving source of information relating to hazards and future-climate effects. Within this study, a single global emissions scenario was considered within the future climate; completing the same analysis for a suite of emissions scenarios would result in a range of future-climate hazard for consideration. Alternatively, </w:t>
      </w:r>
      <w:r w:rsidRPr="00AF222B">
        <w:rPr>
          <w:bCs/>
          <w:lang w:val="en"/>
        </w:rPr>
        <w:t>Representative Concentration Pathways (RCPs)</w:t>
      </w:r>
      <w:r>
        <w:rPr>
          <w:bCs/>
          <w:lang w:val="en"/>
        </w:rPr>
        <w:t xml:space="preserve"> which</w:t>
      </w:r>
      <w:r w:rsidRPr="00AF222B">
        <w:rPr>
          <w:lang w:val="en"/>
        </w:rPr>
        <w:t xml:space="preserve"> are four </w:t>
      </w:r>
      <w:hyperlink r:id="rId17" w:tooltip="Greenhouse gas" w:history="1">
        <w:r w:rsidR="009C559C" w:rsidRPr="00AF222B">
          <w:rPr>
            <w:rStyle w:val="Hyperlink"/>
            <w:lang w:val="en"/>
          </w:rPr>
          <w:t>greenhouse gas</w:t>
        </w:r>
      </w:hyperlink>
      <w:r>
        <w:rPr>
          <w:lang w:val="en"/>
        </w:rPr>
        <w:t xml:space="preserve"> concentration (not emissions) trajectories, have been adopted by the </w:t>
      </w:r>
      <w:hyperlink r:id="rId18" w:tooltip="Intergovernmental Panel on Climate Change" w:history="1">
        <w:r>
          <w:rPr>
            <w:rStyle w:val="Hyperlink"/>
            <w:lang w:val="en"/>
          </w:rPr>
          <w:t>IPCC</w:t>
        </w:r>
      </w:hyperlink>
      <w:r>
        <w:rPr>
          <w:lang w:val="en"/>
        </w:rPr>
        <w:t xml:space="preserve"> for its </w:t>
      </w:r>
      <w:hyperlink r:id="rId19" w:tooltip="IPCC Fifth Assessment Report" w:history="1">
        <w:r>
          <w:rPr>
            <w:rStyle w:val="Hyperlink"/>
            <w:lang w:val="en"/>
          </w:rPr>
          <w:t>Fifth Assessment Report (AR5)</w:t>
        </w:r>
      </w:hyperlink>
      <w:r>
        <w:rPr>
          <w:lang w:val="en"/>
        </w:rPr>
        <w:t xml:space="preserve"> and could form the basis of further work exploring the uncertainty of future hazard.</w:t>
      </w:r>
    </w:p>
    <w:p w:rsidR="008237BB" w:rsidRPr="009340CE" w:rsidRDefault="008237BB" w:rsidP="009340CE">
      <w:pPr>
        <w:pStyle w:val="Heading1"/>
      </w:pPr>
      <w:bookmarkStart w:id="466" w:name="_Toc346261436"/>
      <w:bookmarkStart w:id="467" w:name="_Toc346632733"/>
      <w:bookmarkStart w:id="468" w:name="_Toc346632845"/>
      <w:bookmarkStart w:id="469" w:name="_Toc346632957"/>
      <w:bookmarkStart w:id="470" w:name="_Toc346633069"/>
      <w:bookmarkStart w:id="471" w:name="_Toc346633181"/>
      <w:bookmarkStart w:id="472" w:name="_Toc347401614"/>
      <w:bookmarkStart w:id="473" w:name="_Toc347401726"/>
      <w:bookmarkStart w:id="474" w:name="_Toc347401838"/>
      <w:bookmarkStart w:id="475" w:name="_Toc347401950"/>
      <w:bookmarkStart w:id="476" w:name="_Toc347402062"/>
      <w:bookmarkStart w:id="477" w:name="_Toc349055242"/>
      <w:bookmarkStart w:id="478" w:name="_Toc349055355"/>
      <w:bookmarkStart w:id="479" w:name="_Toc349055468"/>
      <w:bookmarkStart w:id="480" w:name="_Toc349055581"/>
      <w:bookmarkStart w:id="481" w:name="_Toc349055694"/>
      <w:bookmarkStart w:id="482" w:name="_Toc349116911"/>
      <w:bookmarkStart w:id="483" w:name="_Toc350330011"/>
      <w:bookmarkStart w:id="484" w:name="_Toc350343989"/>
      <w:bookmarkStart w:id="485" w:name="_Toc354404031"/>
      <w:bookmarkStart w:id="486" w:name="_Toc354492696"/>
      <w:bookmarkStart w:id="487" w:name="_Toc354492837"/>
      <w:bookmarkStart w:id="488" w:name="_Toc354492943"/>
      <w:bookmarkStart w:id="489" w:name="_Toc354493073"/>
      <w:bookmarkStart w:id="490" w:name="_Toc354493234"/>
      <w:bookmarkStart w:id="491" w:name="_Toc354493703"/>
      <w:bookmarkStart w:id="492" w:name="_Toc354494238"/>
      <w:bookmarkStart w:id="493" w:name="_Toc354494456"/>
      <w:bookmarkStart w:id="494" w:name="_Toc354494667"/>
      <w:bookmarkStart w:id="495" w:name="_Toc354494961"/>
      <w:bookmarkStart w:id="496" w:name="_Toc354497843"/>
      <w:bookmarkStart w:id="497" w:name="_Toc354561256"/>
      <w:bookmarkStart w:id="498" w:name="_Toc355249596"/>
      <w:bookmarkStart w:id="499" w:name="_Toc357586066"/>
      <w:r w:rsidRPr="009340CE">
        <w:lastRenderedPageBreak/>
        <w:t>Introduction</w:t>
      </w:r>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p>
    <w:p w:rsidR="008237BB" w:rsidRDefault="008237BB" w:rsidP="000538C6">
      <w:pPr>
        <w:pStyle w:val="Heading2"/>
      </w:pPr>
      <w:bookmarkStart w:id="500" w:name="_Toc346261437"/>
      <w:bookmarkStart w:id="501" w:name="_Toc346632734"/>
      <w:bookmarkStart w:id="502" w:name="_Toc346632846"/>
      <w:bookmarkStart w:id="503" w:name="_Toc346632958"/>
      <w:bookmarkStart w:id="504" w:name="_Toc346633070"/>
      <w:bookmarkStart w:id="505" w:name="_Toc346633182"/>
      <w:bookmarkStart w:id="506" w:name="_Toc347401615"/>
      <w:bookmarkStart w:id="507" w:name="_Toc347401727"/>
      <w:bookmarkStart w:id="508" w:name="_Toc347401839"/>
      <w:bookmarkStart w:id="509" w:name="_Toc347401951"/>
      <w:bookmarkStart w:id="510" w:name="_Toc347402063"/>
      <w:bookmarkStart w:id="511" w:name="_Toc349055243"/>
      <w:bookmarkStart w:id="512" w:name="_Toc349055356"/>
      <w:bookmarkStart w:id="513" w:name="_Toc349055469"/>
      <w:bookmarkStart w:id="514" w:name="_Toc349055582"/>
      <w:bookmarkStart w:id="515" w:name="_Toc349055695"/>
      <w:bookmarkStart w:id="516" w:name="_Toc349116912"/>
      <w:bookmarkStart w:id="517" w:name="_Toc350330012"/>
      <w:bookmarkStart w:id="518" w:name="_Toc350343990"/>
      <w:bookmarkStart w:id="519" w:name="_Toc354404032"/>
      <w:bookmarkStart w:id="520" w:name="_Toc354492697"/>
      <w:bookmarkStart w:id="521" w:name="_Toc354492838"/>
      <w:bookmarkStart w:id="522" w:name="_Toc354492944"/>
      <w:bookmarkStart w:id="523" w:name="_Toc354493074"/>
      <w:bookmarkStart w:id="524" w:name="_Toc354493235"/>
      <w:bookmarkStart w:id="525" w:name="_Toc354493704"/>
      <w:bookmarkStart w:id="526" w:name="_Toc354494239"/>
      <w:bookmarkStart w:id="527" w:name="_Toc354494457"/>
      <w:bookmarkStart w:id="528" w:name="_Toc354494668"/>
      <w:bookmarkStart w:id="529" w:name="_Toc354494962"/>
      <w:bookmarkStart w:id="530" w:name="_Toc354497844"/>
      <w:bookmarkStart w:id="531" w:name="_Toc354561257"/>
      <w:bookmarkStart w:id="532" w:name="_Toc355249597"/>
      <w:bookmarkStart w:id="533" w:name="_Toc357586067"/>
      <w:r>
        <w:t>Background</w:t>
      </w:r>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p>
    <w:p w:rsidR="002F691C" w:rsidRDefault="008237BB" w:rsidP="008237BB">
      <w:pPr>
        <w:pStyle w:val="BodyText"/>
      </w:pPr>
      <w:r>
        <w:t>Due to the developing understanding of the science of c</w:t>
      </w:r>
      <w:r w:rsidRPr="00C343B6">
        <w:t>limate change</w:t>
      </w:r>
      <w:r>
        <w:t>,</w:t>
      </w:r>
      <w:r w:rsidRPr="00C343B6">
        <w:t xml:space="preserve"> </w:t>
      </w:r>
      <w:r>
        <w:t xml:space="preserve">model </w:t>
      </w:r>
      <w:r w:rsidRPr="00C343B6">
        <w:t xml:space="preserve">uncertainties present significant challenges for land use planning, emergency management and risk mitigation across Australia. </w:t>
      </w:r>
      <w:r>
        <w:t>Even under current-climate conditions, t</w:t>
      </w:r>
      <w:r w:rsidRPr="00C343B6">
        <w:t>he</w:t>
      </w:r>
      <w:r>
        <w:t xml:space="preserve"> Rockhampton</w:t>
      </w:r>
      <w:r w:rsidRPr="00C343B6">
        <w:t xml:space="preserve"> </w:t>
      </w:r>
      <w:r>
        <w:t>Regional Council area</w:t>
      </w:r>
      <w:r w:rsidRPr="00C343B6">
        <w:t xml:space="preserve"> is subject to</w:t>
      </w:r>
      <w:r>
        <w:t xml:space="preserve"> the</w:t>
      </w:r>
      <w:r w:rsidRPr="00C343B6">
        <w:t xml:space="preserve"> </w:t>
      </w:r>
      <w:r>
        <w:t>impacts of natural hazards, such as bushfires, floods, and tropical cyclones (extreme winds and</w:t>
      </w:r>
      <w:r w:rsidRPr="00C343B6">
        <w:t xml:space="preserve"> storm surge</w:t>
      </w:r>
      <w:r>
        <w:t xml:space="preserve">). All of these hazards </w:t>
      </w:r>
      <w:r w:rsidRPr="00C343B6">
        <w:t>may worsen with climate change.</w:t>
      </w:r>
    </w:p>
    <w:p w:rsidR="002F691C" w:rsidRDefault="008237BB" w:rsidP="008237BB">
      <w:pPr>
        <w:pStyle w:val="BodyText"/>
      </w:pPr>
      <w:r w:rsidRPr="00C343B6">
        <w:t xml:space="preserve">The </w:t>
      </w:r>
      <w:r>
        <w:t>Commonwealth</w:t>
      </w:r>
      <w:r w:rsidRPr="00C343B6">
        <w:t xml:space="preserve"> Government’s </w:t>
      </w:r>
      <w:r>
        <w:t>first pass n</w:t>
      </w:r>
      <w:r w:rsidRPr="00C343B6">
        <w:t xml:space="preserve">ational </w:t>
      </w:r>
      <w:r>
        <w:t>a</w:t>
      </w:r>
      <w:r w:rsidRPr="00C343B6">
        <w:t>ssessment</w:t>
      </w:r>
      <w:r>
        <w:t xml:space="preserve"> of the potential impact of climate change on coastal infrastructure (Cechet </w:t>
      </w:r>
      <w:r w:rsidRPr="007B6C0C">
        <w:rPr>
          <w:rStyle w:val="Bodytextitalic"/>
        </w:rPr>
        <w:t>et al.,</w:t>
      </w:r>
      <w:r>
        <w:t xml:space="preserve"> 2012)</w:t>
      </w:r>
      <w:r w:rsidRPr="00C343B6">
        <w:t xml:space="preserve"> indicated that</w:t>
      </w:r>
      <w:r>
        <w:t>,</w:t>
      </w:r>
      <w:r w:rsidRPr="00C343B6">
        <w:t xml:space="preserve"> of the significantly populated Queensland </w:t>
      </w:r>
      <w:r>
        <w:t>Local Government Areas (</w:t>
      </w:r>
      <w:r w:rsidRPr="00C343B6">
        <w:t>LGAs</w:t>
      </w:r>
      <w:r>
        <w:t>)</w:t>
      </w:r>
      <w:r w:rsidRPr="00C343B6">
        <w:t>, the R</w:t>
      </w:r>
      <w:r>
        <w:t xml:space="preserve">ockhampton </w:t>
      </w:r>
      <w:r w:rsidRPr="00C343B6">
        <w:t>R</w:t>
      </w:r>
      <w:r>
        <w:t xml:space="preserve">egional </w:t>
      </w:r>
      <w:r w:rsidRPr="00C343B6">
        <w:t>C</w:t>
      </w:r>
      <w:r>
        <w:t>ouncil</w:t>
      </w:r>
      <w:r w:rsidRPr="00C343B6">
        <w:t xml:space="preserve"> </w:t>
      </w:r>
      <w:r>
        <w:t>has the largest</w:t>
      </w:r>
      <w:r w:rsidRPr="00C343B6">
        <w:t xml:space="preserve"> area potentially inundated</w:t>
      </w:r>
      <w:r>
        <w:t xml:space="preserve"> through the combined impacts of sea-level rise, erosion and storm tide. Considering the expected population increase in Rockhampton (from under 117 thousand people in 2011 to over 175 thousand for 2031 under the high series prediction (Qld OESR, 2012)), even current-climate hazard will, through time, progressively expose greater numbers of people to the impact of disasters. A potential future-climate increase in hazard combined with the predicted population increase in the Rockhampton region will result in an increase in exposure. Therefore, the Rockhampton Regional </w:t>
      </w:r>
      <w:r w:rsidRPr="00C343B6">
        <w:t>C</w:t>
      </w:r>
      <w:r>
        <w:t>ouncil</w:t>
      </w:r>
      <w:r w:rsidRPr="00C343B6">
        <w:t xml:space="preserve"> will </w:t>
      </w:r>
      <w:r>
        <w:t>need prudent planning</w:t>
      </w:r>
      <w:r w:rsidRPr="00C343B6">
        <w:t xml:space="preserve"> to accommodate the </w:t>
      </w:r>
      <w:r>
        <w:t>increased population while taking into account potential changes in the hazard</w:t>
      </w:r>
      <w:r w:rsidRPr="00C343B6">
        <w:t xml:space="preserve">. </w:t>
      </w:r>
      <w:r>
        <w:t xml:space="preserve">The process of </w:t>
      </w:r>
      <w:r w:rsidRPr="00C343B6">
        <w:t>incorporat</w:t>
      </w:r>
      <w:r>
        <w:t>ing</w:t>
      </w:r>
      <w:r w:rsidRPr="00C343B6">
        <w:t xml:space="preserve"> projected changes in hazards into </w:t>
      </w:r>
      <w:r>
        <w:t xml:space="preserve">the </w:t>
      </w:r>
      <w:r w:rsidRPr="00C343B6">
        <w:t>planning processes could offer important insights for other region</w:t>
      </w:r>
      <w:r>
        <w:t>al councils</w:t>
      </w:r>
      <w:r w:rsidRPr="00C343B6">
        <w:t xml:space="preserve"> in Australia.</w:t>
      </w:r>
    </w:p>
    <w:p w:rsidR="00F805E1" w:rsidRDefault="008237BB" w:rsidP="008237BB">
      <w:pPr>
        <w:pStyle w:val="BodyText"/>
      </w:pPr>
      <w:r>
        <w:t xml:space="preserve">To consider future-climate hazard within council practices, the Rockhampton Regional Council received funding from the National Climate Change Adaptation Research Grants Program Project for a project under the Settlements and Infrastructure theme. This funding was provided to evaluate the ability of urban planning principles and practices to accommodate climate change and the uncertainty of climate change impacts. </w:t>
      </w:r>
      <w:r w:rsidRPr="00F30E70">
        <w:t>Within this project, the Rockhampton Regional Council engaged Geoscience Australia to undertake the modelling of natural hazards under current and future climate. This report describes the methodology and the results of the work undertaken by Geoscience Australia and constitutes the final contract deliverable for the Rockhampton Regional Council.</w:t>
      </w:r>
      <w:r w:rsidR="00F805E1">
        <w:br w:type="page"/>
      </w:r>
    </w:p>
    <w:p w:rsidR="008237BB" w:rsidRDefault="008237BB" w:rsidP="00F805E1">
      <w:pPr>
        <w:pStyle w:val="Heading2"/>
      </w:pPr>
      <w:bookmarkStart w:id="534" w:name="_Toc346261438"/>
      <w:bookmarkStart w:id="535" w:name="_Toc346632735"/>
      <w:bookmarkStart w:id="536" w:name="_Toc346632847"/>
      <w:bookmarkStart w:id="537" w:name="_Toc346632959"/>
      <w:bookmarkStart w:id="538" w:name="_Toc346633071"/>
      <w:bookmarkStart w:id="539" w:name="_Toc346633183"/>
      <w:bookmarkStart w:id="540" w:name="_Toc347401616"/>
      <w:bookmarkStart w:id="541" w:name="_Toc347401728"/>
      <w:bookmarkStart w:id="542" w:name="_Toc347401840"/>
      <w:bookmarkStart w:id="543" w:name="_Toc347401952"/>
      <w:bookmarkStart w:id="544" w:name="_Toc347402064"/>
      <w:bookmarkStart w:id="545" w:name="_Toc349055244"/>
      <w:bookmarkStart w:id="546" w:name="_Toc349055357"/>
      <w:bookmarkStart w:id="547" w:name="_Toc349055470"/>
      <w:bookmarkStart w:id="548" w:name="_Toc349055583"/>
      <w:bookmarkStart w:id="549" w:name="_Toc349055696"/>
      <w:bookmarkStart w:id="550" w:name="_Toc349116913"/>
      <w:bookmarkStart w:id="551" w:name="_Toc350330013"/>
      <w:bookmarkStart w:id="552" w:name="_Toc350343991"/>
      <w:bookmarkStart w:id="553" w:name="_Toc354404033"/>
      <w:bookmarkStart w:id="554" w:name="_Toc354492698"/>
      <w:bookmarkStart w:id="555" w:name="_Toc354492839"/>
      <w:bookmarkStart w:id="556" w:name="_Toc354492945"/>
      <w:bookmarkStart w:id="557" w:name="_Toc354493075"/>
      <w:bookmarkStart w:id="558" w:name="_Toc354493236"/>
      <w:bookmarkStart w:id="559" w:name="_Toc354493705"/>
      <w:bookmarkStart w:id="560" w:name="_Toc354494240"/>
      <w:bookmarkStart w:id="561" w:name="_Toc354494458"/>
      <w:bookmarkStart w:id="562" w:name="_Toc354494669"/>
      <w:bookmarkStart w:id="563" w:name="_Toc354494963"/>
      <w:bookmarkStart w:id="564" w:name="_Toc354497845"/>
      <w:bookmarkStart w:id="565" w:name="_Toc354561258"/>
      <w:bookmarkStart w:id="566" w:name="_Toc355249598"/>
      <w:bookmarkStart w:id="567" w:name="_Toc357586068"/>
      <w:r>
        <w:lastRenderedPageBreak/>
        <w:t>Aim</w:t>
      </w:r>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p>
    <w:p w:rsidR="002F691C" w:rsidRDefault="008237BB" w:rsidP="008237BB">
      <w:pPr>
        <w:pStyle w:val="BodyText"/>
      </w:pPr>
      <w:r>
        <w:t>The aim of this study is to utilise natural hazard modelling techniques to develop a series of spatial datasets describing hazards under current-climate conditions and a future-climate scenario.</w:t>
      </w:r>
    </w:p>
    <w:p w:rsidR="008237BB" w:rsidRDefault="008237BB" w:rsidP="008237BB">
      <w:pPr>
        <w:pStyle w:val="BodyText"/>
      </w:pPr>
      <w:r>
        <w:t>This study considers the following natural hazards:</w:t>
      </w:r>
    </w:p>
    <w:p w:rsidR="008237BB" w:rsidRPr="005B6444" w:rsidRDefault="008237BB" w:rsidP="004B379B">
      <w:pPr>
        <w:pStyle w:val="Bulletlevel1"/>
      </w:pPr>
      <w:r w:rsidRPr="005B6444">
        <w:t>tropical cyclone wind</w:t>
      </w:r>
    </w:p>
    <w:p w:rsidR="002F691C" w:rsidRDefault="008237BB" w:rsidP="004B379B">
      <w:pPr>
        <w:pStyle w:val="Bulletlevel1"/>
      </w:pPr>
      <w:r w:rsidRPr="005B6444">
        <w:t>bushfire</w:t>
      </w:r>
    </w:p>
    <w:p w:rsidR="008237BB" w:rsidRPr="005B6444" w:rsidRDefault="008237BB" w:rsidP="004B379B">
      <w:pPr>
        <w:pStyle w:val="Bulletlevel1"/>
      </w:pPr>
      <w:r w:rsidRPr="005B6444">
        <w:t>storm tide</w:t>
      </w:r>
    </w:p>
    <w:p w:rsidR="008237BB" w:rsidRPr="005B6444" w:rsidRDefault="008237BB" w:rsidP="004B379B">
      <w:pPr>
        <w:pStyle w:val="Bulletlevel1"/>
      </w:pPr>
      <w:r w:rsidRPr="005B6444">
        <w:t xml:space="preserve">coastal </w:t>
      </w:r>
      <w:r>
        <w:t>erosion</w:t>
      </w:r>
    </w:p>
    <w:p w:rsidR="008237BB" w:rsidRDefault="008237BB" w:rsidP="004B379B">
      <w:pPr>
        <w:pStyle w:val="Bulletlevel1"/>
      </w:pPr>
      <w:r w:rsidRPr="005B6444">
        <w:t>sea-level rise.</w:t>
      </w:r>
    </w:p>
    <w:p w:rsidR="002F691C" w:rsidRDefault="008237BB" w:rsidP="008237BB">
      <w:pPr>
        <w:pStyle w:val="BodyText"/>
      </w:pPr>
      <w:r>
        <w:t>Flood modelling was not within the scope of Geoscience Australia’s work for this study. It is recognised that flood modelling should be included within an “all-hazards” approach; specifically as Rockhampton is prone to flood (1918, 10.11 metres peak height above gauge datum; 1954, 9.4 m; 1991, 9.3 m; and 2011, 9.15 m). Flood modelling could augment this study in the future.</w:t>
      </w:r>
    </w:p>
    <w:p w:rsidR="008237BB" w:rsidRPr="00D819E8" w:rsidRDefault="008237BB" w:rsidP="008237BB">
      <w:pPr>
        <w:pStyle w:val="BodyText"/>
      </w:pPr>
      <w:r>
        <w:t>The outputs of this study include:</w:t>
      </w:r>
    </w:p>
    <w:p w:rsidR="008237BB" w:rsidRPr="005B6444" w:rsidRDefault="008237BB" w:rsidP="004B379B">
      <w:pPr>
        <w:pStyle w:val="Bulletlevel1"/>
      </w:pPr>
      <w:r w:rsidRPr="005B6444">
        <w:t>A description of the methodologies and discussion of results (this report)</w:t>
      </w:r>
    </w:p>
    <w:p w:rsidR="008237BB" w:rsidRPr="005B6444" w:rsidRDefault="008237BB" w:rsidP="004B379B">
      <w:pPr>
        <w:pStyle w:val="Bulletlevel1"/>
      </w:pPr>
      <w:r w:rsidRPr="005B6444">
        <w:t>Hazard maps</w:t>
      </w:r>
    </w:p>
    <w:p w:rsidR="008237BB" w:rsidRDefault="008237BB" w:rsidP="004B379B">
      <w:pPr>
        <w:pStyle w:val="Bulletlevel1"/>
      </w:pPr>
      <w:r w:rsidRPr="005B6444">
        <w:t>Hazard modelling results in digital form.</w:t>
      </w:r>
    </w:p>
    <w:p w:rsidR="002F691C" w:rsidRDefault="008237BB" w:rsidP="008237BB">
      <w:pPr>
        <w:pStyle w:val="BodyText"/>
      </w:pPr>
      <w:r>
        <w:t>The aim of the hazard maps, supplied alongside the report, is to spatially communicate the regional hazard results. The maps should be interpreted with this report and should not be used in isolation. The hazard maps are indicative of the hazard levels at a regional scale, and are not intended for use for local planning purposes. The maps have not been designed to communicate the hazard to the general public.</w:t>
      </w:r>
    </w:p>
    <w:p w:rsidR="008237BB" w:rsidRDefault="008237BB" w:rsidP="008237BB">
      <w:pPr>
        <w:pStyle w:val="BodyText"/>
      </w:pPr>
      <w:r>
        <w:t>The aim of the hazard modelling results, in the form of digital spatial data, is to support the Rockhampton Regional Council in evaluating the ability of existing urban planning principles and practices to accommodate climate change and the uncertainty of climate change impacts.</w:t>
      </w:r>
      <w:r w:rsidRPr="00D749F3">
        <w:t xml:space="preserve"> </w:t>
      </w:r>
      <w:r>
        <w:t xml:space="preserve">The digital spatial data has been provided to the </w:t>
      </w:r>
      <w:r w:rsidRPr="005C26CA">
        <w:t>Rockhampton Regional Council</w:t>
      </w:r>
      <w:r>
        <w:t xml:space="preserve"> to enable the council to further analyse or visualise the data.</w:t>
      </w:r>
    </w:p>
    <w:p w:rsidR="008237BB" w:rsidRPr="009340CE" w:rsidRDefault="008237BB" w:rsidP="008237BB">
      <w:pPr>
        <w:pStyle w:val="Heading2"/>
      </w:pPr>
      <w:bookmarkStart w:id="568" w:name="_Toc349055245"/>
      <w:bookmarkStart w:id="569" w:name="_Toc349055358"/>
      <w:bookmarkStart w:id="570" w:name="_Toc349055471"/>
      <w:bookmarkStart w:id="571" w:name="_Toc349055584"/>
      <w:bookmarkStart w:id="572" w:name="_Toc349055697"/>
      <w:bookmarkStart w:id="573" w:name="_Toc349116914"/>
      <w:bookmarkStart w:id="574" w:name="_Toc350330014"/>
      <w:bookmarkStart w:id="575" w:name="_Toc350343992"/>
      <w:bookmarkStart w:id="576" w:name="_Toc354404034"/>
      <w:bookmarkStart w:id="577" w:name="_Toc354492699"/>
      <w:bookmarkStart w:id="578" w:name="_Toc354492840"/>
      <w:bookmarkStart w:id="579" w:name="_Toc354492946"/>
      <w:bookmarkStart w:id="580" w:name="_Toc354493076"/>
      <w:bookmarkStart w:id="581" w:name="_Toc354493237"/>
      <w:bookmarkStart w:id="582" w:name="_Toc354493706"/>
      <w:bookmarkStart w:id="583" w:name="_Toc354494241"/>
      <w:bookmarkStart w:id="584" w:name="_Toc354494459"/>
      <w:bookmarkStart w:id="585" w:name="_Toc354494670"/>
      <w:bookmarkStart w:id="586" w:name="_Toc354494964"/>
      <w:bookmarkStart w:id="587" w:name="_Toc354497846"/>
      <w:bookmarkStart w:id="588" w:name="_Toc354561259"/>
      <w:bookmarkStart w:id="589" w:name="_Toc355249599"/>
      <w:bookmarkStart w:id="590" w:name="_Toc357586069"/>
      <w:r>
        <w:t>Study Region</w:t>
      </w:r>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p>
    <w:p w:rsidR="008237BB" w:rsidRDefault="008237BB" w:rsidP="008237BB">
      <w:pPr>
        <w:pStyle w:val="BodyText"/>
      </w:pPr>
      <w:r>
        <w:t xml:space="preserve">The spatial extent of this study is shown in </w:t>
      </w:r>
      <w:r w:rsidR="005D5011">
        <w:fldChar w:fldCharType="begin"/>
      </w:r>
      <w:r w:rsidR="005D5011">
        <w:instrText xml:space="preserve"> REF _Ref354476096 \h </w:instrText>
      </w:r>
      <w:r w:rsidR="005D5011">
        <w:fldChar w:fldCharType="separate"/>
      </w:r>
      <w:r w:rsidR="00413858">
        <w:t xml:space="preserve">Figure </w:t>
      </w:r>
      <w:r w:rsidR="00413858">
        <w:rPr>
          <w:noProof/>
        </w:rPr>
        <w:t>2</w:t>
      </w:r>
      <w:r w:rsidR="00413858">
        <w:t>.</w:t>
      </w:r>
      <w:r w:rsidR="00413858">
        <w:rPr>
          <w:noProof/>
        </w:rPr>
        <w:t>1</w:t>
      </w:r>
      <w:r w:rsidR="005D5011">
        <w:fldChar w:fldCharType="end"/>
      </w:r>
      <w:r>
        <w:t xml:space="preserve">. This extent was selected as it covered the most populated area within the </w:t>
      </w:r>
      <w:r w:rsidRPr="005C26CA">
        <w:t>Rockhampton Regional Council</w:t>
      </w:r>
      <w:r>
        <w:t xml:space="preserve"> LGA, and the area Rockhampton is likely to expand within as the population increases.</w:t>
      </w:r>
    </w:p>
    <w:p w:rsidR="00414D8E" w:rsidRDefault="008237BB" w:rsidP="00481556">
      <w:pPr>
        <w:pStyle w:val="Figuresandimagesleft"/>
      </w:pPr>
      <w:r>
        <w:rPr>
          <w:noProof/>
        </w:rPr>
        <w:lastRenderedPageBreak/>
        <w:drawing>
          <wp:inline distT="0" distB="0" distL="0" distR="0" wp14:anchorId="42C12BA0" wp14:editId="07B3748B">
            <wp:extent cx="5400675" cy="3600450"/>
            <wp:effectExtent l="0" t="0" r="9525" b="0"/>
            <wp:docPr id="94" name="Picture 94" descr="The Rockhampton study region is a square border with limits approximately 50 kilometres to the north, east, south and west of the city of Rockhampton. Rockhampton is on the east coast of Australia in the state of Queens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Rockhampton study region is a square border with limits approximately 50 kilometres to the north, east, south and west of the city of Rockhampton. Rockhampton is on the east coast of Australia in the state of Queensland.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Pr="006B75EC" w:rsidRDefault="00414D8E" w:rsidP="006B75EC">
      <w:pPr>
        <w:pStyle w:val="Caption"/>
      </w:pPr>
      <w:bookmarkStart w:id="591" w:name="_Ref354476096"/>
      <w:bookmarkStart w:id="592" w:name="_Toc354403562"/>
      <w:bookmarkStart w:id="593" w:name="_Toc354476898"/>
      <w:bookmarkStart w:id="594" w:name="_Toc354477146"/>
      <w:bookmarkStart w:id="595" w:name="_Toc354493425"/>
      <w:bookmarkStart w:id="596" w:name="_Toc354493650"/>
      <w:bookmarkStart w:id="597" w:name="_Toc354494554"/>
      <w:bookmarkStart w:id="598" w:name="_Toc356489936"/>
      <w:r>
        <w:t xml:space="preserve">Figure </w:t>
      </w:r>
      <w:r w:rsidR="007F11CF">
        <w:fldChar w:fldCharType="begin"/>
      </w:r>
      <w:r w:rsidR="007F11CF">
        <w:instrText xml:space="preserve"> STYLEREF 1 \s </w:instrText>
      </w:r>
      <w:r w:rsidR="007F11CF">
        <w:fldChar w:fldCharType="separate"/>
      </w:r>
      <w:r w:rsidR="00413858">
        <w:rPr>
          <w:noProof/>
        </w:rPr>
        <w:t>2</w:t>
      </w:r>
      <w:r w:rsidR="007F11CF">
        <w:rPr>
          <w:noProof/>
        </w:rPr>
        <w:fldChar w:fldCharType="end"/>
      </w:r>
      <w:r w:rsidR="00356FFD">
        <w:t>.</w:t>
      </w:r>
      <w:r w:rsidR="007F11CF">
        <w:fldChar w:fldCharType="begin"/>
      </w:r>
      <w:r w:rsidR="007F11CF">
        <w:instrText xml:space="preserve"> SEQ Figure \* ARABIC \s 1 </w:instrText>
      </w:r>
      <w:r w:rsidR="007F11CF">
        <w:fldChar w:fldCharType="separate"/>
      </w:r>
      <w:r w:rsidR="00413858">
        <w:rPr>
          <w:noProof/>
        </w:rPr>
        <w:t>1</w:t>
      </w:r>
      <w:r w:rsidR="007F11CF">
        <w:rPr>
          <w:noProof/>
        </w:rPr>
        <w:fldChar w:fldCharType="end"/>
      </w:r>
      <w:bookmarkStart w:id="599" w:name="_Toc342638625"/>
      <w:bookmarkStart w:id="600" w:name="_Toc349055130"/>
      <w:bookmarkStart w:id="601" w:name="_Toc349055793"/>
      <w:bookmarkStart w:id="602" w:name="_Toc349114878"/>
      <w:bookmarkStart w:id="603" w:name="_Toc349114969"/>
      <w:bookmarkStart w:id="604" w:name="_Toc349115108"/>
      <w:bookmarkStart w:id="605" w:name="_Toc349115501"/>
      <w:bookmarkStart w:id="606" w:name="_Toc349115685"/>
      <w:bookmarkStart w:id="607" w:name="_Toc350325274"/>
      <w:bookmarkStart w:id="608" w:name="_Toc350325549"/>
      <w:bookmarkStart w:id="609" w:name="_Toc350326970"/>
      <w:bookmarkStart w:id="610" w:name="_Toc350327119"/>
      <w:bookmarkStart w:id="611" w:name="_Toc350327251"/>
      <w:bookmarkStart w:id="612" w:name="_Toc350330202"/>
      <w:bookmarkStart w:id="613" w:name="_Toc350339784"/>
      <w:bookmarkStart w:id="614" w:name="_Toc350341457"/>
      <w:bookmarkStart w:id="615" w:name="_Toc350341611"/>
      <w:bookmarkStart w:id="616" w:name="_Toc351449896"/>
      <w:bookmarkStart w:id="617" w:name="_Toc351449977"/>
      <w:bookmarkStart w:id="618" w:name="_Toc352242275"/>
      <w:bookmarkStart w:id="619" w:name="_Toc352243703"/>
      <w:bookmarkStart w:id="620" w:name="_Toc352243834"/>
      <w:bookmarkStart w:id="621" w:name="_Toc352244379"/>
      <w:bookmarkStart w:id="622" w:name="_Toc352244474"/>
      <w:bookmarkEnd w:id="591"/>
      <w:r w:rsidR="008237BB" w:rsidRPr="006B75EC">
        <w:t>. The Rockhampton study region (black outline) and primary roads (red lines).</w:t>
      </w:r>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p>
    <w:p w:rsidR="008237BB" w:rsidRDefault="008237BB" w:rsidP="008237BB">
      <w:pPr>
        <w:pStyle w:val="Heading2"/>
        <w:pageBreakBefore/>
      </w:pPr>
      <w:bookmarkStart w:id="623" w:name="_Toc346261440"/>
      <w:bookmarkStart w:id="624" w:name="_Toc346632737"/>
      <w:bookmarkStart w:id="625" w:name="_Toc346632849"/>
      <w:bookmarkStart w:id="626" w:name="_Toc346632961"/>
      <w:bookmarkStart w:id="627" w:name="_Toc346633073"/>
      <w:bookmarkStart w:id="628" w:name="_Toc346633185"/>
      <w:bookmarkStart w:id="629" w:name="_Toc347401618"/>
      <w:bookmarkStart w:id="630" w:name="_Toc347401730"/>
      <w:bookmarkStart w:id="631" w:name="_Toc347401842"/>
      <w:bookmarkStart w:id="632" w:name="_Toc347401954"/>
      <w:bookmarkStart w:id="633" w:name="_Toc347402066"/>
      <w:bookmarkStart w:id="634" w:name="_Toc349055246"/>
      <w:bookmarkStart w:id="635" w:name="_Toc349055359"/>
      <w:bookmarkStart w:id="636" w:name="_Toc349055472"/>
      <w:bookmarkStart w:id="637" w:name="_Toc349055585"/>
      <w:bookmarkStart w:id="638" w:name="_Toc349055698"/>
      <w:bookmarkStart w:id="639" w:name="_Toc349116915"/>
      <w:bookmarkStart w:id="640" w:name="_Toc350330015"/>
      <w:bookmarkStart w:id="641" w:name="_Toc350343993"/>
      <w:bookmarkStart w:id="642" w:name="_Toc354404035"/>
      <w:bookmarkStart w:id="643" w:name="_Toc354492700"/>
      <w:bookmarkStart w:id="644" w:name="_Toc354492841"/>
      <w:bookmarkStart w:id="645" w:name="_Toc354492947"/>
      <w:bookmarkStart w:id="646" w:name="_Toc354493077"/>
      <w:bookmarkStart w:id="647" w:name="_Toc354493238"/>
      <w:bookmarkStart w:id="648" w:name="_Toc354493707"/>
      <w:bookmarkStart w:id="649" w:name="_Toc354494242"/>
      <w:bookmarkStart w:id="650" w:name="_Toc354494460"/>
      <w:bookmarkStart w:id="651" w:name="_Toc354494671"/>
      <w:bookmarkStart w:id="652" w:name="_Toc354494965"/>
      <w:bookmarkStart w:id="653" w:name="_Toc354497847"/>
      <w:bookmarkStart w:id="654" w:name="_Toc354561260"/>
      <w:bookmarkStart w:id="655" w:name="_Toc355249600"/>
      <w:bookmarkStart w:id="656" w:name="_Toc357586070"/>
      <w:r>
        <w:lastRenderedPageBreak/>
        <w:t>Future Climate in Queensland</w:t>
      </w:r>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p>
    <w:p w:rsidR="008237BB" w:rsidRPr="00CA65FD" w:rsidRDefault="008237BB" w:rsidP="005D5011">
      <w:pPr>
        <w:pStyle w:val="Heading3"/>
      </w:pPr>
      <w:bookmarkStart w:id="657" w:name="_Toc346261441"/>
      <w:bookmarkStart w:id="658" w:name="_Toc346632738"/>
      <w:bookmarkStart w:id="659" w:name="_Toc346632850"/>
      <w:bookmarkStart w:id="660" w:name="_Toc346632962"/>
      <w:bookmarkStart w:id="661" w:name="_Toc346633074"/>
      <w:bookmarkStart w:id="662" w:name="_Toc346633186"/>
      <w:bookmarkStart w:id="663" w:name="_Toc347401619"/>
      <w:bookmarkStart w:id="664" w:name="_Toc347401731"/>
      <w:bookmarkStart w:id="665" w:name="_Toc347401843"/>
      <w:bookmarkStart w:id="666" w:name="_Toc347401955"/>
      <w:bookmarkStart w:id="667" w:name="_Toc347402067"/>
      <w:bookmarkStart w:id="668" w:name="_Toc349055247"/>
      <w:bookmarkStart w:id="669" w:name="_Toc349055360"/>
      <w:bookmarkStart w:id="670" w:name="_Toc349055473"/>
      <w:bookmarkStart w:id="671" w:name="_Toc349055586"/>
      <w:bookmarkStart w:id="672" w:name="_Toc349055699"/>
      <w:bookmarkStart w:id="673" w:name="_Toc349116916"/>
      <w:bookmarkStart w:id="674" w:name="_Toc350330016"/>
      <w:bookmarkStart w:id="675" w:name="_Toc350343994"/>
      <w:bookmarkStart w:id="676" w:name="_Toc354401975"/>
      <w:bookmarkStart w:id="677" w:name="_Toc354476472"/>
      <w:bookmarkStart w:id="678" w:name="_Toc354492701"/>
      <w:bookmarkStart w:id="679" w:name="_Toc354492842"/>
      <w:bookmarkStart w:id="680" w:name="_Toc354492948"/>
      <w:bookmarkStart w:id="681" w:name="_Toc354493078"/>
      <w:bookmarkStart w:id="682" w:name="_Toc354493239"/>
      <w:bookmarkStart w:id="683" w:name="_Toc354493708"/>
      <w:bookmarkStart w:id="684" w:name="_Toc354494243"/>
      <w:bookmarkStart w:id="685" w:name="_Toc354494461"/>
      <w:bookmarkStart w:id="686" w:name="_Toc354494672"/>
      <w:bookmarkStart w:id="687" w:name="_Toc354494966"/>
      <w:bookmarkStart w:id="688" w:name="_Toc354497848"/>
      <w:bookmarkStart w:id="689" w:name="_Toc354561261"/>
      <w:bookmarkStart w:id="690" w:name="_Toc355164158"/>
      <w:bookmarkStart w:id="691" w:name="_Toc355249601"/>
      <w:r w:rsidRPr="006B6AB5">
        <w:t xml:space="preserve">Future </w:t>
      </w:r>
      <w:r>
        <w:t>C</w:t>
      </w:r>
      <w:r w:rsidRPr="006B6AB5">
        <w:t>limate</w:t>
      </w:r>
      <w:r>
        <w:t xml:space="preserve"> Overview</w:t>
      </w:r>
      <w:r w:rsidRPr="006B6AB5">
        <w:t xml:space="preserve"> – </w:t>
      </w:r>
      <w:r>
        <w:t>Central</w:t>
      </w:r>
      <w:r w:rsidRPr="006B6AB5">
        <w:t xml:space="preserve"> Queensland</w:t>
      </w:r>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p>
    <w:p w:rsidR="002F691C" w:rsidRDefault="008237BB" w:rsidP="008237BB">
      <w:pPr>
        <w:pStyle w:val="BodyText"/>
      </w:pPr>
      <w:r>
        <w:t xml:space="preserve">The DERM report </w:t>
      </w:r>
      <w:r w:rsidRPr="007C4CB8">
        <w:t>“</w:t>
      </w:r>
      <w:r w:rsidRPr="007B6C0C">
        <w:rPr>
          <w:rStyle w:val="Bodytextitalic"/>
        </w:rPr>
        <w:t>ClimateQ: towards a greener Queensland</w:t>
      </w:r>
      <w:r w:rsidRPr="007C4CB8">
        <w:t>” (DERM</w:t>
      </w:r>
      <w:r>
        <w:t>,</w:t>
      </w:r>
      <w:r w:rsidRPr="007C4CB8">
        <w:t xml:space="preserve"> 2009) provides the scientific and policy context for climate change for Queensland</w:t>
      </w:r>
      <w:r>
        <w:t>. It</w:t>
      </w:r>
      <w:r w:rsidRPr="007C4CB8">
        <w:t xml:space="preserve"> includes </w:t>
      </w:r>
      <w:r>
        <w:t>eight</w:t>
      </w:r>
      <w:r w:rsidRPr="007C4CB8">
        <w:t xml:space="preserve"> sectoral strategies to reset and expand Queensland’s policy approach for managing future greenhouse gas impacts and safeguarding Queensland’s future. </w:t>
      </w:r>
      <w:r>
        <w:t xml:space="preserve">Appendix 3 of the report </w:t>
      </w:r>
      <w:r w:rsidRPr="007C4CB8">
        <w:t>provides regional climate change summaries.</w:t>
      </w:r>
      <w:r>
        <w:t xml:space="preserve"> Box 1 shows an excerpt from the summary of the key findings on projected </w:t>
      </w:r>
      <w:r w:rsidRPr="007C4CB8">
        <w:t>climate change for Central Queensland</w:t>
      </w:r>
      <w:r>
        <w:t xml:space="preserve"> which includes the Rockhampton region.</w:t>
      </w:r>
    </w:p>
    <w:p w:rsidR="003776CC" w:rsidRPr="006464E2" w:rsidRDefault="00055DCB" w:rsidP="00D0344B">
      <w:pPr>
        <w:pStyle w:val="Boxheaders"/>
      </w:pPr>
      <w:r>
        <w:rPr>
          <w:noProof/>
        </w:rPr>
        <mc:AlternateContent>
          <mc:Choice Requires="wps">
            <w:drawing>
              <wp:anchor distT="0" distB="0" distL="114300" distR="114300" simplePos="0" relativeHeight="251659263" behindDoc="1" locked="0" layoutInCell="1" allowOverlap="1" wp14:anchorId="0A8A9CB1" wp14:editId="02A9DB84">
                <wp:simplePos x="0" y="0"/>
                <wp:positionH relativeFrom="column">
                  <wp:posOffset>-146685</wp:posOffset>
                </wp:positionH>
                <wp:positionV relativeFrom="paragraph">
                  <wp:posOffset>50165</wp:posOffset>
                </wp:positionV>
                <wp:extent cx="6057900" cy="5687695"/>
                <wp:effectExtent l="0" t="0" r="19050" b="27305"/>
                <wp:wrapNone/>
                <wp:docPr id="101" name="Rectangle 101" descr="Text box"/>
                <wp:cNvGraphicFramePr/>
                <a:graphic xmlns:a="http://schemas.openxmlformats.org/drawingml/2006/main">
                  <a:graphicData uri="http://schemas.microsoft.com/office/word/2010/wordprocessingShape">
                    <wps:wsp>
                      <wps:cNvSpPr/>
                      <wps:spPr>
                        <a:xfrm>
                          <a:off x="0" y="0"/>
                          <a:ext cx="6057900" cy="5687695"/>
                        </a:xfrm>
                        <a:prstGeom prst="rect">
                          <a:avLst/>
                        </a:prstGeom>
                        <a:solidFill>
                          <a:srgbClr val="DADADA"/>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1" o:spid="_x0000_s1026" alt="Text box" style="position:absolute;margin-left:-11.55pt;margin-top:3.95pt;width:477pt;height:447.85pt;z-index:-2516572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" fillcolor="#dadada" strokecolor="#5a5a5a [2109]" strokeweight="2pt"/>
            </w:pict>
          </mc:Fallback>
        </mc:AlternateContent>
      </w:r>
      <w:r w:rsidR="003776CC" w:rsidRPr="006464E2">
        <w:t>Box 1. Climate Change in the Central Queensland Region</w:t>
      </w:r>
    </w:p>
    <w:p w:rsidR="003776CC" w:rsidRPr="00D0344B" w:rsidRDefault="003776CC" w:rsidP="00D0344B">
      <w:pPr>
        <w:pStyle w:val="BodyText"/>
        <w:rPr>
          <w:rStyle w:val="Bodytextbold"/>
        </w:rPr>
      </w:pPr>
      <w:r w:rsidRPr="00D0344B">
        <w:rPr>
          <w:rStyle w:val="Bodytextbold"/>
        </w:rPr>
        <w:t>Temperature</w:t>
      </w:r>
    </w:p>
    <w:p w:rsidR="003776CC" w:rsidRPr="004B379B" w:rsidRDefault="003776CC" w:rsidP="004B379B">
      <w:pPr>
        <w:pStyle w:val="Bulletlevel1"/>
      </w:pPr>
      <w:r w:rsidRPr="004B379B">
        <w:t>Average annual temperature in Central Queensland has increased 0.5 °C over the last decade (from 21.6 °C to 22.1 °C).</w:t>
      </w:r>
    </w:p>
    <w:p w:rsidR="003776CC" w:rsidRPr="004B379B" w:rsidRDefault="003776CC" w:rsidP="004B379B">
      <w:pPr>
        <w:pStyle w:val="Bulletlevel1"/>
      </w:pPr>
      <w:r w:rsidRPr="004B379B">
        <w:t>Projections indicate an increase of up to 4.5 °C by 2070 leading to annual temperatures well beyond those experienced over the last 50 years.</w:t>
      </w:r>
    </w:p>
    <w:p w:rsidR="003776CC" w:rsidRPr="004B379B" w:rsidRDefault="003776CC" w:rsidP="004B379B">
      <w:pPr>
        <w:pStyle w:val="Bulletlevel1"/>
      </w:pPr>
      <w:r w:rsidRPr="004B379B">
        <w:t>By 2070, Rockhampton may have four times the number of days over 35 °C (increasing from an average of 16 per year to an average of 64 per year by 2070), while Barcaldine may have nearly twice the number of hot days (increasing from an average of 87 per year to an average of 163 per year by 2070).</w:t>
      </w:r>
    </w:p>
    <w:p w:rsidR="003776CC" w:rsidRPr="004B379B" w:rsidRDefault="003776CC" w:rsidP="004B379B">
      <w:pPr>
        <w:pStyle w:val="BodyText"/>
        <w:rPr>
          <w:rStyle w:val="Bodytextbold"/>
        </w:rPr>
      </w:pPr>
      <w:r w:rsidRPr="004B379B">
        <w:rPr>
          <w:rStyle w:val="Bodytextbold"/>
        </w:rPr>
        <w:t>Rainfall</w:t>
      </w:r>
    </w:p>
    <w:p w:rsidR="002F691C" w:rsidRDefault="003776CC" w:rsidP="004B379B">
      <w:pPr>
        <w:pStyle w:val="Bulletlevel1"/>
      </w:pPr>
      <w:r w:rsidRPr="004B379B">
        <w:t>Average annual rainfall in the last decade fell by nearly 14 per cent compared with the previous 30 years. This is generally consistent with natural variability experienced over the last 110 years, which makes it difficult to detect any influence of climate change at this stage.</w:t>
      </w:r>
    </w:p>
    <w:p w:rsidR="003776CC" w:rsidRPr="004B379B" w:rsidRDefault="003776CC" w:rsidP="004B379B">
      <w:pPr>
        <w:pStyle w:val="Bulletlevel1"/>
      </w:pPr>
      <w:r w:rsidRPr="004B379B">
        <w:t>Models have projected a range of rainfall changes from an annual increase of 17 per cent to a decrease of 35 per cent by 2070. The ‘best estimate’ of projected rainfall change show a decrease under all emissions scenarios.</w:t>
      </w:r>
    </w:p>
    <w:p w:rsidR="003776CC" w:rsidRPr="004B379B" w:rsidRDefault="003776CC" w:rsidP="004B379B">
      <w:pPr>
        <w:pStyle w:val="BodyText"/>
        <w:rPr>
          <w:rStyle w:val="Bodytextbold"/>
        </w:rPr>
      </w:pPr>
      <w:r w:rsidRPr="004B379B">
        <w:rPr>
          <w:rStyle w:val="Bodytextbold"/>
        </w:rPr>
        <w:t>Evaporation</w:t>
      </w:r>
    </w:p>
    <w:p w:rsidR="003776CC" w:rsidRPr="005B6444" w:rsidRDefault="003776CC" w:rsidP="004B379B">
      <w:pPr>
        <w:pStyle w:val="Bulletlevel1"/>
      </w:pPr>
      <w:r w:rsidRPr="005B6444">
        <w:t>Projections indicate annual potential evaporation could increase 7–15 per cent by 2070.</w:t>
      </w:r>
    </w:p>
    <w:p w:rsidR="003776CC" w:rsidRPr="004B379B" w:rsidRDefault="003776CC" w:rsidP="004B379B">
      <w:pPr>
        <w:pStyle w:val="BodyText"/>
        <w:rPr>
          <w:rStyle w:val="Bodytextbold"/>
        </w:rPr>
      </w:pPr>
      <w:r w:rsidRPr="004B379B">
        <w:rPr>
          <w:rStyle w:val="Bodytextbold"/>
        </w:rPr>
        <w:t>Extreme events</w:t>
      </w:r>
    </w:p>
    <w:p w:rsidR="00F805E1" w:rsidRDefault="003776CC" w:rsidP="004B379B">
      <w:pPr>
        <w:pStyle w:val="Bulletlevel1"/>
      </w:pPr>
      <w:r w:rsidRPr="005B6444">
        <w:t>The 1-in-100-year storm tide event is projected to increase by 51 cm in Gladstone and 32 cm at Cape Clinton (near Yeppoon) if certain conditions eventuate. These conditions are a 30 cm sea-level rise, a 10 per cent increase in cyclone intensity and frequency, as well as a 130 km shift southwards in cyclone tracks.</w:t>
      </w:r>
      <w:r w:rsidR="00F805E1">
        <w:br w:type="page"/>
      </w:r>
    </w:p>
    <w:p w:rsidR="008237BB" w:rsidRDefault="008237BB" w:rsidP="00F805E1">
      <w:pPr>
        <w:pStyle w:val="Heading2"/>
      </w:pPr>
      <w:bookmarkStart w:id="692" w:name="_Toc346261442"/>
      <w:bookmarkStart w:id="693" w:name="_Toc346632739"/>
      <w:bookmarkStart w:id="694" w:name="_Toc346632851"/>
      <w:bookmarkStart w:id="695" w:name="_Toc346632963"/>
      <w:bookmarkStart w:id="696" w:name="_Toc346633075"/>
      <w:bookmarkStart w:id="697" w:name="_Toc346633187"/>
      <w:bookmarkStart w:id="698" w:name="_Toc347401620"/>
      <w:bookmarkStart w:id="699" w:name="_Toc347401732"/>
      <w:bookmarkStart w:id="700" w:name="_Toc347401844"/>
      <w:bookmarkStart w:id="701" w:name="_Toc347401956"/>
      <w:bookmarkStart w:id="702" w:name="_Toc347402068"/>
      <w:bookmarkStart w:id="703" w:name="_Toc349055248"/>
      <w:bookmarkStart w:id="704" w:name="_Toc349055361"/>
      <w:bookmarkStart w:id="705" w:name="_Toc349055474"/>
      <w:bookmarkStart w:id="706" w:name="_Toc349055587"/>
      <w:bookmarkStart w:id="707" w:name="_Toc349055700"/>
      <w:bookmarkStart w:id="708" w:name="_Toc349116917"/>
      <w:bookmarkStart w:id="709" w:name="_Toc350330017"/>
      <w:bookmarkStart w:id="710" w:name="_Toc350343995"/>
      <w:bookmarkStart w:id="711" w:name="_Toc354404036"/>
      <w:bookmarkStart w:id="712" w:name="_Toc354492702"/>
      <w:bookmarkStart w:id="713" w:name="_Toc354492843"/>
      <w:bookmarkStart w:id="714" w:name="_Toc354492949"/>
      <w:bookmarkStart w:id="715" w:name="_Toc354493079"/>
      <w:bookmarkStart w:id="716" w:name="_Toc354493240"/>
      <w:bookmarkStart w:id="717" w:name="_Toc354493709"/>
      <w:bookmarkStart w:id="718" w:name="_Toc354494244"/>
      <w:bookmarkStart w:id="719" w:name="_Toc354494462"/>
      <w:bookmarkStart w:id="720" w:name="_Toc354494673"/>
      <w:bookmarkStart w:id="721" w:name="_Toc354494967"/>
      <w:bookmarkStart w:id="722" w:name="_Toc354497849"/>
      <w:bookmarkStart w:id="723" w:name="_Toc354561262"/>
      <w:bookmarkStart w:id="724" w:name="_Toc355249602"/>
      <w:bookmarkStart w:id="725" w:name="_Toc357586071"/>
      <w:r>
        <w:lastRenderedPageBreak/>
        <w:t>Future-Climate Hazard Modelling</w:t>
      </w:r>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p>
    <w:p w:rsidR="008237BB" w:rsidRDefault="008237BB" w:rsidP="008237BB">
      <w:pPr>
        <w:pStyle w:val="BodyText"/>
      </w:pPr>
      <w:r>
        <w:t xml:space="preserve">Modelling the hazards within the future climate was completed through running General Circulation Models (GCMs) for current and future climate and scaling the current-climate hazard (Tropical </w:t>
      </w:r>
      <w:r w:rsidR="005D5011">
        <w:t>Cyclone</w:t>
      </w:r>
      <w:r>
        <w:t xml:space="preserve"> (TC) wind and bushfire) or building on results from other studies (storm tide, coastal erosion and sea</w:t>
      </w:r>
      <w:r w:rsidR="000C58B3">
        <w:noBreakHyphen/>
      </w:r>
      <w:r>
        <w:t>level rise).</w:t>
      </w:r>
    </w:p>
    <w:p w:rsidR="008237BB" w:rsidRDefault="008237BB" w:rsidP="008237BB">
      <w:pPr>
        <w:pStyle w:val="BodyText"/>
      </w:pPr>
      <w:r>
        <w:t xml:space="preserve">Future-climate projections, such as those in Box 1, are typically based on the outputs from GCMs. These climate models represent the physics in the atmosphere, and/or oceans, and can be ‘forced’ by Greenhouse Gas (GHG) emissions scenarios to project the future global climate. The results in Box 1 are based on the low (B1) and high (A1FI) emissions scenarios specified by the Intergovernmental Panel for Climate Change (IPCC) in the Special Report on Emissions Scenarios (SRES, </w:t>
      </w:r>
      <w:r w:rsidRPr="005B66CA">
        <w:t>Nakicenovic and Swart, 2000)</w:t>
      </w:r>
      <w:r>
        <w:t>.</w:t>
      </w:r>
    </w:p>
    <w:p w:rsidR="008237BB" w:rsidRDefault="008237BB" w:rsidP="008237BB">
      <w:pPr>
        <w:pStyle w:val="BodyText"/>
      </w:pPr>
      <w:r>
        <w:t xml:space="preserve">The future-climate scenario in this study was based on the SRES A2 GHG emissions scenario. </w:t>
      </w:r>
      <w:r w:rsidR="005D5011">
        <w:fldChar w:fldCharType="begin"/>
      </w:r>
      <w:r w:rsidR="005D5011">
        <w:instrText xml:space="preserve"> REF _Ref354476265 \h </w:instrText>
      </w:r>
      <w:r w:rsidR="005D5011">
        <w:fldChar w:fldCharType="separate"/>
      </w:r>
      <w:r w:rsidR="00413858">
        <w:t>Figure </w:t>
      </w:r>
      <w:r w:rsidR="00413858">
        <w:rPr>
          <w:noProof/>
        </w:rPr>
        <w:t>2</w:t>
      </w:r>
      <w:r w:rsidR="00413858">
        <w:t>.</w:t>
      </w:r>
      <w:r w:rsidR="00413858">
        <w:rPr>
          <w:noProof/>
        </w:rPr>
        <w:t>2</w:t>
      </w:r>
      <w:r w:rsidR="005D5011">
        <w:fldChar w:fldCharType="end"/>
      </w:r>
      <w:r>
        <w:t xml:space="preserve"> presents the global average surface air temperatures resulting from the SRES emissions scenarios. The A2 GHG scenario predicts a mid- to high range response for the projected climate response to the emissions, resulting by 2100 in an average global warming of 3.4ºC (with a range of 2.0-5.4ºC) based on outputs from a range of GCMs (IPCC, 2007a). The A2 scenario storyline designates the global focus to remain on economic development rather than environmental sustainability. Current ob</w:t>
      </w:r>
      <w:r w:rsidRPr="000B31BE">
        <w:t>served emissions are</w:t>
      </w:r>
      <w:r>
        <w:t xml:space="preserve"> </w:t>
      </w:r>
      <w:r w:rsidRPr="000B31BE">
        <w:t xml:space="preserve">tracking the A2 </w:t>
      </w:r>
      <w:r>
        <w:t>e</w:t>
      </w:r>
      <w:r w:rsidRPr="000B31BE">
        <w:t xml:space="preserve">missions </w:t>
      </w:r>
      <w:r>
        <w:t>s</w:t>
      </w:r>
      <w:r w:rsidRPr="000B31BE">
        <w:t>cenario projection (Peters</w:t>
      </w:r>
      <w:r w:rsidR="00393A8A">
        <w:t> </w:t>
      </w:r>
      <w:r w:rsidRPr="007B6C0C">
        <w:rPr>
          <w:rStyle w:val="Bodytextitalic"/>
        </w:rPr>
        <w:t>et al.,</w:t>
      </w:r>
      <w:r w:rsidRPr="000B31BE">
        <w:t xml:space="preserve"> 2012).</w:t>
      </w:r>
    </w:p>
    <w:p w:rsidR="008237BB" w:rsidRDefault="008237BB" w:rsidP="008237BB">
      <w:pPr>
        <w:pStyle w:val="BodyText"/>
      </w:pPr>
      <w:r>
        <w:t>Global or even regional climate models are fundamental to climate science; however they tend not to effectively capture the extreme climate events that cause natural disasters. This is partly because extreme climate events typically operate on small spatial scales, often below the resolution of the models (</w:t>
      </w:r>
      <w:r w:rsidRPr="009B14C7">
        <w:t>ACE CRC</w:t>
      </w:r>
      <w:r>
        <w:t>,</w:t>
      </w:r>
      <w:r w:rsidRPr="009B14C7">
        <w:t xml:space="preserve"> 2010).</w:t>
      </w:r>
      <w:r>
        <w:t xml:space="preserve"> Moreover, extreme climate events are per definition rare, and creating sufficiently long GCM or Regional Climate Model (RCM) simulations to understand their behaviour is computationally still prohibitively expensive. Instead, natural disasters are often studied using a variety of modelling approaches that integrate the physics that drives the event with statistical techniques to parameterise small-scale processes. GCMs were run with current-climate GHG forcing and then compared with the results from the GCMs being forced by the A2 GHG emissions scenario (Nakicenovic and Swart, 2000). For specific hazard modelling characteristics the ratio of current to future-climate GCM results could then be applied to the current-cli</w:t>
      </w:r>
      <w:r w:rsidR="00393A8A">
        <w:t>mate hazard to model the future</w:t>
      </w:r>
      <w:r w:rsidR="00393A8A">
        <w:noBreakHyphen/>
      </w:r>
      <w:r>
        <w:t>climate hazard.</w:t>
      </w:r>
    </w:p>
    <w:p w:rsidR="002F691C" w:rsidRDefault="008237BB" w:rsidP="008237BB">
      <w:pPr>
        <w:pStyle w:val="BodyText"/>
      </w:pPr>
      <w:r>
        <w:t>Geoscience Australia has developed a capability for modelling natural disasters for Australia and the Asia-Pacific region; ranging from earthquake, tsunami, storm surge and flood to extreme wind and, currently, bushfire. This capability has successfully been applied to model a range of hazards under future-climate conditions, e.g</w:t>
      </w:r>
      <w:r w:rsidRPr="005052AB">
        <w:t xml:space="preserve">. Arthur </w:t>
      </w:r>
      <w:r w:rsidRPr="007B6C0C">
        <w:rPr>
          <w:rStyle w:val="Bodytextitalic"/>
        </w:rPr>
        <w:t>et al.</w:t>
      </w:r>
      <w:r w:rsidRPr="005052AB">
        <w:t xml:space="preserve">, 2011; Cechet </w:t>
      </w:r>
      <w:r w:rsidRPr="007B6C0C">
        <w:rPr>
          <w:rStyle w:val="Bodytextitalic"/>
        </w:rPr>
        <w:t>et al.,</w:t>
      </w:r>
      <w:r w:rsidRPr="005052AB">
        <w:t xml:space="preserve"> 201</w:t>
      </w:r>
      <w:r>
        <w:t>1</w:t>
      </w:r>
      <w:r w:rsidRPr="005052AB">
        <w:t>; Cechet</w:t>
      </w:r>
      <w:r>
        <w:t xml:space="preserve"> </w:t>
      </w:r>
      <w:r w:rsidRPr="007B6C0C">
        <w:rPr>
          <w:rStyle w:val="Bodytextitalic"/>
        </w:rPr>
        <w:t>et al.,</w:t>
      </w:r>
      <w:r>
        <w:t xml:space="preserve"> 2012; Hazelwood</w:t>
      </w:r>
      <w:r w:rsidR="00393A8A">
        <w:t> </w:t>
      </w:r>
      <w:r w:rsidRPr="007B6C0C">
        <w:rPr>
          <w:rStyle w:val="Bodytextitalic"/>
        </w:rPr>
        <w:t>et al.,</w:t>
      </w:r>
      <w:r>
        <w:t xml:space="preserve"> 2012.</w:t>
      </w:r>
    </w:p>
    <w:p w:rsidR="008237BB" w:rsidRDefault="008237BB" w:rsidP="008237BB">
      <w:pPr>
        <w:pStyle w:val="BodyText"/>
      </w:pPr>
      <w:r>
        <w:t>This study draws on available scientific work undertaken by other agencies studying current and future climate, including a national storm tide study. This study builds on those outputs by applying hazard modelling techniques to develop an overview of multiple climate hazards in the Rockhampton region under current and future-climate conditions.</w:t>
      </w:r>
    </w:p>
    <w:p w:rsidR="005D5011" w:rsidRDefault="008237BB" w:rsidP="00481556">
      <w:pPr>
        <w:pStyle w:val="Figuresandimagesleft"/>
      </w:pPr>
      <w:r>
        <w:rPr>
          <w:noProof/>
        </w:rPr>
        <w:lastRenderedPageBreak/>
        <w:drawing>
          <wp:inline distT="0" distB="0" distL="0" distR="0" wp14:anchorId="495706AF" wp14:editId="2AA8361A">
            <wp:extent cx="5343525" cy="3790950"/>
            <wp:effectExtent l="19050" t="19050" r="28575" b="19050"/>
            <wp:docPr id="93" name="Picture 93" descr="This image presents the historic greenhouse gas emissions to the year 2000 and then from the year 2000 future greenhouse gas emissions based on scenarios developed by the Intergovermental Panel on Climate Change Special Report on Emissions Scenarios.&#10;&#10;The Rockhampton study future climate hazard analysis for tropical cyclone and bushfire hazard is founded on the A2 scenario which is a mid to high level emissions scenario.&#10;&#10;This image is referenced to the IPCC report:&#10;Contributions of Working Group 1 to the IPCC Fourth Assessment Report; Chapter 10, Global emissions scenarios.  Available at: &#10;http://www.ipcc.ch/pdf/assessment-report/ar4/wg1/ar4-wg1-chapter10.pd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is image presents the historic greenhouse gas emissions to the year 2000 and then from the year 2000 future greenhouse gas emissions based on scenarios developed by the Intergovermental Panel on Climate Change Special Report on Emissions Scenarios.&#10;&#10;The Rockhampton study future climate hazard analysis for tropical cyclone and bushfire hazard is founded on the A2 scenario which is a mid to high level emissions scenario.&#10;&#10;This image is referenced to the IPCC report:&#10;Contributions of Working Group 1 to the IPCC Fourth Assessment Report; Chapter 10, Global emissions scenarios.  Available at: &#10;http://www.ipcc.ch/pdf/assessment-report/ar4/wg1/ar4-wg1-chapter10.pdf&#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43525" cy="3790950"/>
                    </a:xfrm>
                    <a:prstGeom prst="rect">
                      <a:avLst/>
                    </a:prstGeom>
                    <a:noFill/>
                    <a:ln w="6350" cmpd="sng">
                      <a:solidFill>
                        <a:srgbClr val="000000"/>
                      </a:solidFill>
                      <a:miter lim="800000"/>
                      <a:headEnd/>
                      <a:tailEnd/>
                    </a:ln>
                    <a:effectLst/>
                  </pic:spPr>
                </pic:pic>
              </a:graphicData>
            </a:graphic>
          </wp:inline>
        </w:drawing>
      </w:r>
    </w:p>
    <w:p w:rsidR="005D5011" w:rsidRPr="000C4740" w:rsidRDefault="005D5011" w:rsidP="005D5011">
      <w:pPr>
        <w:pStyle w:val="Caption"/>
        <w:rPr>
          <w:highlight w:val="yellow"/>
        </w:rPr>
      </w:pPr>
      <w:bookmarkStart w:id="726" w:name="_Ref354476265"/>
      <w:bookmarkStart w:id="727" w:name="_Toc354476899"/>
      <w:bookmarkStart w:id="728" w:name="_Toc354477147"/>
      <w:bookmarkStart w:id="729" w:name="_Ref354477157"/>
      <w:bookmarkStart w:id="730" w:name="_Toc354493426"/>
      <w:bookmarkStart w:id="731" w:name="_Toc354493651"/>
      <w:bookmarkStart w:id="732" w:name="_Toc354494555"/>
      <w:bookmarkStart w:id="733" w:name="_Toc356489937"/>
      <w:r>
        <w:t>Figure</w:t>
      </w:r>
      <w:r w:rsidR="00CD3EE2">
        <w:t> </w:t>
      </w:r>
      <w:r w:rsidR="007F11CF">
        <w:fldChar w:fldCharType="begin"/>
      </w:r>
      <w:r w:rsidR="007F11CF">
        <w:instrText xml:space="preserve"> STYLEREF 1 \s </w:instrText>
      </w:r>
      <w:r w:rsidR="007F11CF">
        <w:fldChar w:fldCharType="separate"/>
      </w:r>
      <w:r w:rsidR="00413858">
        <w:rPr>
          <w:noProof/>
        </w:rPr>
        <w:t>2</w:t>
      </w:r>
      <w:r w:rsidR="007F11CF">
        <w:rPr>
          <w:noProof/>
        </w:rPr>
        <w:fldChar w:fldCharType="end"/>
      </w:r>
      <w:r w:rsidR="00356FFD">
        <w:t>.</w:t>
      </w:r>
      <w:r w:rsidR="007F11CF">
        <w:fldChar w:fldCharType="begin"/>
      </w:r>
      <w:r w:rsidR="007F11CF">
        <w:instrText xml:space="preserve"> SEQ Figure \* A</w:instrText>
      </w:r>
      <w:r w:rsidR="007F11CF">
        <w:instrText xml:space="preserve">RABIC \s 1 </w:instrText>
      </w:r>
      <w:r w:rsidR="007F11CF">
        <w:fldChar w:fldCharType="separate"/>
      </w:r>
      <w:r w:rsidR="00413858">
        <w:rPr>
          <w:noProof/>
        </w:rPr>
        <w:t>2</w:t>
      </w:r>
      <w:r w:rsidR="007F11CF">
        <w:rPr>
          <w:noProof/>
        </w:rPr>
        <w:fldChar w:fldCharType="end"/>
      </w:r>
      <w:bookmarkEnd w:id="726"/>
      <w:r>
        <w:t>. Multi-model averages and assessed ranges for surface warming (IPCC, 2007a).</w:t>
      </w:r>
      <w:bookmarkEnd w:id="727"/>
      <w:bookmarkEnd w:id="728"/>
      <w:bookmarkEnd w:id="729"/>
      <w:bookmarkEnd w:id="730"/>
      <w:bookmarkEnd w:id="731"/>
      <w:bookmarkEnd w:id="732"/>
      <w:bookmarkEnd w:id="733"/>
    </w:p>
    <w:p w:rsidR="008237BB" w:rsidRDefault="008237BB" w:rsidP="008237BB">
      <w:pPr>
        <w:pStyle w:val="BodyText"/>
      </w:pPr>
      <w:r>
        <w:t xml:space="preserve">Within this report, the hazard probability is specified in terms of the Average Recurrence Interval (ARI). The ARI is a measure of how often a certain severity of a hazard is experienced. For example, a 500 year ARI wind speed of 60 m/s indicates that winds of that severity, </w:t>
      </w:r>
      <w:r w:rsidRPr="008F596E">
        <w:t>or higher</w:t>
      </w:r>
      <w:r w:rsidR="00393A8A">
        <w:t>,</w:t>
      </w:r>
      <w:r>
        <w:t xml:space="preserve"> occur on average once every 500 years at that location. Note that the ARI is based on a probability calculated over a long time period; it is entirely possible that a 500 year ARI wind speed occurs twice in subsequent years, or even in a single year. Therefore, it is important that planning processes consider high ARI hazard as well as the frequent hazard levels with a low or medium ARI. The ARI is equivalent to other measures used to express probability of extreme events and natural disasters, such as the return period (RP).</w:t>
      </w:r>
    </w:p>
    <w:p w:rsidR="008237BB" w:rsidRDefault="008237BB" w:rsidP="000538C6">
      <w:pPr>
        <w:pStyle w:val="Heading2"/>
      </w:pPr>
      <w:bookmarkStart w:id="734" w:name="_Toc346261443"/>
      <w:bookmarkStart w:id="735" w:name="_Toc346632740"/>
      <w:bookmarkStart w:id="736" w:name="_Toc346632852"/>
      <w:bookmarkStart w:id="737" w:name="_Toc346632964"/>
      <w:bookmarkStart w:id="738" w:name="_Toc346633076"/>
      <w:bookmarkStart w:id="739" w:name="_Toc346633188"/>
      <w:bookmarkStart w:id="740" w:name="_Toc347401621"/>
      <w:bookmarkStart w:id="741" w:name="_Toc347401733"/>
      <w:bookmarkStart w:id="742" w:name="_Toc347401845"/>
      <w:bookmarkStart w:id="743" w:name="_Toc347401957"/>
      <w:bookmarkStart w:id="744" w:name="_Toc347402069"/>
      <w:bookmarkStart w:id="745" w:name="_Toc349055249"/>
      <w:bookmarkStart w:id="746" w:name="_Toc349055362"/>
      <w:bookmarkStart w:id="747" w:name="_Toc349055475"/>
      <w:bookmarkStart w:id="748" w:name="_Toc349055588"/>
      <w:bookmarkStart w:id="749" w:name="_Toc349055701"/>
      <w:bookmarkStart w:id="750" w:name="_Toc349116918"/>
      <w:bookmarkStart w:id="751" w:name="_Toc350330018"/>
      <w:bookmarkStart w:id="752" w:name="_Toc350343996"/>
      <w:bookmarkStart w:id="753" w:name="_Toc354404037"/>
      <w:bookmarkStart w:id="754" w:name="_Toc354492703"/>
      <w:bookmarkStart w:id="755" w:name="_Toc354492844"/>
      <w:bookmarkStart w:id="756" w:name="_Toc354492950"/>
      <w:bookmarkStart w:id="757" w:name="_Toc354493080"/>
      <w:bookmarkStart w:id="758" w:name="_Toc354493241"/>
      <w:bookmarkStart w:id="759" w:name="_Toc354493710"/>
      <w:bookmarkStart w:id="760" w:name="_Toc354494245"/>
      <w:bookmarkStart w:id="761" w:name="_Toc354494463"/>
      <w:bookmarkStart w:id="762" w:name="_Toc354494674"/>
      <w:bookmarkStart w:id="763" w:name="_Toc354494968"/>
      <w:bookmarkStart w:id="764" w:name="_Toc354497850"/>
      <w:bookmarkStart w:id="765" w:name="_Toc354561263"/>
      <w:bookmarkStart w:id="766" w:name="_Toc355249603"/>
      <w:bookmarkStart w:id="767" w:name="_Toc357586072"/>
      <w:r>
        <w:t>Report Structure</w:t>
      </w:r>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p>
    <w:p w:rsidR="008237BB" w:rsidRDefault="008237BB" w:rsidP="008237BB">
      <w:pPr>
        <w:pStyle w:val="BodyText"/>
      </w:pPr>
      <w:r>
        <w:t>This report consists of a summary written specifically for a non-technical audience within the Rockhampton Regional Council. The summary report comprises a synopsis of the methods and results of each of the hazards covered under current and future climate.</w:t>
      </w:r>
      <w:r w:rsidRPr="00535950">
        <w:t xml:space="preserve"> </w:t>
      </w:r>
      <w:r>
        <w:t>The summary, which presents the 50 and 100 year ARI hazard, is supplemented by the technical appendices which provide additional technical detail, including discussions of the methods and results. The full results, including other ARI hazard, which should be considered as hazard may not scale linearly with probability, is given in the appendices, and a digital version of the results (hazard maps) is provided with this report.</w:t>
      </w:r>
    </w:p>
    <w:p w:rsidR="002F691C" w:rsidRDefault="008237BB" w:rsidP="009340CE">
      <w:pPr>
        <w:pStyle w:val="Heading1"/>
      </w:pPr>
      <w:bookmarkStart w:id="768" w:name="_Toc346261444"/>
      <w:bookmarkStart w:id="769" w:name="_Toc346632741"/>
      <w:bookmarkStart w:id="770" w:name="_Toc346632853"/>
      <w:bookmarkStart w:id="771" w:name="_Toc346632965"/>
      <w:bookmarkStart w:id="772" w:name="_Toc346633077"/>
      <w:bookmarkStart w:id="773" w:name="_Toc346633189"/>
      <w:bookmarkStart w:id="774" w:name="_Toc347401622"/>
      <w:bookmarkStart w:id="775" w:name="_Toc347401734"/>
      <w:bookmarkStart w:id="776" w:name="_Toc347401846"/>
      <w:bookmarkStart w:id="777" w:name="_Toc347401958"/>
      <w:bookmarkStart w:id="778" w:name="_Toc347402070"/>
      <w:bookmarkStart w:id="779" w:name="_Toc349055250"/>
      <w:bookmarkStart w:id="780" w:name="_Toc349055363"/>
      <w:bookmarkStart w:id="781" w:name="_Toc349055476"/>
      <w:bookmarkStart w:id="782" w:name="_Toc349055589"/>
      <w:bookmarkStart w:id="783" w:name="_Toc349055702"/>
      <w:bookmarkStart w:id="784" w:name="_Toc349116919"/>
      <w:bookmarkStart w:id="785" w:name="_Toc350330019"/>
      <w:bookmarkStart w:id="786" w:name="_Toc350343997"/>
      <w:bookmarkStart w:id="787" w:name="_Toc354404038"/>
      <w:bookmarkStart w:id="788" w:name="_Toc354492704"/>
      <w:bookmarkStart w:id="789" w:name="_Toc354492845"/>
      <w:bookmarkStart w:id="790" w:name="_Toc354492951"/>
      <w:bookmarkStart w:id="791" w:name="_Toc354493081"/>
      <w:bookmarkStart w:id="792" w:name="_Toc354493242"/>
      <w:bookmarkStart w:id="793" w:name="_Toc354493711"/>
      <w:bookmarkStart w:id="794" w:name="_Toc354494246"/>
      <w:bookmarkStart w:id="795" w:name="_Toc354494464"/>
      <w:bookmarkStart w:id="796" w:name="_Toc354494675"/>
      <w:bookmarkStart w:id="797" w:name="_Toc354494969"/>
      <w:bookmarkStart w:id="798" w:name="_Toc354497851"/>
      <w:bookmarkStart w:id="799" w:name="_Toc354561264"/>
      <w:bookmarkStart w:id="800" w:name="_Toc355249604"/>
      <w:bookmarkStart w:id="801" w:name="_Toc357586073"/>
      <w:r w:rsidRPr="009340CE">
        <w:lastRenderedPageBreak/>
        <w:t>Tropical Cyclone Wind</w:t>
      </w:r>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p>
    <w:p w:rsidR="008237BB" w:rsidRDefault="008237BB" w:rsidP="008237BB">
      <w:pPr>
        <w:pStyle w:val="BodyText"/>
      </w:pPr>
      <w:bookmarkStart w:id="802" w:name="_Toc341445212"/>
      <w:r w:rsidRPr="00B26069">
        <w:t xml:space="preserve">Rockhampton is in Australia’s high-risk zone for tropical cyclones. This is reflected by </w:t>
      </w:r>
      <w:r>
        <w:t xml:space="preserve">its location in the cyclonic region in </w:t>
      </w:r>
      <w:r w:rsidRPr="00B26069">
        <w:t xml:space="preserve">the </w:t>
      </w:r>
      <w:r>
        <w:t xml:space="preserve">Australian </w:t>
      </w:r>
      <w:r w:rsidRPr="00B26069">
        <w:t>building code for wind (AS/NZS 1170.2). The last cyclone</w:t>
      </w:r>
      <w:r>
        <w:t>,</w:t>
      </w:r>
      <w:r w:rsidRPr="00B26069">
        <w:t xml:space="preserve"> </w:t>
      </w:r>
      <w:r>
        <w:t>causing major wind damage,</w:t>
      </w:r>
      <w:r w:rsidRPr="00B26069">
        <w:t xml:space="preserve"> impact</w:t>
      </w:r>
      <w:r>
        <w:t>ed</w:t>
      </w:r>
      <w:r w:rsidRPr="00B26069">
        <w:t xml:space="preserve"> Rockhampton in 1949. </w:t>
      </w:r>
      <w:r>
        <w:t>The typical tropical cyclone season extends from 1 November to 30 April.</w:t>
      </w:r>
    </w:p>
    <w:p w:rsidR="008237BB" w:rsidRDefault="008237BB" w:rsidP="000538C6">
      <w:pPr>
        <w:pStyle w:val="Heading2"/>
      </w:pPr>
      <w:bookmarkStart w:id="803" w:name="_Toc346261445"/>
      <w:bookmarkStart w:id="804" w:name="_Toc346632742"/>
      <w:bookmarkStart w:id="805" w:name="_Toc346632854"/>
      <w:bookmarkStart w:id="806" w:name="_Toc346632966"/>
      <w:bookmarkStart w:id="807" w:name="_Toc346633078"/>
      <w:bookmarkStart w:id="808" w:name="_Toc346633190"/>
      <w:bookmarkStart w:id="809" w:name="_Toc347401623"/>
      <w:bookmarkStart w:id="810" w:name="_Toc347401735"/>
      <w:bookmarkStart w:id="811" w:name="_Toc347401847"/>
      <w:bookmarkStart w:id="812" w:name="_Toc347401959"/>
      <w:bookmarkStart w:id="813" w:name="_Toc347402071"/>
      <w:bookmarkStart w:id="814" w:name="_Toc349055251"/>
      <w:bookmarkStart w:id="815" w:name="_Toc349055364"/>
      <w:bookmarkStart w:id="816" w:name="_Toc349055477"/>
      <w:bookmarkStart w:id="817" w:name="_Toc349055590"/>
      <w:bookmarkStart w:id="818" w:name="_Toc349055703"/>
      <w:bookmarkStart w:id="819" w:name="_Toc349116920"/>
      <w:bookmarkStart w:id="820" w:name="_Toc350330020"/>
      <w:bookmarkStart w:id="821" w:name="_Toc350343998"/>
      <w:bookmarkStart w:id="822" w:name="_Toc354404039"/>
      <w:bookmarkStart w:id="823" w:name="_Toc354492705"/>
      <w:bookmarkStart w:id="824" w:name="_Toc354492846"/>
      <w:bookmarkStart w:id="825" w:name="_Toc354492952"/>
      <w:bookmarkStart w:id="826" w:name="_Toc354493082"/>
      <w:bookmarkStart w:id="827" w:name="_Toc354493243"/>
      <w:bookmarkStart w:id="828" w:name="_Toc354493712"/>
      <w:bookmarkStart w:id="829" w:name="_Toc354494247"/>
      <w:bookmarkStart w:id="830" w:name="_Toc354494465"/>
      <w:bookmarkStart w:id="831" w:name="_Toc354494676"/>
      <w:bookmarkStart w:id="832" w:name="_Toc354494970"/>
      <w:bookmarkStart w:id="833" w:name="_Toc354497852"/>
      <w:bookmarkStart w:id="834" w:name="_Toc354561265"/>
      <w:bookmarkStart w:id="835" w:name="_Toc355249605"/>
      <w:bookmarkStart w:id="836" w:name="_Toc357586074"/>
      <w:r>
        <w:t>Method</w:t>
      </w:r>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p>
    <w:p w:rsidR="008237BB" w:rsidRDefault="008237BB" w:rsidP="008237BB">
      <w:pPr>
        <w:pStyle w:val="BodyText"/>
      </w:pPr>
      <w:r>
        <w:t>Tropical cyclone hazard in this study was modelled using the TCRM, a statistical-parametric computational tool developed by Geoscience Australia for estimating the wind hazard from tropical cyclones (</w:t>
      </w:r>
      <w:r w:rsidRPr="00EB2F80">
        <w:t>Arthur, In Prep</w:t>
      </w:r>
      <w:r>
        <w:t>). The TCRM does not model storm surge associated with tropical cyclones. The TCRM was used to generate a synthetic catalogue equivalent to 5000 years of potential events, based on the characteristics of historically observed cyclones across the region and Australia. For each event in the synthetic catalogue, the swath of damaging winds was calculated. This incorporated localised effects of topography, land cover (e.g. forests, croplands, urban areas and water bodies) and the shielding effects provided by closely</w:t>
      </w:r>
      <w:r>
        <w:noBreakHyphen/>
        <w:t>spaced buildings. Based on this, the ARI wind speeds were calculated for the study region.</w:t>
      </w:r>
    </w:p>
    <w:p w:rsidR="008237BB" w:rsidRDefault="008237BB" w:rsidP="008237BB">
      <w:pPr>
        <w:pStyle w:val="BodyText"/>
      </w:pPr>
      <w:r>
        <w:t>To calculate current-climate TC wind hazard</w:t>
      </w:r>
      <w:r w:rsidRPr="005B66CA">
        <w:t xml:space="preserve">, TCRM was trained on the catalogue of observed events (1950-2012, Kuleshov </w:t>
      </w:r>
      <w:r w:rsidRPr="007B6C0C">
        <w:rPr>
          <w:rStyle w:val="Bodytextitalic"/>
        </w:rPr>
        <w:t>et al.,</w:t>
      </w:r>
      <w:r w:rsidRPr="005B66CA">
        <w:t xml:space="preserve"> 2008). To determine the </w:t>
      </w:r>
      <w:r>
        <w:t>cyclone hazard</w:t>
      </w:r>
      <w:r w:rsidRPr="005B66CA">
        <w:t xml:space="preserve"> under </w:t>
      </w:r>
      <w:r>
        <w:t>the</w:t>
      </w:r>
      <w:r w:rsidRPr="005B66CA">
        <w:t xml:space="preserve"> </w:t>
      </w:r>
      <w:r>
        <w:t>future-climate</w:t>
      </w:r>
      <w:r w:rsidRPr="005B66CA">
        <w:t xml:space="preserve"> scenario, the synthetic event catalogue was generated based on the tracks detected in the GCM output</w:t>
      </w:r>
      <w:r>
        <w:t xml:space="preserve">, </w:t>
      </w:r>
      <w:r w:rsidRPr="005B66CA">
        <w:t>assuming the SRES A2</w:t>
      </w:r>
      <w:r>
        <w:t xml:space="preserve"> GHG</w:t>
      </w:r>
      <w:r w:rsidRPr="005B66CA">
        <w:t xml:space="preserve"> emission scenario (Nakicenovic and Swart, 2000)</w:t>
      </w:r>
      <w:r>
        <w:t>,</w:t>
      </w:r>
      <w:r w:rsidRPr="005B66CA">
        <w:t xml:space="preserve"> for 2050 and 2100</w:t>
      </w:r>
      <w:bookmarkStart w:id="837" w:name="OLE_LINK1"/>
      <w:bookmarkStart w:id="838" w:name="OLE_LINK2"/>
      <w:r w:rsidRPr="005B66CA">
        <w:t>.</w:t>
      </w:r>
      <w:bookmarkEnd w:id="837"/>
      <w:bookmarkEnd w:id="838"/>
    </w:p>
    <w:p w:rsidR="008237BB" w:rsidRDefault="008237BB" w:rsidP="000538C6">
      <w:pPr>
        <w:pStyle w:val="Heading2"/>
      </w:pPr>
      <w:bookmarkStart w:id="839" w:name="_Toc341445213"/>
      <w:bookmarkStart w:id="840" w:name="_Toc346261446"/>
      <w:bookmarkStart w:id="841" w:name="_Toc346632743"/>
      <w:bookmarkStart w:id="842" w:name="_Toc346632855"/>
      <w:bookmarkStart w:id="843" w:name="_Toc346632967"/>
      <w:bookmarkStart w:id="844" w:name="_Toc346633079"/>
      <w:bookmarkStart w:id="845" w:name="_Toc346633191"/>
      <w:bookmarkStart w:id="846" w:name="_Toc347401624"/>
      <w:bookmarkStart w:id="847" w:name="_Toc347401736"/>
      <w:bookmarkStart w:id="848" w:name="_Toc347401848"/>
      <w:bookmarkStart w:id="849" w:name="_Toc347401960"/>
      <w:bookmarkStart w:id="850" w:name="_Toc347402072"/>
      <w:bookmarkStart w:id="851" w:name="_Toc349055252"/>
      <w:bookmarkStart w:id="852" w:name="_Toc349055365"/>
      <w:bookmarkStart w:id="853" w:name="_Toc349055478"/>
      <w:bookmarkStart w:id="854" w:name="_Toc349055591"/>
      <w:bookmarkStart w:id="855" w:name="_Toc349055704"/>
      <w:bookmarkStart w:id="856" w:name="_Toc349116921"/>
      <w:bookmarkStart w:id="857" w:name="_Toc350330021"/>
      <w:bookmarkStart w:id="858" w:name="_Toc350343999"/>
      <w:bookmarkStart w:id="859" w:name="_Toc354404040"/>
      <w:bookmarkStart w:id="860" w:name="_Toc354492706"/>
      <w:bookmarkStart w:id="861" w:name="_Toc354492847"/>
      <w:bookmarkStart w:id="862" w:name="_Toc354492953"/>
      <w:bookmarkStart w:id="863" w:name="_Toc354493083"/>
      <w:bookmarkStart w:id="864" w:name="_Toc354493244"/>
      <w:bookmarkStart w:id="865" w:name="_Toc354493713"/>
      <w:bookmarkStart w:id="866" w:name="_Toc354494248"/>
      <w:bookmarkStart w:id="867" w:name="_Toc354494466"/>
      <w:bookmarkStart w:id="868" w:name="_Toc354494677"/>
      <w:bookmarkStart w:id="869" w:name="_Toc354494971"/>
      <w:bookmarkStart w:id="870" w:name="_Toc354497853"/>
      <w:bookmarkStart w:id="871" w:name="_Toc354561266"/>
      <w:bookmarkStart w:id="872" w:name="_Toc355249606"/>
      <w:bookmarkStart w:id="873" w:name="_Toc357586075"/>
      <w:r>
        <w:t>Results</w:t>
      </w:r>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p>
    <w:p w:rsidR="002F691C" w:rsidRDefault="008237BB" w:rsidP="008237BB">
      <w:pPr>
        <w:pStyle w:val="BodyText"/>
      </w:pPr>
      <w:r>
        <w:t xml:space="preserve">Complete results are presented in </w:t>
      </w:r>
      <w:r w:rsidR="009E1AAE">
        <w:fldChar w:fldCharType="begin"/>
      </w:r>
      <w:r w:rsidR="009E1AAE">
        <w:instrText xml:space="preserve"> REF _Ref340738725 \r \h </w:instrText>
      </w:r>
      <w:r w:rsidR="009E1AAE">
        <w:fldChar w:fldCharType="separate"/>
      </w:r>
      <w:r w:rsidR="00413858">
        <w:t>Appendix A</w:t>
      </w:r>
      <w:r w:rsidR="009E1AAE">
        <w:fldChar w:fldCharType="end"/>
      </w:r>
      <w:r>
        <w:t>. Here the 50 year ARI results are presented for current climate and for 2090.</w:t>
      </w:r>
    </w:p>
    <w:p w:rsidR="005D5011" w:rsidRDefault="008237BB" w:rsidP="00481556">
      <w:pPr>
        <w:pStyle w:val="Figuresandimagesleft"/>
      </w:pPr>
      <w:r>
        <w:rPr>
          <w:noProof/>
        </w:rPr>
        <w:lastRenderedPageBreak/>
        <w:drawing>
          <wp:inline distT="0" distB="0" distL="0" distR="0" wp14:anchorId="12305BB7" wp14:editId="643B2DE8">
            <wp:extent cx="5214964" cy="3492000"/>
            <wp:effectExtent l="0" t="0" r="5080" b="0"/>
            <wp:docPr id="92" name="Picture 92" descr="This figure shows the current climate 50 year average recurrence interval wind hazard for the study region. There is a clear correlation between the topography and the wind hazard as the flat areas have a lesser wind hazard than the areas of greater slope in the ranges within the stud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is figure shows the current climate 50 year average recurrence interval wind hazard for the study region. There is a clear correlation between the topography and the wind hazard as the flat areas have a lesser wind hazard than the areas of greater slope in the ranges within the study regio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14964" cy="3492000"/>
                    </a:xfrm>
                    <a:prstGeom prst="rect">
                      <a:avLst/>
                    </a:prstGeom>
                    <a:noFill/>
                    <a:ln>
                      <a:noFill/>
                    </a:ln>
                  </pic:spPr>
                </pic:pic>
              </a:graphicData>
            </a:graphic>
          </wp:inline>
        </w:drawing>
      </w:r>
    </w:p>
    <w:p w:rsidR="008237BB" w:rsidRDefault="005D5011" w:rsidP="005D5011">
      <w:pPr>
        <w:pStyle w:val="Caption"/>
      </w:pPr>
      <w:bookmarkStart w:id="874" w:name="_Toc354476900"/>
      <w:bookmarkStart w:id="875" w:name="_Toc354477148"/>
      <w:bookmarkStart w:id="876" w:name="_Toc354493427"/>
      <w:bookmarkStart w:id="877" w:name="_Toc354493652"/>
      <w:bookmarkStart w:id="878" w:name="_Toc354494556"/>
      <w:bookmarkStart w:id="879" w:name="_Toc356489938"/>
      <w:r>
        <w:t xml:space="preserve">Figure </w:t>
      </w:r>
      <w:r w:rsidR="007F11CF">
        <w:fldChar w:fldCharType="begin"/>
      </w:r>
      <w:r w:rsidR="007F11CF">
        <w:instrText xml:space="preserve"> STYLEREF 1 \s </w:instrText>
      </w:r>
      <w:r w:rsidR="007F11CF">
        <w:fldChar w:fldCharType="separate"/>
      </w:r>
      <w:r w:rsidR="00413858">
        <w:rPr>
          <w:noProof/>
        </w:rPr>
        <w:t>3</w:t>
      </w:r>
      <w:r w:rsidR="007F11CF">
        <w:rPr>
          <w:noProof/>
        </w:rPr>
        <w:fldChar w:fldCharType="end"/>
      </w:r>
      <w:r w:rsidR="00356FFD">
        <w:t>.</w:t>
      </w:r>
      <w:r w:rsidR="007F11CF">
        <w:fldChar w:fldCharType="begin"/>
      </w:r>
      <w:r w:rsidR="007F11CF">
        <w:instrText xml:space="preserve"> SEQ Figure \* ARABIC \s 1 </w:instrText>
      </w:r>
      <w:r w:rsidR="007F11CF">
        <w:fldChar w:fldCharType="separate"/>
      </w:r>
      <w:r w:rsidR="00413858">
        <w:rPr>
          <w:noProof/>
        </w:rPr>
        <w:t>1</w:t>
      </w:r>
      <w:r w:rsidR="007F11CF">
        <w:rPr>
          <w:noProof/>
        </w:rPr>
        <w:fldChar w:fldCharType="end"/>
      </w:r>
      <w:r w:rsidRPr="005D5011">
        <w:t xml:space="preserve"> </w:t>
      </w:r>
      <w:r>
        <w:t>Current-climate 50 year ARI TC wind hazard</w:t>
      </w:r>
      <w:r>
        <w:rPr>
          <w:rStyle w:val="FootnoteReference"/>
        </w:rPr>
        <w:footnoteReference w:id="4"/>
      </w:r>
      <w:r>
        <w:t>.</w:t>
      </w:r>
      <w:bookmarkEnd w:id="874"/>
      <w:bookmarkEnd w:id="875"/>
      <w:bookmarkEnd w:id="876"/>
      <w:bookmarkEnd w:id="877"/>
      <w:bookmarkEnd w:id="878"/>
      <w:bookmarkEnd w:id="879"/>
    </w:p>
    <w:p w:rsidR="005D5011" w:rsidRDefault="008237BB" w:rsidP="00481556">
      <w:pPr>
        <w:pStyle w:val="Figuresandimagesleft"/>
      </w:pPr>
      <w:r>
        <w:rPr>
          <w:noProof/>
        </w:rPr>
        <w:drawing>
          <wp:inline distT="0" distB="0" distL="0" distR="0" wp14:anchorId="4D5D007C" wp14:editId="03E881C6">
            <wp:extent cx="5238000" cy="3492000"/>
            <wp:effectExtent l="0" t="0" r="1270" b="0"/>
            <wp:docPr id="91" name="Picture 91" descr="The future climate modelling, being forced by the A2 SRES greenhouse gas scenario, shows a decrease in wind hazard as compared with the current climate wind ha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future climate modelling, being forced by the A2 SRES greenhouse gas scenario, shows a decrease in wind hazard as compared with the current climate wind hazar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38000" cy="3492000"/>
                    </a:xfrm>
                    <a:prstGeom prst="rect">
                      <a:avLst/>
                    </a:prstGeom>
                    <a:noFill/>
                    <a:ln>
                      <a:noFill/>
                    </a:ln>
                  </pic:spPr>
                </pic:pic>
              </a:graphicData>
            </a:graphic>
          </wp:inline>
        </w:drawing>
      </w:r>
    </w:p>
    <w:p w:rsidR="005D5011" w:rsidRDefault="005D5011" w:rsidP="005D5011">
      <w:pPr>
        <w:pStyle w:val="Caption"/>
      </w:pPr>
      <w:bookmarkStart w:id="880" w:name="_Toc354476901"/>
      <w:bookmarkStart w:id="881" w:name="_Toc354477149"/>
      <w:bookmarkStart w:id="882" w:name="_Toc354493428"/>
      <w:bookmarkStart w:id="883" w:name="_Toc354493653"/>
      <w:bookmarkStart w:id="884" w:name="_Toc354494557"/>
      <w:bookmarkStart w:id="885" w:name="_Toc356489939"/>
      <w:r>
        <w:t xml:space="preserve">Figure </w:t>
      </w:r>
      <w:r w:rsidR="007F11CF">
        <w:fldChar w:fldCharType="begin"/>
      </w:r>
      <w:r w:rsidR="007F11CF">
        <w:instrText xml:space="preserve"> STYLEREF 1 \s </w:instrText>
      </w:r>
      <w:r w:rsidR="007F11CF">
        <w:fldChar w:fldCharType="separate"/>
      </w:r>
      <w:r w:rsidR="00413858">
        <w:rPr>
          <w:noProof/>
        </w:rPr>
        <w:t>3</w:t>
      </w:r>
      <w:r w:rsidR="007F11CF">
        <w:rPr>
          <w:noProof/>
        </w:rPr>
        <w:fldChar w:fldCharType="end"/>
      </w:r>
      <w:r w:rsidR="00356FFD">
        <w:t>.</w:t>
      </w:r>
      <w:r w:rsidR="007F11CF">
        <w:fldChar w:fldCharType="begin"/>
      </w:r>
      <w:r w:rsidR="007F11CF">
        <w:instrText xml:space="preserve"> SEQ Figure \* ARABIC \s 1 </w:instrText>
      </w:r>
      <w:r w:rsidR="007F11CF">
        <w:fldChar w:fldCharType="separate"/>
      </w:r>
      <w:r w:rsidR="00413858">
        <w:rPr>
          <w:noProof/>
        </w:rPr>
        <w:t>2</w:t>
      </w:r>
      <w:r w:rsidR="007F11CF">
        <w:rPr>
          <w:noProof/>
        </w:rPr>
        <w:fldChar w:fldCharType="end"/>
      </w:r>
      <w:r>
        <w:t xml:space="preserve">. 2090 50 year ARI TC wind hazard for the SRES A2 </w:t>
      </w:r>
      <w:r w:rsidRPr="00471621">
        <w:t>scenar</w:t>
      </w:r>
      <w:r w:rsidRPr="00A17427">
        <w:t>io.</w:t>
      </w:r>
      <w:bookmarkEnd w:id="880"/>
      <w:bookmarkEnd w:id="881"/>
      <w:bookmarkEnd w:id="882"/>
      <w:bookmarkEnd w:id="883"/>
      <w:bookmarkEnd w:id="884"/>
      <w:bookmarkEnd w:id="885"/>
    </w:p>
    <w:p w:rsidR="008237BB" w:rsidRDefault="008237BB" w:rsidP="000538C6">
      <w:pPr>
        <w:pStyle w:val="Heading2"/>
      </w:pPr>
      <w:bookmarkStart w:id="886" w:name="_Toc341445214"/>
      <w:bookmarkStart w:id="887" w:name="_Toc346261447"/>
      <w:bookmarkStart w:id="888" w:name="_Toc346632744"/>
      <w:bookmarkStart w:id="889" w:name="_Toc346632856"/>
      <w:bookmarkStart w:id="890" w:name="_Toc346632968"/>
      <w:bookmarkStart w:id="891" w:name="_Toc346633080"/>
      <w:bookmarkStart w:id="892" w:name="_Toc346633192"/>
      <w:bookmarkStart w:id="893" w:name="_Toc347401625"/>
      <w:bookmarkStart w:id="894" w:name="_Toc347401737"/>
      <w:bookmarkStart w:id="895" w:name="_Toc347401849"/>
      <w:bookmarkStart w:id="896" w:name="_Toc347401961"/>
      <w:bookmarkStart w:id="897" w:name="_Toc347402073"/>
      <w:bookmarkStart w:id="898" w:name="_Toc349055253"/>
      <w:bookmarkStart w:id="899" w:name="_Toc349055366"/>
      <w:bookmarkStart w:id="900" w:name="_Toc349055479"/>
      <w:bookmarkStart w:id="901" w:name="_Toc349055592"/>
      <w:bookmarkStart w:id="902" w:name="_Toc349055705"/>
      <w:bookmarkStart w:id="903" w:name="_Toc349116922"/>
      <w:bookmarkStart w:id="904" w:name="_Toc350330022"/>
      <w:bookmarkStart w:id="905" w:name="_Toc350344000"/>
      <w:bookmarkStart w:id="906" w:name="_Toc354404041"/>
      <w:bookmarkStart w:id="907" w:name="_Toc354492707"/>
      <w:bookmarkStart w:id="908" w:name="_Toc354492848"/>
      <w:bookmarkStart w:id="909" w:name="_Toc354492954"/>
      <w:bookmarkStart w:id="910" w:name="_Toc354493084"/>
      <w:bookmarkStart w:id="911" w:name="_Toc354493245"/>
      <w:bookmarkStart w:id="912" w:name="_Toc354493714"/>
      <w:bookmarkStart w:id="913" w:name="_Toc354494249"/>
      <w:bookmarkStart w:id="914" w:name="_Toc354494467"/>
      <w:bookmarkStart w:id="915" w:name="_Toc354494678"/>
      <w:bookmarkStart w:id="916" w:name="_Toc354494972"/>
      <w:bookmarkStart w:id="917" w:name="_Toc354497854"/>
      <w:bookmarkStart w:id="918" w:name="_Toc354561267"/>
      <w:bookmarkStart w:id="919" w:name="_Toc355249607"/>
      <w:bookmarkStart w:id="920" w:name="_Toc357586076"/>
      <w:r>
        <w:lastRenderedPageBreak/>
        <w:t>Discussion</w:t>
      </w:r>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p>
    <w:p w:rsidR="002F691C" w:rsidRDefault="008237BB" w:rsidP="008237BB">
      <w:pPr>
        <w:pStyle w:val="BodyText"/>
      </w:pPr>
      <w:r>
        <w:t xml:space="preserve">The modelling results agreed with the classification of Rockhampton within Australia’s tropical cyclone risk zones as depicted in </w:t>
      </w:r>
      <w:r w:rsidRPr="00B26069">
        <w:rPr>
          <w:szCs w:val="21"/>
        </w:rPr>
        <w:t>AS/NZS 1170.2</w:t>
      </w:r>
      <w:r>
        <w:t>. All hazard estimates were similar to the existing design wind speeds for the region, but were much greater than ARI wind speeds estimated from the observational record at Rockhampton Airport</w:t>
      </w:r>
      <w:r>
        <w:rPr>
          <w:rStyle w:val="FootnoteReference"/>
        </w:rPr>
        <w:footnoteReference w:id="5"/>
      </w:r>
      <w:r>
        <w:t>.</w:t>
      </w:r>
    </w:p>
    <w:p w:rsidR="002F691C" w:rsidRDefault="008237BB" w:rsidP="008237BB">
      <w:pPr>
        <w:pStyle w:val="BodyText"/>
      </w:pPr>
      <w:r>
        <w:t>In the current climate, 50 and 100 year ARI events, the tropical cyclone peak hazard (equivalent to wind speeds from TC Category 4 and 5) is observed in the higher elevations including Mount Archer, Flat Top Range, Mount Morgan and Native Cat Range. The remainder of the study region is mostly exposed to TC Category 3 wind speed</w:t>
      </w:r>
      <w:r w:rsidRPr="005B66CA">
        <w:t>s</w:t>
      </w:r>
      <w:r>
        <w:t xml:space="preserve"> with small areas experiencing lesser wind speeds.</w:t>
      </w:r>
    </w:p>
    <w:p w:rsidR="008237BB" w:rsidRDefault="008237BB" w:rsidP="008237BB">
      <w:pPr>
        <w:pStyle w:val="BodyText"/>
      </w:pPr>
      <w:r>
        <w:t>In the future-climate simulation, t</w:t>
      </w:r>
      <w:r w:rsidRPr="005B66CA">
        <w:t xml:space="preserve">he TC wind hazard simulations indicated a decline in cyclonic wind hazard. However, it has to be noted that, due to the large </w:t>
      </w:r>
      <w:r>
        <w:t>inherent variability in modelling methodology</w:t>
      </w:r>
      <w:r w:rsidRPr="005B66CA">
        <w:t>, the</w:t>
      </w:r>
      <w:r>
        <w:t xml:space="preserve"> change in </w:t>
      </w:r>
      <w:r w:rsidRPr="005B66CA">
        <w:t>wind hazard modelled for future climate under the SRES A2 emissions scenario was not statistically significant</w:t>
      </w:r>
      <w:r>
        <w:t>ly different.</w:t>
      </w:r>
    </w:p>
    <w:p w:rsidR="002F691C" w:rsidRDefault="008237BB" w:rsidP="008237BB">
      <w:pPr>
        <w:pStyle w:val="BodyText"/>
      </w:pPr>
      <w:r>
        <w:t>These results were in line with the current understanding of the shifts in cyclone hazard across Australia. Recent studies indicate that cyclone frequency may decline somewhat overall, but a larger proportion of cyclones will be intense (Category 4 and 5; see for example Abbs, 2012, Zhao and Held, 2012, and Hill and Lackmann, 2011). This shift could produce average hazard levels very similar to those experienced currently. In conjunction, the tracks may tend to occur further southward, especially on the east coast of Australia (Abbs, 2012). While such a shift in tracks suggests some areas in Queensland may experience higher cyclone hazard in the future, this is unlikely to be an issue for Rockhampton as it is already in an active cyclone region.</w:t>
      </w:r>
    </w:p>
    <w:p w:rsidR="00884478" w:rsidRDefault="00884478" w:rsidP="00884478">
      <w:pPr>
        <w:pStyle w:val="Bodyblankpage"/>
      </w:pPr>
      <w:r>
        <w:lastRenderedPageBreak/>
        <w:t>This page is intentionally blank</w:t>
      </w:r>
    </w:p>
    <w:p w:rsidR="00884478" w:rsidRDefault="00884478" w:rsidP="008237BB">
      <w:pPr>
        <w:pStyle w:val="BodyText"/>
      </w:pPr>
    </w:p>
    <w:p w:rsidR="002F691C" w:rsidRDefault="008237BB" w:rsidP="000871C1">
      <w:pPr>
        <w:pStyle w:val="Heading1"/>
      </w:pPr>
      <w:r w:rsidRPr="00A07143">
        <w:lastRenderedPageBreak/>
        <w:t xml:space="preserve"> </w:t>
      </w:r>
      <w:bookmarkStart w:id="921" w:name="_Toc346261448"/>
      <w:bookmarkStart w:id="922" w:name="_Toc346632745"/>
      <w:bookmarkStart w:id="923" w:name="_Toc346632857"/>
      <w:bookmarkStart w:id="924" w:name="_Toc346632969"/>
      <w:bookmarkStart w:id="925" w:name="_Toc346633081"/>
      <w:bookmarkStart w:id="926" w:name="_Toc346633193"/>
      <w:bookmarkStart w:id="927" w:name="_Toc347401626"/>
      <w:bookmarkStart w:id="928" w:name="_Toc347401738"/>
      <w:bookmarkStart w:id="929" w:name="_Toc347401850"/>
      <w:bookmarkStart w:id="930" w:name="_Toc347401962"/>
      <w:bookmarkStart w:id="931" w:name="_Toc347402074"/>
      <w:bookmarkStart w:id="932" w:name="_Toc349055254"/>
      <w:bookmarkStart w:id="933" w:name="_Toc349055367"/>
      <w:bookmarkStart w:id="934" w:name="_Toc349055480"/>
      <w:bookmarkStart w:id="935" w:name="_Toc349055593"/>
      <w:bookmarkStart w:id="936" w:name="_Toc349055706"/>
      <w:bookmarkStart w:id="937" w:name="_Toc349116923"/>
      <w:bookmarkStart w:id="938" w:name="_Toc350330023"/>
      <w:bookmarkStart w:id="939" w:name="_Toc350344001"/>
      <w:bookmarkStart w:id="940" w:name="_Toc354404042"/>
      <w:bookmarkStart w:id="941" w:name="_Toc354492708"/>
      <w:bookmarkStart w:id="942" w:name="_Toc354492849"/>
      <w:bookmarkStart w:id="943" w:name="_Toc354492955"/>
      <w:bookmarkStart w:id="944" w:name="_Toc354493085"/>
      <w:bookmarkStart w:id="945" w:name="_Toc354493246"/>
      <w:bookmarkStart w:id="946" w:name="_Toc354493715"/>
      <w:bookmarkStart w:id="947" w:name="_Toc354494250"/>
      <w:bookmarkStart w:id="948" w:name="_Toc354494468"/>
      <w:bookmarkStart w:id="949" w:name="_Toc354494679"/>
      <w:bookmarkStart w:id="950" w:name="_Toc354494973"/>
      <w:bookmarkStart w:id="951" w:name="_Toc354497855"/>
      <w:bookmarkStart w:id="952" w:name="_Toc354561268"/>
      <w:bookmarkStart w:id="953" w:name="_Toc355249608"/>
      <w:bookmarkStart w:id="954" w:name="_Toc357586077"/>
      <w:r w:rsidRPr="009340CE">
        <w:t>Bushfire</w:t>
      </w:r>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p>
    <w:p w:rsidR="008237BB" w:rsidRDefault="008237BB" w:rsidP="008237BB">
      <w:pPr>
        <w:pStyle w:val="BodyText"/>
        <w:rPr>
          <w:lang w:val="en-US"/>
        </w:rPr>
      </w:pPr>
      <w:r>
        <w:t>The dry-tropics of central Queensland result in an annual bushfire threat that generally extends from September to November. Within this study bushfire hazard was defined by the Forest Fire Danger Index.</w:t>
      </w:r>
    </w:p>
    <w:p w:rsidR="008237BB" w:rsidRDefault="008237BB" w:rsidP="000538C6">
      <w:pPr>
        <w:pStyle w:val="Heading2"/>
      </w:pPr>
      <w:bookmarkStart w:id="955" w:name="_Toc346261449"/>
      <w:bookmarkStart w:id="956" w:name="_Toc346632746"/>
      <w:bookmarkStart w:id="957" w:name="_Toc346632858"/>
      <w:bookmarkStart w:id="958" w:name="_Toc346632970"/>
      <w:bookmarkStart w:id="959" w:name="_Toc346633082"/>
      <w:bookmarkStart w:id="960" w:name="_Toc346633194"/>
      <w:bookmarkStart w:id="961" w:name="_Toc347401627"/>
      <w:bookmarkStart w:id="962" w:name="_Toc347401739"/>
      <w:bookmarkStart w:id="963" w:name="_Toc347401851"/>
      <w:bookmarkStart w:id="964" w:name="_Toc347401963"/>
      <w:bookmarkStart w:id="965" w:name="_Toc347402075"/>
      <w:bookmarkStart w:id="966" w:name="_Toc349055255"/>
      <w:bookmarkStart w:id="967" w:name="_Toc349055368"/>
      <w:bookmarkStart w:id="968" w:name="_Toc349055481"/>
      <w:bookmarkStart w:id="969" w:name="_Toc349055594"/>
      <w:bookmarkStart w:id="970" w:name="_Toc349055707"/>
      <w:bookmarkStart w:id="971" w:name="_Toc349116924"/>
      <w:bookmarkStart w:id="972" w:name="_Toc350330024"/>
      <w:bookmarkStart w:id="973" w:name="_Toc350344002"/>
      <w:bookmarkStart w:id="974" w:name="_Toc354404043"/>
      <w:bookmarkStart w:id="975" w:name="_Toc354492709"/>
      <w:bookmarkStart w:id="976" w:name="_Toc354492850"/>
      <w:bookmarkStart w:id="977" w:name="_Toc354492956"/>
      <w:bookmarkStart w:id="978" w:name="_Toc354493086"/>
      <w:bookmarkStart w:id="979" w:name="_Toc354493247"/>
      <w:bookmarkStart w:id="980" w:name="_Toc354493716"/>
      <w:bookmarkStart w:id="981" w:name="_Toc354494251"/>
      <w:bookmarkStart w:id="982" w:name="_Toc354494469"/>
      <w:bookmarkStart w:id="983" w:name="_Toc354494680"/>
      <w:bookmarkStart w:id="984" w:name="_Toc354494974"/>
      <w:bookmarkStart w:id="985" w:name="_Toc354497856"/>
      <w:bookmarkStart w:id="986" w:name="_Toc354561269"/>
      <w:bookmarkStart w:id="987" w:name="_Toc355249609"/>
      <w:bookmarkStart w:id="988" w:name="_Toc357586078"/>
      <w:r>
        <w:t>Method</w:t>
      </w:r>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p>
    <w:p w:rsidR="008237BB" w:rsidRDefault="008237BB" w:rsidP="008237BB">
      <w:pPr>
        <w:pStyle w:val="BodyText"/>
      </w:pPr>
      <w:r w:rsidRPr="000844AA">
        <w:t>In Australia, fire weather hazard is quantified using either the Forest Fire Danger Index (FFDI) or the Grassland Fire Danger Index (GFDI</w:t>
      </w:r>
      <w:r>
        <w:t xml:space="preserve">; </w:t>
      </w:r>
      <w:r w:rsidRPr="000844AA">
        <w:t>Luke and McArthur</w:t>
      </w:r>
      <w:r>
        <w:t>,</w:t>
      </w:r>
      <w:r w:rsidRPr="000844AA">
        <w:t xml:space="preserve"> 1978). Both the FFDI and the GFDI consider weather observations and each index considers a dryness factor: FFDI includes a ‘drought factor’ and GFDI considers a ‘curing factor’. Weather observations (temperature, rel</w:t>
      </w:r>
      <w:r>
        <w:t>ative humidity and wind speed) we</w:t>
      </w:r>
      <w:r w:rsidRPr="000844AA">
        <w:t xml:space="preserve">re combined with an estimate of the fuel state to predict likely fire behaviour if an ignition eventuates. The ‘drought factor’ is used for forests </w:t>
      </w:r>
      <w:r>
        <w:t>in the combined</w:t>
      </w:r>
      <w:r w:rsidRPr="000844AA">
        <w:t xml:space="preserve"> estimate </w:t>
      </w:r>
      <w:r>
        <w:t>of</w:t>
      </w:r>
      <w:r w:rsidRPr="000844AA">
        <w:t xml:space="preserve"> fuel state, and is based on daily rainfall and the period of time elapsed since the last rain. For grasslands, the ‘curing factor’ is used </w:t>
      </w:r>
      <w:r>
        <w:t xml:space="preserve">in the combined estimate of </w:t>
      </w:r>
      <w:r w:rsidRPr="000844AA">
        <w:t>fuel state. Curing describes the annual or seasonal cycle of grasses dying and drying out</w:t>
      </w:r>
      <w:r>
        <w:t>.</w:t>
      </w:r>
      <w:r w:rsidRPr="009B14C7">
        <w:t xml:space="preserve"> The curing factor can be measured via destructive sampling, visual observations and remote sensing. For this study only FFDI was calculated and the GFDI was scaled from the historical FFDI/GFDI measurements (for those instances</w:t>
      </w:r>
      <w:r>
        <w:t>,</w:t>
      </w:r>
      <w:r w:rsidRPr="009B14C7">
        <w:t xml:space="preserve"> numbering 22</w:t>
      </w:r>
      <w:r>
        <w:t xml:space="preserve">, </w:t>
      </w:r>
      <w:r w:rsidRPr="009B14C7">
        <w:t>over nearly 40 years of daily records where FFDI &gt; 50).</w:t>
      </w:r>
    </w:p>
    <w:p w:rsidR="008237BB" w:rsidRDefault="008237BB" w:rsidP="008237BB">
      <w:pPr>
        <w:pStyle w:val="BodyText"/>
      </w:pPr>
      <w:r>
        <w:t xml:space="preserve">A high horizontal spatial resolution (270 m) numerical weather model was utilised to provide spatial texture weather characteristics including temperature, wind speed/direction and relative humidity. This was computed over the Rockhampton region for a range of historical days where </w:t>
      </w:r>
      <w:r w:rsidRPr="008C6380">
        <w:t>bushfire hazard</w:t>
      </w:r>
      <w:r>
        <w:t>,</w:t>
      </w:r>
      <w:r w:rsidRPr="008C6380">
        <w:t xml:space="preserve"> </w:t>
      </w:r>
      <w:r>
        <w:t xml:space="preserve">as measured at the </w:t>
      </w:r>
      <w:r w:rsidRPr="008C6380">
        <w:t xml:space="preserve">Rockhampton </w:t>
      </w:r>
      <w:r>
        <w:t>Airport meteorological station, was known to be Severe to Extreme. The weather model simulated the weather conditions across the Rockhampton region from the observations available at the Rockhampton Airport</w:t>
      </w:r>
      <w:r w:rsidRPr="008C6380">
        <w:t xml:space="preserve"> </w:t>
      </w:r>
      <w:r>
        <w:t xml:space="preserve">and a range of far-field observations. </w:t>
      </w:r>
      <w:r w:rsidRPr="008C6380">
        <w:t xml:space="preserve">From the temperature, relative humidity and wind speeds generated by the </w:t>
      </w:r>
      <w:r>
        <w:t>model</w:t>
      </w:r>
      <w:r w:rsidRPr="008C6380">
        <w:t>, the maximum FFDI</w:t>
      </w:r>
      <w:r>
        <w:t xml:space="preserve"> for each grid point over</w:t>
      </w:r>
      <w:r w:rsidRPr="008C6380">
        <w:t xml:space="preserve"> each simulated day </w:t>
      </w:r>
      <w:r>
        <w:t xml:space="preserve">was </w:t>
      </w:r>
      <w:r w:rsidRPr="008C6380">
        <w:t>calculated, again using a constant drought factor. Each of these FFDI maps was then</w:t>
      </w:r>
      <w:r>
        <w:t xml:space="preserve"> </w:t>
      </w:r>
      <w:r w:rsidRPr="008C6380">
        <w:t>normalised to the value of the FFDI at the grid point corresponding to Rockhampton</w:t>
      </w:r>
      <w:r>
        <w:t xml:space="preserve"> </w:t>
      </w:r>
      <w:r w:rsidRPr="008C6380">
        <w:t>Airport</w:t>
      </w:r>
      <w:r>
        <w:t xml:space="preserve">. </w:t>
      </w:r>
      <w:r w:rsidRPr="008C6380">
        <w:t xml:space="preserve">The </w:t>
      </w:r>
      <w:r>
        <w:t>ARI</w:t>
      </w:r>
      <w:r w:rsidRPr="008C6380">
        <w:t xml:space="preserve"> of FFDI at Rockhampton Airport </w:t>
      </w:r>
      <w:r>
        <w:t xml:space="preserve">for the current climate </w:t>
      </w:r>
      <w:r w:rsidRPr="008C6380">
        <w:t>was calculated from observations</w:t>
      </w:r>
      <w:r>
        <w:t xml:space="preserve"> by </w:t>
      </w:r>
      <w:r w:rsidRPr="008C6380">
        <w:t>fitt</w:t>
      </w:r>
      <w:r>
        <w:t>ing G</w:t>
      </w:r>
      <w:r w:rsidRPr="008C6380">
        <w:t>eneralised Extreme Value (GEV) distribution</w:t>
      </w:r>
      <w:r>
        <w:t>s.</w:t>
      </w:r>
    </w:p>
    <w:p w:rsidR="008237BB" w:rsidRDefault="008237BB" w:rsidP="008237BB">
      <w:pPr>
        <w:pStyle w:val="BodyText"/>
      </w:pPr>
      <w:r w:rsidRPr="001C2551">
        <w:t xml:space="preserve">For current climate, FFDI was obtained utilising the observational record, which spanned </w:t>
      </w:r>
      <w:r>
        <w:t>four</w:t>
      </w:r>
      <w:r w:rsidRPr="001C2551">
        <w:t xml:space="preserve"> decades </w:t>
      </w:r>
      <w:r>
        <w:t xml:space="preserve">at the Rockhampton Airport. </w:t>
      </w:r>
      <w:r w:rsidRPr="001C2551">
        <w:t xml:space="preserve">High-resolution spatial detail for the FFDI was obtained </w:t>
      </w:r>
      <w:r>
        <w:t>from the weather model simulations. A</w:t>
      </w:r>
      <w:r w:rsidRPr="001C2551">
        <w:t xml:space="preserve"> number of extreme events </w:t>
      </w:r>
      <w:r>
        <w:t xml:space="preserve">(days) </w:t>
      </w:r>
      <w:r w:rsidRPr="001C2551">
        <w:t xml:space="preserve">that were </w:t>
      </w:r>
      <w:r>
        <w:t>identified</w:t>
      </w:r>
      <w:r w:rsidRPr="001C2551">
        <w:t xml:space="preserve"> as “typical” of the type of event that would be experienced </w:t>
      </w:r>
      <w:r>
        <w:t>once in 50 years or once in 100 years</w:t>
      </w:r>
      <w:r w:rsidRPr="001C2551">
        <w:t xml:space="preserve"> (i.e. the synoptic </w:t>
      </w:r>
      <w:r>
        <w:t>conditions</w:t>
      </w:r>
      <w:r w:rsidRPr="001C2551">
        <w:t xml:space="preserve"> had been determined as being similar to the majority of the extreme fire weather events in the observational record)</w:t>
      </w:r>
      <w:r>
        <w:t xml:space="preserve"> were downscaled in the simulations</w:t>
      </w:r>
      <w:r w:rsidRPr="001C2551">
        <w:t>.</w:t>
      </w:r>
      <w:r>
        <w:t xml:space="preserve"> </w:t>
      </w:r>
      <w:r w:rsidRPr="001C2551">
        <w:t xml:space="preserve">For future climate, </w:t>
      </w:r>
      <w:r>
        <w:t>this study</w:t>
      </w:r>
      <w:r w:rsidRPr="001C2551">
        <w:t xml:space="preserve"> considered three downscaled GCMs forced by the A2</w:t>
      </w:r>
      <w:r>
        <w:t xml:space="preserve"> GHG</w:t>
      </w:r>
      <w:r w:rsidRPr="001C2551">
        <w:t xml:space="preserve"> emission scenario. </w:t>
      </w:r>
      <w:r>
        <w:t xml:space="preserve">The ratio of spatial FFDI for the GCMs (involving temperature, relative humidity and wind speed) </w:t>
      </w:r>
      <w:r w:rsidR="006D2A83">
        <w:t>that was run under both current</w:t>
      </w:r>
      <w:r w:rsidR="006D2A83">
        <w:noBreakHyphen/>
      </w:r>
      <w:r>
        <w:t>climate and future-climate conditions, was then applied to the current-climate bushfire hazard (Rockhampton airport) which resulted in a spatial representation of future-climate bushfire hazard.</w:t>
      </w:r>
    </w:p>
    <w:p w:rsidR="008237BB" w:rsidRDefault="008237BB" w:rsidP="000538C6">
      <w:pPr>
        <w:pStyle w:val="Heading2"/>
      </w:pPr>
      <w:bookmarkStart w:id="989" w:name="_Toc346261450"/>
      <w:bookmarkStart w:id="990" w:name="_Toc346632747"/>
      <w:bookmarkStart w:id="991" w:name="_Toc346632859"/>
      <w:bookmarkStart w:id="992" w:name="_Toc346632971"/>
      <w:bookmarkStart w:id="993" w:name="_Toc346633083"/>
      <w:bookmarkStart w:id="994" w:name="_Toc346633195"/>
      <w:bookmarkStart w:id="995" w:name="_Toc347401628"/>
      <w:bookmarkStart w:id="996" w:name="_Toc347401740"/>
      <w:bookmarkStart w:id="997" w:name="_Toc347401852"/>
      <w:bookmarkStart w:id="998" w:name="_Toc347401964"/>
      <w:bookmarkStart w:id="999" w:name="_Toc347402076"/>
      <w:bookmarkStart w:id="1000" w:name="_Toc349055256"/>
      <w:bookmarkStart w:id="1001" w:name="_Toc349055369"/>
      <w:bookmarkStart w:id="1002" w:name="_Toc349055482"/>
      <w:bookmarkStart w:id="1003" w:name="_Toc349055595"/>
      <w:bookmarkStart w:id="1004" w:name="_Toc349055708"/>
      <w:bookmarkStart w:id="1005" w:name="_Toc349116925"/>
      <w:bookmarkStart w:id="1006" w:name="_Toc350330025"/>
      <w:bookmarkStart w:id="1007" w:name="_Toc350344003"/>
      <w:bookmarkStart w:id="1008" w:name="_Toc354404044"/>
      <w:bookmarkStart w:id="1009" w:name="_Toc354492710"/>
      <w:bookmarkStart w:id="1010" w:name="_Toc354492851"/>
      <w:bookmarkStart w:id="1011" w:name="_Toc354492957"/>
      <w:bookmarkStart w:id="1012" w:name="_Toc354493087"/>
      <w:bookmarkStart w:id="1013" w:name="_Toc354493248"/>
      <w:bookmarkStart w:id="1014" w:name="_Toc354493717"/>
      <w:bookmarkStart w:id="1015" w:name="_Toc354494252"/>
      <w:bookmarkStart w:id="1016" w:name="_Toc354494470"/>
      <w:bookmarkStart w:id="1017" w:name="_Toc354494681"/>
      <w:bookmarkStart w:id="1018" w:name="_Toc354494975"/>
      <w:bookmarkStart w:id="1019" w:name="_Toc354497857"/>
      <w:bookmarkStart w:id="1020" w:name="_Toc354561270"/>
      <w:bookmarkStart w:id="1021" w:name="_Toc355249610"/>
      <w:bookmarkStart w:id="1022" w:name="_Toc357586079"/>
      <w:r>
        <w:lastRenderedPageBreak/>
        <w:t>Results</w:t>
      </w:r>
      <w:bookmarkEnd w:id="989"/>
      <w:bookmarkEnd w:id="990"/>
      <w:bookmarkEnd w:id="991"/>
      <w:bookmarkEnd w:id="992"/>
      <w:bookmarkEnd w:id="993"/>
      <w:bookmarkEnd w:id="994"/>
      <w:r>
        <w:t>/discussion</w:t>
      </w:r>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p>
    <w:p w:rsidR="008237BB" w:rsidRDefault="005D5011" w:rsidP="008237BB">
      <w:pPr>
        <w:pStyle w:val="BodyText"/>
      </w:pPr>
      <w:r>
        <w:fldChar w:fldCharType="begin"/>
      </w:r>
      <w:r>
        <w:instrText xml:space="preserve"> REF _Ref354475502 \h </w:instrText>
      </w:r>
      <w:r>
        <w:fldChar w:fldCharType="separate"/>
      </w:r>
      <w:r w:rsidR="00413858">
        <w:t xml:space="preserve">Figure </w:t>
      </w:r>
      <w:r w:rsidR="00413858">
        <w:rPr>
          <w:noProof/>
        </w:rPr>
        <w:t>4</w:t>
      </w:r>
      <w:r w:rsidR="00413858">
        <w:t>.</w:t>
      </w:r>
      <w:r w:rsidR="00413858">
        <w:rPr>
          <w:noProof/>
        </w:rPr>
        <w:t>1</w:t>
      </w:r>
      <w:r>
        <w:fldChar w:fldCharType="end"/>
      </w:r>
      <w:r>
        <w:t xml:space="preserve"> </w:t>
      </w:r>
      <w:r w:rsidR="008237BB">
        <w:t xml:space="preserve">shows the spatial pattern of the current-climate 50 year ARI fire danger rating for the Rockhampton region. </w:t>
      </w:r>
      <w:r w:rsidR="006D2A83">
        <w:fldChar w:fldCharType="begin"/>
      </w:r>
      <w:r w:rsidR="006D2A83">
        <w:instrText xml:space="preserve"> REF _Ref355179946 \h </w:instrText>
      </w:r>
      <w:r w:rsidR="006D2A83">
        <w:fldChar w:fldCharType="separate"/>
      </w:r>
      <w:r w:rsidR="00413858">
        <w:t xml:space="preserve">Figure </w:t>
      </w:r>
      <w:r w:rsidR="00413858">
        <w:rPr>
          <w:noProof/>
        </w:rPr>
        <w:t>4</w:t>
      </w:r>
      <w:r w:rsidR="00413858">
        <w:t>.</w:t>
      </w:r>
      <w:r w:rsidR="00413858">
        <w:rPr>
          <w:noProof/>
        </w:rPr>
        <w:t>2</w:t>
      </w:r>
      <w:r w:rsidR="006D2A83">
        <w:fldChar w:fldCharType="end"/>
      </w:r>
      <w:r>
        <w:t xml:space="preserve"> </w:t>
      </w:r>
      <w:r w:rsidR="008237BB">
        <w:t>shows the spatial pattern for the ensemble model average (average of GCMs) for the 2090 climate (A2 emissions scenario). A relatively small increase is observed throughout the Rockhampton region, in both magnitude and extent, through 2050 to 2090. Cluster areas of marginally higher bushfire hazard include:</w:t>
      </w:r>
    </w:p>
    <w:p w:rsidR="008237BB" w:rsidRPr="004B379B" w:rsidRDefault="008237BB" w:rsidP="004B379B">
      <w:pPr>
        <w:pStyle w:val="Bulletlevel1"/>
      </w:pPr>
      <w:r w:rsidRPr="004B379B">
        <w:t>south-west of Gracemere</w:t>
      </w:r>
    </w:p>
    <w:p w:rsidR="008237BB" w:rsidRPr="004B379B" w:rsidRDefault="008237BB" w:rsidP="004B379B">
      <w:pPr>
        <w:pStyle w:val="Bulletlevel1"/>
      </w:pPr>
      <w:r w:rsidRPr="004B379B">
        <w:t>north of Rockhampton on the eastern side of the Bruce Highway</w:t>
      </w:r>
    </w:p>
    <w:p w:rsidR="002F691C" w:rsidRDefault="008237BB" w:rsidP="004B379B">
      <w:pPr>
        <w:pStyle w:val="Bulletlevel1"/>
      </w:pPr>
      <w:r w:rsidRPr="004B379B">
        <w:t>south of Rockhampton on the western side of the Bruce Highway.</w:t>
      </w:r>
    </w:p>
    <w:p w:rsidR="008237BB" w:rsidRDefault="008237BB" w:rsidP="008237BB">
      <w:pPr>
        <w:pStyle w:val="BodyText"/>
      </w:pPr>
      <w:r w:rsidRPr="00357871">
        <w:t>Th</w:t>
      </w:r>
      <w:r>
        <w:t>is</w:t>
      </w:r>
      <w:r w:rsidRPr="00357871">
        <w:t xml:space="preserve"> relatively small </w:t>
      </w:r>
      <w:r>
        <w:t xml:space="preserve">change </w:t>
      </w:r>
      <w:r w:rsidRPr="00357871">
        <w:t xml:space="preserve">in FFDI </w:t>
      </w:r>
      <w:r>
        <w:t xml:space="preserve">with climate change </w:t>
      </w:r>
      <w:r w:rsidRPr="00357871">
        <w:t xml:space="preserve">for this </w:t>
      </w:r>
      <w:r>
        <w:t xml:space="preserve">central Queensland </w:t>
      </w:r>
      <w:r w:rsidRPr="00357871">
        <w:t xml:space="preserve">coastal community is consistent with other studies </w:t>
      </w:r>
      <w:r>
        <w:t>that</w:t>
      </w:r>
      <w:r w:rsidRPr="00357871">
        <w:t xml:space="preserve"> </w:t>
      </w:r>
      <w:r>
        <w:t xml:space="preserve">have </w:t>
      </w:r>
      <w:r w:rsidRPr="00357871">
        <w:t xml:space="preserve">considered </w:t>
      </w:r>
      <w:r>
        <w:t xml:space="preserve">this </w:t>
      </w:r>
      <w:r w:rsidRPr="00357871">
        <w:t xml:space="preserve">region (Lucas </w:t>
      </w:r>
      <w:r w:rsidRPr="009E1AAE">
        <w:rPr>
          <w:rStyle w:val="Bodytextitalic"/>
        </w:rPr>
        <w:t>et al.</w:t>
      </w:r>
      <w:r w:rsidRPr="00333BE4">
        <w:t>,</w:t>
      </w:r>
      <w:r w:rsidRPr="00357871">
        <w:t xml:space="preserve"> 2007; Clarke</w:t>
      </w:r>
      <w:r w:rsidR="006D2A83">
        <w:t> </w:t>
      </w:r>
      <w:r w:rsidRPr="009E1AAE">
        <w:rPr>
          <w:rStyle w:val="Bodytextitalic"/>
        </w:rPr>
        <w:t>et al.</w:t>
      </w:r>
      <w:r w:rsidRPr="00333BE4">
        <w:t>,</w:t>
      </w:r>
      <w:r w:rsidRPr="00357871">
        <w:t xml:space="preserve"> 2011).</w:t>
      </w:r>
    </w:p>
    <w:p w:rsidR="005D5011" w:rsidRDefault="008237BB" w:rsidP="00481556">
      <w:pPr>
        <w:pStyle w:val="Figuresandimagesleft"/>
      </w:pPr>
      <w:r w:rsidRPr="003776CC">
        <w:rPr>
          <w:noProof/>
        </w:rPr>
        <w:drawing>
          <wp:inline distT="0" distB="0" distL="0" distR="0" wp14:anchorId="09C72B8D" wp14:editId="38DE708D">
            <wp:extent cx="5400675" cy="3600450"/>
            <wp:effectExtent l="0" t="0" r="9525" b="0"/>
            <wp:docPr id="90" name="Picture 90" descr="Bushfire_50yearA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ushfire_50yearARI"/>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Pr="005D5011" w:rsidRDefault="005D5011" w:rsidP="005D5011">
      <w:pPr>
        <w:pStyle w:val="Caption"/>
      </w:pPr>
      <w:bookmarkStart w:id="1023" w:name="_Ref354475502"/>
      <w:bookmarkStart w:id="1024" w:name="_Toc354476902"/>
      <w:bookmarkStart w:id="1025" w:name="_Toc354477150"/>
      <w:bookmarkStart w:id="1026" w:name="_Toc354493429"/>
      <w:bookmarkStart w:id="1027" w:name="_Toc354493654"/>
      <w:bookmarkStart w:id="1028" w:name="_Toc354494558"/>
      <w:bookmarkStart w:id="1029" w:name="_Toc356489940"/>
      <w:r>
        <w:t xml:space="preserve">Figure </w:t>
      </w:r>
      <w:r w:rsidR="007F11CF">
        <w:fldChar w:fldCharType="begin"/>
      </w:r>
      <w:r w:rsidR="007F11CF">
        <w:instrText xml:space="preserve"> STYLEREF 1 \s </w:instrText>
      </w:r>
      <w:r w:rsidR="007F11CF">
        <w:fldChar w:fldCharType="separate"/>
      </w:r>
      <w:r w:rsidR="00413858">
        <w:rPr>
          <w:noProof/>
        </w:rPr>
        <w:t>4</w:t>
      </w:r>
      <w:r w:rsidR="007F11CF">
        <w:rPr>
          <w:noProof/>
        </w:rPr>
        <w:fldChar w:fldCharType="end"/>
      </w:r>
      <w:r w:rsidR="00356FFD">
        <w:t>.</w:t>
      </w:r>
      <w:r w:rsidR="007F11CF">
        <w:fldChar w:fldCharType="begin"/>
      </w:r>
      <w:r w:rsidR="007F11CF">
        <w:instrText xml:space="preserve"> SEQ Figure \* ARABIC \s 1 </w:instrText>
      </w:r>
      <w:r w:rsidR="007F11CF">
        <w:fldChar w:fldCharType="separate"/>
      </w:r>
      <w:r w:rsidR="00413858">
        <w:rPr>
          <w:noProof/>
        </w:rPr>
        <w:t>1</w:t>
      </w:r>
      <w:r w:rsidR="007F11CF">
        <w:rPr>
          <w:noProof/>
        </w:rPr>
        <w:fldChar w:fldCharType="end"/>
      </w:r>
      <w:bookmarkEnd w:id="1023"/>
      <w:r>
        <w:t xml:space="preserve">. Rockhampton region Fire Danger Rating, current-climate – 50 year ARI. See </w:t>
      </w:r>
      <w:r w:rsidR="009E1AAE">
        <w:fldChar w:fldCharType="begin"/>
      </w:r>
      <w:r w:rsidR="009E1AAE">
        <w:instrText xml:space="preserve"> REF _Ref354555049 \r \h </w:instrText>
      </w:r>
      <w:r w:rsidR="009E1AAE">
        <w:fldChar w:fldCharType="separate"/>
      </w:r>
      <w:r w:rsidR="00413858">
        <w:t>Appendix B</w:t>
      </w:r>
      <w:r w:rsidR="009E1AAE">
        <w:fldChar w:fldCharType="end"/>
      </w:r>
      <w:r w:rsidR="009E1AAE">
        <w:t xml:space="preserve"> </w:t>
      </w:r>
      <w:r>
        <w:t>for a description/discussion of the region of lower confidence (dashed area).</w:t>
      </w:r>
      <w:bookmarkEnd w:id="1024"/>
      <w:bookmarkEnd w:id="1025"/>
      <w:bookmarkEnd w:id="1026"/>
      <w:bookmarkEnd w:id="1027"/>
      <w:bookmarkEnd w:id="1028"/>
      <w:bookmarkEnd w:id="1029"/>
    </w:p>
    <w:p w:rsidR="005D5011" w:rsidRDefault="008237BB" w:rsidP="00481556">
      <w:pPr>
        <w:pStyle w:val="Figuresandimagesleft"/>
      </w:pPr>
      <w:r>
        <w:rPr>
          <w:noProof/>
        </w:rPr>
        <w:lastRenderedPageBreak/>
        <w:drawing>
          <wp:inline distT="0" distB="0" distL="0" distR="0" wp14:anchorId="4890B121" wp14:editId="71E82C02">
            <wp:extent cx="5400675" cy="3600450"/>
            <wp:effectExtent l="0" t="0" r="9525" b="0"/>
            <wp:docPr id="89" name="Picture 89" descr="Bushfire_2090_50yrA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ushfire_2090_50yrAR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5D5011" w:rsidRDefault="005D5011" w:rsidP="005D5011">
      <w:pPr>
        <w:pStyle w:val="Caption"/>
      </w:pPr>
      <w:bookmarkStart w:id="1030" w:name="_Ref355179946"/>
      <w:bookmarkStart w:id="1031" w:name="_Toc354476903"/>
      <w:bookmarkStart w:id="1032" w:name="_Toc354477151"/>
      <w:bookmarkStart w:id="1033" w:name="_Toc354493430"/>
      <w:bookmarkStart w:id="1034" w:name="_Toc354493655"/>
      <w:bookmarkStart w:id="1035" w:name="_Toc354494559"/>
      <w:bookmarkStart w:id="1036" w:name="_Toc356489941"/>
      <w:r>
        <w:t xml:space="preserve">Figure </w:t>
      </w:r>
      <w:r w:rsidR="007F11CF">
        <w:fldChar w:fldCharType="begin"/>
      </w:r>
      <w:r w:rsidR="007F11CF">
        <w:instrText xml:space="preserve"> STYLEREF 1 \s </w:instrText>
      </w:r>
      <w:r w:rsidR="007F11CF">
        <w:fldChar w:fldCharType="separate"/>
      </w:r>
      <w:r w:rsidR="00413858">
        <w:rPr>
          <w:noProof/>
        </w:rPr>
        <w:t>4</w:t>
      </w:r>
      <w:r w:rsidR="007F11CF">
        <w:rPr>
          <w:noProof/>
        </w:rPr>
        <w:fldChar w:fldCharType="end"/>
      </w:r>
      <w:r w:rsidR="00356FFD">
        <w:t>.</w:t>
      </w:r>
      <w:r w:rsidR="007F11CF">
        <w:fldChar w:fldCharType="begin"/>
      </w:r>
      <w:r w:rsidR="007F11CF">
        <w:instrText xml:space="preserve"> SEQ Figure \* ARABIC \s 1 </w:instrText>
      </w:r>
      <w:r w:rsidR="007F11CF">
        <w:fldChar w:fldCharType="separate"/>
      </w:r>
      <w:r w:rsidR="00413858">
        <w:rPr>
          <w:noProof/>
        </w:rPr>
        <w:t>2</w:t>
      </w:r>
      <w:r w:rsidR="007F11CF">
        <w:rPr>
          <w:noProof/>
        </w:rPr>
        <w:fldChar w:fldCharType="end"/>
      </w:r>
      <w:bookmarkEnd w:id="1030"/>
      <w:r>
        <w:t xml:space="preserve">. Rockhampton region Fire Danger Rating, 2090 – 50 year ARI (A2 scenario). See </w:t>
      </w:r>
      <w:r w:rsidR="009E1AAE">
        <w:fldChar w:fldCharType="begin"/>
      </w:r>
      <w:r w:rsidR="009E1AAE">
        <w:instrText xml:space="preserve"> REF _Ref354555059 \r \h </w:instrText>
      </w:r>
      <w:r w:rsidR="009E1AAE">
        <w:fldChar w:fldCharType="separate"/>
      </w:r>
      <w:r w:rsidR="00413858">
        <w:t>Appendix B</w:t>
      </w:r>
      <w:r w:rsidR="009E1AAE">
        <w:fldChar w:fldCharType="end"/>
      </w:r>
      <w:r w:rsidR="00401FAD">
        <w:t xml:space="preserve"> </w:t>
      </w:r>
      <w:r>
        <w:t>for a description/discussion of the region of lower confidence (dashed area).</w:t>
      </w:r>
      <w:bookmarkEnd w:id="1031"/>
      <w:bookmarkEnd w:id="1032"/>
      <w:bookmarkEnd w:id="1033"/>
      <w:bookmarkEnd w:id="1034"/>
      <w:bookmarkEnd w:id="1035"/>
      <w:bookmarkEnd w:id="1036"/>
    </w:p>
    <w:p w:rsidR="001E2D14" w:rsidRDefault="001E2D14" w:rsidP="001E2D14">
      <w:pPr>
        <w:pStyle w:val="Bodyblankpage"/>
      </w:pPr>
      <w:r>
        <w:lastRenderedPageBreak/>
        <w:t>This page is intentionally blank</w:t>
      </w:r>
    </w:p>
    <w:p w:rsidR="008237BB" w:rsidRPr="009340CE" w:rsidRDefault="008237BB" w:rsidP="009340CE">
      <w:pPr>
        <w:pStyle w:val="Heading1"/>
      </w:pPr>
      <w:bookmarkStart w:id="1037" w:name="_Toc346261451"/>
      <w:bookmarkStart w:id="1038" w:name="_Ref346628701"/>
      <w:bookmarkStart w:id="1039" w:name="_Toc346632748"/>
      <w:bookmarkStart w:id="1040" w:name="_Toc346632860"/>
      <w:bookmarkStart w:id="1041" w:name="_Toc346632972"/>
      <w:bookmarkStart w:id="1042" w:name="_Toc346633084"/>
      <w:bookmarkStart w:id="1043" w:name="_Toc346633196"/>
      <w:bookmarkStart w:id="1044" w:name="_Toc347401629"/>
      <w:bookmarkStart w:id="1045" w:name="_Toc347401741"/>
      <w:bookmarkStart w:id="1046" w:name="_Toc347401853"/>
      <w:bookmarkStart w:id="1047" w:name="_Toc347401965"/>
      <w:bookmarkStart w:id="1048" w:name="_Toc347402077"/>
      <w:bookmarkStart w:id="1049" w:name="_Ref348959557"/>
      <w:bookmarkStart w:id="1050" w:name="_Toc349055257"/>
      <w:bookmarkStart w:id="1051" w:name="_Toc349055370"/>
      <w:bookmarkStart w:id="1052" w:name="_Toc349055483"/>
      <w:bookmarkStart w:id="1053" w:name="_Toc349055596"/>
      <w:bookmarkStart w:id="1054" w:name="_Toc349055709"/>
      <w:bookmarkStart w:id="1055" w:name="_Toc349116926"/>
      <w:bookmarkStart w:id="1056" w:name="_Toc350330026"/>
      <w:bookmarkStart w:id="1057" w:name="_Toc350344004"/>
      <w:bookmarkStart w:id="1058" w:name="_Toc354404045"/>
      <w:bookmarkStart w:id="1059" w:name="_Toc354492711"/>
      <w:bookmarkStart w:id="1060" w:name="_Toc354492852"/>
      <w:bookmarkStart w:id="1061" w:name="_Toc354492958"/>
      <w:bookmarkStart w:id="1062" w:name="_Toc354493088"/>
      <w:bookmarkStart w:id="1063" w:name="_Toc354493249"/>
      <w:bookmarkStart w:id="1064" w:name="_Toc354493718"/>
      <w:bookmarkStart w:id="1065" w:name="_Toc354494253"/>
      <w:bookmarkStart w:id="1066" w:name="_Toc354494471"/>
      <w:bookmarkStart w:id="1067" w:name="_Toc354494682"/>
      <w:bookmarkStart w:id="1068" w:name="_Toc354494976"/>
      <w:bookmarkStart w:id="1069" w:name="_Toc354497858"/>
      <w:bookmarkStart w:id="1070" w:name="_Toc354561271"/>
      <w:bookmarkStart w:id="1071" w:name="_Toc355249611"/>
      <w:bookmarkStart w:id="1072" w:name="_Ref355249993"/>
      <w:bookmarkStart w:id="1073" w:name="_Ref355249995"/>
      <w:bookmarkStart w:id="1074" w:name="_Toc357586080"/>
      <w:r w:rsidRPr="009340CE">
        <w:lastRenderedPageBreak/>
        <w:t>Storm tide</w:t>
      </w:r>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p>
    <w:p w:rsidR="002F691C" w:rsidRDefault="008237BB" w:rsidP="008237BB">
      <w:pPr>
        <w:pStyle w:val="BodyText"/>
      </w:pPr>
      <w:r>
        <w:t>The low-lying coastal areas in the Rockhampton region lie within a high-risk cyclone zone, and are susceptible to the impacts of storm tide. For example, the Mackay cyclone of 1918</w:t>
      </w:r>
      <w:r w:rsidRPr="00A27813">
        <w:t xml:space="preserve"> caused 2.7</w:t>
      </w:r>
      <w:r>
        <w:t xml:space="preserve"> </w:t>
      </w:r>
      <w:r w:rsidRPr="00A27813">
        <w:t>m waves in Rockhampton</w:t>
      </w:r>
      <w:r w:rsidRPr="00A27813">
        <w:rPr>
          <w:rStyle w:val="FootnoteReference"/>
        </w:rPr>
        <w:footnoteReference w:id="6"/>
      </w:r>
      <w:r w:rsidRPr="00A27813">
        <w:t>.</w:t>
      </w:r>
      <w:r>
        <w:t xml:space="preserve"> Storm tide is a combination of storm surge, wave setup and astronomical tide. Storm tides can impact over 100 km of coastline in a single event, causing significant damage to property and endangering lives (CSIRO, 2003). Storm tide event impact depends on the storm’s characteristics, its track approaching landfall and the coastal geography including bathymetry and topography.</w:t>
      </w:r>
    </w:p>
    <w:p w:rsidR="008237BB" w:rsidRDefault="008237BB" w:rsidP="000538C6">
      <w:pPr>
        <w:pStyle w:val="Heading2"/>
      </w:pPr>
      <w:bookmarkStart w:id="1075" w:name="_Toc341445217"/>
      <w:bookmarkStart w:id="1076" w:name="_Toc346261452"/>
      <w:bookmarkStart w:id="1077" w:name="_Toc346632749"/>
      <w:bookmarkStart w:id="1078" w:name="_Toc346632861"/>
      <w:bookmarkStart w:id="1079" w:name="_Toc346632973"/>
      <w:bookmarkStart w:id="1080" w:name="_Toc346633085"/>
      <w:bookmarkStart w:id="1081" w:name="_Toc346633197"/>
      <w:bookmarkStart w:id="1082" w:name="_Toc347401630"/>
      <w:bookmarkStart w:id="1083" w:name="_Toc347401742"/>
      <w:bookmarkStart w:id="1084" w:name="_Toc347401854"/>
      <w:bookmarkStart w:id="1085" w:name="_Toc347401966"/>
      <w:bookmarkStart w:id="1086" w:name="_Toc347402078"/>
      <w:bookmarkStart w:id="1087" w:name="_Toc349055258"/>
      <w:bookmarkStart w:id="1088" w:name="_Toc349055371"/>
      <w:bookmarkStart w:id="1089" w:name="_Toc349055484"/>
      <w:bookmarkStart w:id="1090" w:name="_Toc349055597"/>
      <w:bookmarkStart w:id="1091" w:name="_Toc349055710"/>
      <w:bookmarkStart w:id="1092" w:name="_Toc349116927"/>
      <w:bookmarkStart w:id="1093" w:name="_Toc350330027"/>
      <w:bookmarkStart w:id="1094" w:name="_Toc350344005"/>
      <w:bookmarkStart w:id="1095" w:name="_Toc354404046"/>
      <w:bookmarkStart w:id="1096" w:name="_Toc354492712"/>
      <w:bookmarkStart w:id="1097" w:name="_Toc354492853"/>
      <w:bookmarkStart w:id="1098" w:name="_Toc354492959"/>
      <w:bookmarkStart w:id="1099" w:name="_Toc354493089"/>
      <w:bookmarkStart w:id="1100" w:name="_Toc354493250"/>
      <w:bookmarkStart w:id="1101" w:name="_Toc354493719"/>
      <w:bookmarkStart w:id="1102" w:name="_Toc354494254"/>
      <w:bookmarkStart w:id="1103" w:name="_Toc354494472"/>
      <w:bookmarkStart w:id="1104" w:name="_Toc354494683"/>
      <w:bookmarkStart w:id="1105" w:name="_Toc354494977"/>
      <w:bookmarkStart w:id="1106" w:name="_Toc354497859"/>
      <w:bookmarkStart w:id="1107" w:name="_Toc354561272"/>
      <w:bookmarkStart w:id="1108" w:name="_Toc355249612"/>
      <w:bookmarkStart w:id="1109" w:name="_Toc357586081"/>
      <w:r w:rsidRPr="009909F5">
        <w:t>M</w:t>
      </w:r>
      <w:r>
        <w:t>ethod</w:t>
      </w:r>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p>
    <w:p w:rsidR="002F691C" w:rsidRDefault="008237BB" w:rsidP="008237BB">
      <w:pPr>
        <w:pStyle w:val="BodyText"/>
      </w:pPr>
      <w:r>
        <w:t>The storm tide</w:t>
      </w:r>
      <w:r w:rsidRPr="00DB0AB3">
        <w:t xml:space="preserve"> data </w:t>
      </w:r>
      <w:r>
        <w:t xml:space="preserve">used in this study were sourced from a national hydrodynamic modelling study of extreme water levels for current climate (Haigh </w:t>
      </w:r>
      <w:r w:rsidRPr="007B6C0C">
        <w:rPr>
          <w:rStyle w:val="Bodytextitalic"/>
        </w:rPr>
        <w:t>et al.,</w:t>
      </w:r>
      <w:r>
        <w:t xml:space="preserve"> 2012) undertaken by the </w:t>
      </w:r>
      <w:r w:rsidRPr="00DB0AB3">
        <w:t>University of Western Australia</w:t>
      </w:r>
      <w:r>
        <w:t xml:space="preserve"> (UWA) for t</w:t>
      </w:r>
      <w:r w:rsidRPr="009E3881">
        <w:t>he Antarctic Climate &amp; Ecosystems Cooper</w:t>
      </w:r>
      <w:r>
        <w:t>ative Research Centre (ACE CRC)</w:t>
      </w:r>
      <w:r w:rsidRPr="00DB0AB3">
        <w:t>. The</w:t>
      </w:r>
      <w:r>
        <w:t xml:space="preserve"> outputs of the ACE CRC study consisted </w:t>
      </w:r>
      <w:r w:rsidRPr="00DB0AB3">
        <w:t>of</w:t>
      </w:r>
      <w:r>
        <w:t xml:space="preserve"> </w:t>
      </w:r>
      <w:r w:rsidRPr="00DB0AB3">
        <w:t>points adjacent to the coastline</w:t>
      </w:r>
      <w:r>
        <w:t xml:space="preserve"> </w:t>
      </w:r>
      <w:r w:rsidRPr="00DB0AB3">
        <w:t>with defin</w:t>
      </w:r>
      <w:r>
        <w:t>ed</w:t>
      </w:r>
      <w:r w:rsidRPr="00DB0AB3">
        <w:t xml:space="preserve"> storm </w:t>
      </w:r>
      <w:r>
        <w:t>tide</w:t>
      </w:r>
      <w:r w:rsidRPr="00DB0AB3">
        <w:t xml:space="preserve"> water level</w:t>
      </w:r>
      <w:r>
        <w:t xml:space="preserve"> </w:t>
      </w:r>
      <w:r w:rsidRPr="00DB0AB3">
        <w:t>heights (</w:t>
      </w:r>
      <w:r>
        <w:t xml:space="preserve">Mean Sea Level (MSL) </w:t>
      </w:r>
      <w:r w:rsidRPr="00DB0AB3">
        <w:t>+</w:t>
      </w:r>
      <w:r>
        <w:t xml:space="preserve"> </w:t>
      </w:r>
      <w:r w:rsidRPr="00DB0AB3">
        <w:t>tide</w:t>
      </w:r>
      <w:r>
        <w:t xml:space="preserve"> </w:t>
      </w:r>
      <w:r w:rsidRPr="00DB0AB3">
        <w:t>+</w:t>
      </w:r>
      <w:r>
        <w:t xml:space="preserve"> storm </w:t>
      </w:r>
      <w:r w:rsidRPr="00DB0AB3">
        <w:t xml:space="preserve">surge) for </w:t>
      </w:r>
      <w:r>
        <w:t>a range of ARIs</w:t>
      </w:r>
      <w:r w:rsidRPr="00DB0AB3">
        <w:t xml:space="preserve">. </w:t>
      </w:r>
      <w:r>
        <w:t>The ACE CRC study distinguished between</w:t>
      </w:r>
      <w:r w:rsidRPr="00DB0AB3">
        <w:t xml:space="preserve"> ext</w:t>
      </w:r>
      <w:r>
        <w:t>ra</w:t>
      </w:r>
      <w:r>
        <w:noBreakHyphen/>
      </w:r>
      <w:r w:rsidRPr="00DB0AB3">
        <w:t>tropical and tropical storm events.</w:t>
      </w:r>
      <w:r>
        <w:t xml:space="preserve"> However, the ACE CRC study did not model a future-climate storm tide hazard. Therefore, to model the impact of climate change on future storm tide hazard, the following sea-level rise scenarios were added to the ARI probability storm tide inundation heights: + 0.3 m (QLD 2050)</w:t>
      </w:r>
      <w:r w:rsidRPr="00A07D36">
        <w:rPr>
          <w:rStyle w:val="FootnoteReference"/>
        </w:rPr>
        <w:t xml:space="preserve"> </w:t>
      </w:r>
      <w:r>
        <w:rPr>
          <w:rStyle w:val="FootnoteReference"/>
        </w:rPr>
        <w:footnoteReference w:id="7"/>
      </w:r>
      <w:r>
        <w:t>, + 0.5 m (QLD 2070), + 0.8 m (QLD 2100), + 1.1 m (FED 2100)</w:t>
      </w:r>
      <w:r>
        <w:rPr>
          <w:rStyle w:val="FootnoteReference"/>
        </w:rPr>
        <w:footnoteReference w:id="8"/>
      </w:r>
      <w:r>
        <w:t>.</w:t>
      </w:r>
    </w:p>
    <w:p w:rsidR="002F691C" w:rsidRDefault="008237BB" w:rsidP="008237BB">
      <w:pPr>
        <w:pStyle w:val="BodyText"/>
      </w:pPr>
      <w:r>
        <w:t>A cluster analysis method was then applied to identify spatial patterns and thereby group similar storm tide heights. Two distinct clusters were identified within the study region: Area A and B (</w:t>
      </w:r>
      <w:r w:rsidR="005D5011">
        <w:fldChar w:fldCharType="begin"/>
      </w:r>
      <w:r w:rsidR="005D5011">
        <w:instrText xml:space="preserve"> REF _Ref354475630 \h </w:instrText>
      </w:r>
      <w:r w:rsidR="005D5011">
        <w:fldChar w:fldCharType="separate"/>
      </w:r>
      <w:r w:rsidR="00413858">
        <w:t xml:space="preserve">Figure </w:t>
      </w:r>
      <w:r w:rsidR="00413858">
        <w:rPr>
          <w:noProof/>
        </w:rPr>
        <w:t>5</w:t>
      </w:r>
      <w:r w:rsidR="00413858">
        <w:t>.</w:t>
      </w:r>
      <w:r w:rsidR="00413858">
        <w:rPr>
          <w:noProof/>
        </w:rPr>
        <w:t>1</w:t>
      </w:r>
      <w:r w:rsidR="005D5011">
        <w:fldChar w:fldCharType="end"/>
      </w:r>
      <w:r>
        <w:t xml:space="preserve"> and </w:t>
      </w:r>
      <w:r w:rsidR="005D5011">
        <w:fldChar w:fldCharType="begin"/>
      </w:r>
      <w:r w:rsidR="005D5011">
        <w:instrText xml:space="preserve"> REF _Ref354475637 \h </w:instrText>
      </w:r>
      <w:r w:rsidR="005D5011">
        <w:fldChar w:fldCharType="separate"/>
      </w:r>
      <w:r w:rsidR="00413858">
        <w:t xml:space="preserve">Figure </w:t>
      </w:r>
      <w:r w:rsidR="00413858">
        <w:rPr>
          <w:noProof/>
        </w:rPr>
        <w:t>5</w:t>
      </w:r>
      <w:r w:rsidR="00413858">
        <w:t>.</w:t>
      </w:r>
      <w:r w:rsidR="00413858">
        <w:rPr>
          <w:noProof/>
        </w:rPr>
        <w:t>2</w:t>
      </w:r>
      <w:r w:rsidR="005D5011">
        <w:fldChar w:fldCharType="end"/>
      </w:r>
      <w:r w:rsidR="005D5011">
        <w:t>)</w:t>
      </w:r>
      <w:r>
        <w:t>. For each cluster area, the mean water height for each ARI probability event was calculated from the contained storm tide points. The mean water height was then utilised to identify inundation extent</w:t>
      </w:r>
      <w:r w:rsidRPr="00A57722">
        <w:t xml:space="preserve">. </w:t>
      </w:r>
      <w:r>
        <w:t>The ‘bath-</w:t>
      </w:r>
      <w:r w:rsidRPr="00A57722">
        <w:t>tub’ metho</w:t>
      </w:r>
      <w:r>
        <w:t xml:space="preserve">d </w:t>
      </w:r>
      <w:r w:rsidRPr="00A27813">
        <w:t>(Eastman, 1993)</w:t>
      </w:r>
      <w:r>
        <w:t xml:space="preserve"> was used to determine the inundation extent. This method identifies the areas onshore that are lower than the mean storm tide level. While a bath-tub method is often used as a first-order approximation, it is a</w:t>
      </w:r>
      <w:r w:rsidR="002F2508">
        <w:t xml:space="preserve"> rudimentary approach. The bath</w:t>
      </w:r>
      <w:r w:rsidR="002F2508">
        <w:noBreakHyphen/>
      </w:r>
      <w:r>
        <w:t>tub method does not consider physical barriers that can prevent inundation, such as small hills or sea walls. This can lead to overestimation of the inundation. Alternately, the bath-tub method does not consider the force and momentum of waves, which can result in this method underestimating the inundation extent.</w:t>
      </w:r>
    </w:p>
    <w:p w:rsidR="002F691C" w:rsidRDefault="008237BB" w:rsidP="008237BB">
      <w:pPr>
        <w:pStyle w:val="BodyText"/>
      </w:pPr>
      <w:r>
        <w:t>The inundation extent was restricted to</w:t>
      </w:r>
      <w:r w:rsidRPr="00A27813">
        <w:t xml:space="preserve"> </w:t>
      </w:r>
      <w:r>
        <w:t>within</w:t>
      </w:r>
      <w:r w:rsidRPr="00A27813">
        <w:t xml:space="preserve"> 4</w:t>
      </w:r>
      <w:r>
        <w:t xml:space="preserve"> </w:t>
      </w:r>
      <w:r w:rsidRPr="00A27813">
        <w:t>km of the coastline</w:t>
      </w:r>
      <w:r>
        <w:t xml:space="preserve">. This limit was applied because </w:t>
      </w:r>
      <w:r w:rsidRPr="00A27813">
        <w:t xml:space="preserve">the </w:t>
      </w:r>
      <w:r>
        <w:t>bath-tub</w:t>
      </w:r>
      <w:r w:rsidRPr="00A27813">
        <w:t xml:space="preserve"> method</w:t>
      </w:r>
      <w:r>
        <w:t>, an approximation of inundation extent,</w:t>
      </w:r>
      <w:r w:rsidRPr="00A27813">
        <w:t xml:space="preserve"> </w:t>
      </w:r>
      <w:r>
        <w:t xml:space="preserve">tends to overestimate inundation in large </w:t>
      </w:r>
      <w:r>
        <w:lastRenderedPageBreak/>
        <w:t>low</w:t>
      </w:r>
      <w:r>
        <w:noBreakHyphen/>
        <w:t>lying areas, such as the lower reaches of the Fitzroy River mouth</w:t>
      </w:r>
      <w:r w:rsidRPr="00A27813">
        <w:t>.</w:t>
      </w:r>
      <w:r>
        <w:t xml:space="preserve"> However, the full extent of the potential inundation, in digital form, has been provided to the Rockhampton Regional Council for consideration.</w:t>
      </w:r>
    </w:p>
    <w:p w:rsidR="008237BB" w:rsidRDefault="008237BB" w:rsidP="000538C6">
      <w:pPr>
        <w:pStyle w:val="Heading2"/>
      </w:pPr>
      <w:bookmarkStart w:id="1110" w:name="_Toc341445218"/>
      <w:bookmarkStart w:id="1111" w:name="_Toc346261453"/>
      <w:bookmarkStart w:id="1112" w:name="_Toc346632750"/>
      <w:bookmarkStart w:id="1113" w:name="_Toc346632862"/>
      <w:bookmarkStart w:id="1114" w:name="_Toc346632974"/>
      <w:bookmarkStart w:id="1115" w:name="_Toc346633086"/>
      <w:bookmarkStart w:id="1116" w:name="_Toc346633198"/>
      <w:bookmarkStart w:id="1117" w:name="_Toc347401631"/>
      <w:bookmarkStart w:id="1118" w:name="_Toc347401743"/>
      <w:bookmarkStart w:id="1119" w:name="_Toc347401855"/>
      <w:bookmarkStart w:id="1120" w:name="_Toc347401967"/>
      <w:bookmarkStart w:id="1121" w:name="_Toc347402079"/>
      <w:bookmarkStart w:id="1122" w:name="_Toc349055259"/>
      <w:bookmarkStart w:id="1123" w:name="_Toc349055372"/>
      <w:bookmarkStart w:id="1124" w:name="_Toc349055485"/>
      <w:bookmarkStart w:id="1125" w:name="_Toc349055598"/>
      <w:bookmarkStart w:id="1126" w:name="_Toc349055711"/>
      <w:bookmarkStart w:id="1127" w:name="_Toc349116928"/>
      <w:bookmarkStart w:id="1128" w:name="_Toc350330028"/>
      <w:bookmarkStart w:id="1129" w:name="_Toc350344006"/>
      <w:bookmarkStart w:id="1130" w:name="_Toc354404047"/>
      <w:bookmarkStart w:id="1131" w:name="_Toc354492713"/>
      <w:bookmarkStart w:id="1132" w:name="_Toc354492854"/>
      <w:bookmarkStart w:id="1133" w:name="_Toc354492960"/>
      <w:bookmarkStart w:id="1134" w:name="_Toc354493090"/>
      <w:bookmarkStart w:id="1135" w:name="_Toc354493251"/>
      <w:bookmarkStart w:id="1136" w:name="_Toc354493720"/>
      <w:bookmarkStart w:id="1137" w:name="_Toc354494255"/>
      <w:bookmarkStart w:id="1138" w:name="_Toc354494473"/>
      <w:bookmarkStart w:id="1139" w:name="_Toc354494684"/>
      <w:bookmarkStart w:id="1140" w:name="_Toc354494978"/>
      <w:bookmarkStart w:id="1141" w:name="_Toc354497860"/>
      <w:bookmarkStart w:id="1142" w:name="_Toc354561273"/>
      <w:bookmarkStart w:id="1143" w:name="_Toc355249613"/>
      <w:bookmarkStart w:id="1144" w:name="_Toc357586082"/>
      <w:r>
        <w:t>Results</w:t>
      </w:r>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p>
    <w:p w:rsidR="008237BB" w:rsidRDefault="008237BB" w:rsidP="008237BB">
      <w:pPr>
        <w:pStyle w:val="BodyText"/>
      </w:pPr>
      <w:r>
        <w:t>To present the range of inundation hazard the lowest (</w:t>
      </w:r>
      <w:r w:rsidR="005D5011">
        <w:fldChar w:fldCharType="begin"/>
      </w:r>
      <w:r w:rsidR="005D5011">
        <w:instrText xml:space="preserve"> REF _Ref354475630 \h </w:instrText>
      </w:r>
      <w:r w:rsidR="005D5011">
        <w:fldChar w:fldCharType="separate"/>
      </w:r>
      <w:r w:rsidR="00413858">
        <w:t xml:space="preserve">Figure </w:t>
      </w:r>
      <w:r w:rsidR="00413858">
        <w:rPr>
          <w:noProof/>
        </w:rPr>
        <w:t>5</w:t>
      </w:r>
      <w:r w:rsidR="00413858">
        <w:t>.</w:t>
      </w:r>
      <w:r w:rsidR="00413858">
        <w:rPr>
          <w:noProof/>
        </w:rPr>
        <w:t>1</w:t>
      </w:r>
      <w:r w:rsidR="005D5011">
        <w:fldChar w:fldCharType="end"/>
      </w:r>
      <w:r>
        <w:t>) and the highest (</w:t>
      </w:r>
      <w:r w:rsidR="005D5011">
        <w:fldChar w:fldCharType="begin"/>
      </w:r>
      <w:r w:rsidR="005D5011">
        <w:instrText xml:space="preserve"> REF _Ref354475637 \h </w:instrText>
      </w:r>
      <w:r w:rsidR="005D5011">
        <w:fldChar w:fldCharType="separate"/>
      </w:r>
      <w:r w:rsidR="00413858">
        <w:t xml:space="preserve">Figure </w:t>
      </w:r>
      <w:r w:rsidR="00413858">
        <w:rPr>
          <w:noProof/>
        </w:rPr>
        <w:t>5</w:t>
      </w:r>
      <w:r w:rsidR="00413858">
        <w:t>.</w:t>
      </w:r>
      <w:r w:rsidR="00413858">
        <w:rPr>
          <w:noProof/>
        </w:rPr>
        <w:t>2</w:t>
      </w:r>
      <w:r w:rsidR="005D5011">
        <w:fldChar w:fldCharType="end"/>
      </w:r>
      <w:r>
        <w:t>) inundation levels are shown. Each figure presents inundation probability from 50 through to 1000 year ARI hazard.</w:t>
      </w:r>
    </w:p>
    <w:p w:rsidR="008237BB" w:rsidRDefault="008237BB" w:rsidP="008237BB">
      <w:pPr>
        <w:pStyle w:val="BodyText"/>
      </w:pPr>
      <w:r>
        <w:t>The supplied hazard maps and digital spatial data covering all the results allow more detailed analysis which identifies the following locations are potentially at risk from impact:</w:t>
      </w:r>
    </w:p>
    <w:p w:rsidR="002F691C" w:rsidRDefault="008237BB" w:rsidP="004B379B">
      <w:pPr>
        <w:pStyle w:val="Bulletlevel1"/>
      </w:pPr>
      <w:r w:rsidRPr="007A4265">
        <w:t>Wetl</w:t>
      </w:r>
      <w:r>
        <w:t>ands, lakes and some buildings we</w:t>
      </w:r>
      <w:r w:rsidRPr="007A4265">
        <w:t xml:space="preserve">re exposed to storm </w:t>
      </w:r>
      <w:r>
        <w:t>tide inundation in both current</w:t>
      </w:r>
      <w:r>
        <w:noBreakHyphen/>
        <w:t>c</w:t>
      </w:r>
      <w:r w:rsidRPr="007A4265">
        <w:t>limate and the 2100 future</w:t>
      </w:r>
      <w:r>
        <w:t>-</w:t>
      </w:r>
      <w:r w:rsidRPr="007A4265">
        <w:t>climate scenario</w:t>
      </w:r>
    </w:p>
    <w:p w:rsidR="008237BB" w:rsidRPr="007A4265" w:rsidRDefault="008237BB" w:rsidP="004B379B">
      <w:pPr>
        <w:pStyle w:val="Bulletlevel1"/>
      </w:pPr>
      <w:r w:rsidRPr="007A4265">
        <w:t xml:space="preserve">Yeppoon-Emu Park </w:t>
      </w:r>
      <w:r>
        <w:t>Road</w:t>
      </w:r>
      <w:r w:rsidRPr="007A4265">
        <w:t xml:space="preserve"> is exposed to storm tide hazard in the current climate. This can very nearly cut the road to the north of Emu Park. The road is cut by storm tide inundation in the 2100 </w:t>
      </w:r>
      <w:r>
        <w:t>future-climate</w:t>
      </w:r>
      <w:r w:rsidRPr="007A4265">
        <w:t xml:space="preserve"> scenario</w:t>
      </w:r>
    </w:p>
    <w:p w:rsidR="008237BB" w:rsidRPr="007A4265" w:rsidRDefault="008237BB" w:rsidP="004B379B">
      <w:pPr>
        <w:pStyle w:val="Bulletlevel1"/>
      </w:pPr>
      <w:r w:rsidRPr="007A4265">
        <w:t xml:space="preserve">Keppel Sands </w:t>
      </w:r>
      <w:r>
        <w:t>Road</w:t>
      </w:r>
      <w:r w:rsidRPr="007A4265">
        <w:t xml:space="preserve"> is exposed to the impacts of storm tide in the 2100 </w:t>
      </w:r>
      <w:r>
        <w:t>future-climate</w:t>
      </w:r>
      <w:r w:rsidRPr="007A4265">
        <w:t xml:space="preserve"> scenario</w:t>
      </w:r>
    </w:p>
    <w:p w:rsidR="008237BB" w:rsidRPr="007A4265" w:rsidRDefault="008237BB" w:rsidP="004B379B">
      <w:pPr>
        <w:pStyle w:val="Bulletlevel1"/>
      </w:pPr>
      <w:r w:rsidRPr="007A4265">
        <w:t xml:space="preserve">Bajool-Port Alma </w:t>
      </w:r>
      <w:r>
        <w:t>Road</w:t>
      </w:r>
      <w:r w:rsidRPr="007A4265">
        <w:t xml:space="preserve"> is exposed to storm tide inundation in current climate. It is increasingly exposed in the future climate with the banks of salt evaporators also being over-topped in the 2100 </w:t>
      </w:r>
      <w:r>
        <w:t>future-climate</w:t>
      </w:r>
      <w:r w:rsidRPr="007A4265">
        <w:t xml:space="preserve"> scenario.</w:t>
      </w:r>
    </w:p>
    <w:p w:rsidR="005D5011" w:rsidRDefault="008237BB" w:rsidP="00481556">
      <w:pPr>
        <w:pStyle w:val="Figuresandimagesleft"/>
      </w:pPr>
      <w:r>
        <w:rPr>
          <w:noProof/>
        </w:rPr>
        <w:drawing>
          <wp:inline distT="0" distB="0" distL="0" distR="0" wp14:anchorId="72ED2D94" wp14:editId="0FFA7357">
            <wp:extent cx="5400675" cy="3600450"/>
            <wp:effectExtent l="0" t="0" r="9525" b="0"/>
            <wp:docPr id="88" name="Picture 88" descr="This figure shows current climate storm tide inundation (50, 100, 250 and 100 year average recurrence interval) to be around the mouth of the Fitzroy river, the Cawarral Creek Fish Habitat Reserve, Emu Park and Yeppoon. The inundation reaches in some cases up to four kilometres inland but note that the inundation extent requires hydrodynamic modelling to confirm the extent of inund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is figure shows current climate storm tide inundation (50, 100, 250 and 100 year average recurrence interval) to be around the mouth of the Fitzroy river, the Cawarral Creek Fish Habitat Reserve, Emu Park and Yeppoon. The inundation reaches in some cases up to four kilometres inland but note that the inundation extent requires hydrodynamic modelling to confirm the extent of inundation.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5D5011" w:rsidRDefault="005D5011" w:rsidP="005D5011">
      <w:pPr>
        <w:pStyle w:val="Caption"/>
      </w:pPr>
      <w:bookmarkStart w:id="1145" w:name="_Ref354475630"/>
      <w:bookmarkStart w:id="1146" w:name="_Toc354476904"/>
      <w:bookmarkStart w:id="1147" w:name="_Toc354477152"/>
      <w:bookmarkStart w:id="1148" w:name="_Toc354493431"/>
      <w:bookmarkStart w:id="1149" w:name="_Toc354493656"/>
      <w:bookmarkStart w:id="1150" w:name="_Toc354494560"/>
      <w:bookmarkStart w:id="1151" w:name="_Toc356489942"/>
      <w:r>
        <w:t xml:space="preserve">Figure </w:t>
      </w:r>
      <w:r w:rsidR="007F11CF">
        <w:fldChar w:fldCharType="begin"/>
      </w:r>
      <w:r w:rsidR="007F11CF">
        <w:instrText xml:space="preserve"> STYLEREF 1 \s </w:instrText>
      </w:r>
      <w:r w:rsidR="007F11CF">
        <w:fldChar w:fldCharType="separate"/>
      </w:r>
      <w:r w:rsidR="00413858">
        <w:rPr>
          <w:noProof/>
        </w:rPr>
        <w:t>5</w:t>
      </w:r>
      <w:r w:rsidR="007F11CF">
        <w:rPr>
          <w:noProof/>
        </w:rPr>
        <w:fldChar w:fldCharType="end"/>
      </w:r>
      <w:r w:rsidR="00356FFD">
        <w:t>.</w:t>
      </w:r>
      <w:r w:rsidR="007F11CF">
        <w:fldChar w:fldCharType="begin"/>
      </w:r>
      <w:r w:rsidR="007F11CF">
        <w:instrText xml:space="preserve"> SEQ Figure \* ARABIC \s 1 </w:instrText>
      </w:r>
      <w:r w:rsidR="007F11CF">
        <w:fldChar w:fldCharType="separate"/>
      </w:r>
      <w:r w:rsidR="00413858">
        <w:rPr>
          <w:noProof/>
        </w:rPr>
        <w:t>1</w:t>
      </w:r>
      <w:r w:rsidR="007F11CF">
        <w:rPr>
          <w:noProof/>
        </w:rPr>
        <w:fldChar w:fldCharType="end"/>
      </w:r>
      <w:bookmarkEnd w:id="1145"/>
      <w:r>
        <w:t>. Current climate - tropical cyclone storm tide inundation.</w:t>
      </w:r>
      <w:bookmarkEnd w:id="1146"/>
      <w:bookmarkEnd w:id="1147"/>
      <w:bookmarkEnd w:id="1148"/>
      <w:bookmarkEnd w:id="1149"/>
      <w:bookmarkEnd w:id="1150"/>
      <w:bookmarkEnd w:id="1151"/>
    </w:p>
    <w:p w:rsidR="005D5011" w:rsidRDefault="008237BB" w:rsidP="00481556">
      <w:pPr>
        <w:pStyle w:val="Figuresandimagesleft"/>
      </w:pPr>
      <w:r>
        <w:rPr>
          <w:noProof/>
        </w:rPr>
        <w:lastRenderedPageBreak/>
        <w:drawing>
          <wp:inline distT="0" distB="0" distL="0" distR="0" wp14:anchorId="16278BBA" wp14:editId="06281E1D">
            <wp:extent cx="5400675" cy="3600450"/>
            <wp:effectExtent l="0" t="0" r="9525" b="0"/>
            <wp:docPr id="87" name="Picture 87" descr="The extent of the future climate storm tide inundation (current climate storm tide for each probability event plus 1.1 metres), is increased upon the current climate storm tide in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e extent of the future climate storm tide inundation (current climate storm tide for each probability event plus 1.1 metres), is increased upon the current climate storm tide inundatio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5D5011" w:rsidRDefault="005D5011" w:rsidP="005D5011">
      <w:pPr>
        <w:pStyle w:val="Caption"/>
      </w:pPr>
      <w:bookmarkStart w:id="1152" w:name="_Ref354475637"/>
      <w:bookmarkStart w:id="1153" w:name="_Toc354476905"/>
      <w:bookmarkStart w:id="1154" w:name="_Toc354477153"/>
      <w:bookmarkStart w:id="1155" w:name="_Toc354493432"/>
      <w:bookmarkStart w:id="1156" w:name="_Toc354493657"/>
      <w:bookmarkStart w:id="1157" w:name="_Toc354494561"/>
      <w:bookmarkStart w:id="1158" w:name="_Toc356489943"/>
      <w:r>
        <w:t xml:space="preserve">Figure </w:t>
      </w:r>
      <w:r w:rsidR="007F11CF">
        <w:fldChar w:fldCharType="begin"/>
      </w:r>
      <w:r w:rsidR="007F11CF">
        <w:instrText xml:space="preserve"> STYLEREF 1 \s </w:instrText>
      </w:r>
      <w:r w:rsidR="007F11CF">
        <w:fldChar w:fldCharType="separate"/>
      </w:r>
      <w:r w:rsidR="00413858">
        <w:rPr>
          <w:noProof/>
        </w:rPr>
        <w:t>5</w:t>
      </w:r>
      <w:r w:rsidR="007F11CF">
        <w:rPr>
          <w:noProof/>
        </w:rPr>
        <w:fldChar w:fldCharType="end"/>
      </w:r>
      <w:r w:rsidR="00356FFD">
        <w:t>.</w:t>
      </w:r>
      <w:r w:rsidR="007F11CF">
        <w:fldChar w:fldCharType="begin"/>
      </w:r>
      <w:r w:rsidR="007F11CF">
        <w:instrText xml:space="preserve"> SEQ Figure \* ARABIC \s 1 </w:instrText>
      </w:r>
      <w:r w:rsidR="007F11CF">
        <w:fldChar w:fldCharType="separate"/>
      </w:r>
      <w:r w:rsidR="00413858">
        <w:rPr>
          <w:noProof/>
        </w:rPr>
        <w:t>2</w:t>
      </w:r>
      <w:r w:rsidR="007F11CF">
        <w:rPr>
          <w:noProof/>
        </w:rPr>
        <w:fldChar w:fldCharType="end"/>
      </w:r>
      <w:bookmarkEnd w:id="1152"/>
      <w:r>
        <w:t>.</w:t>
      </w:r>
      <w:r w:rsidRPr="005D5011">
        <w:t xml:space="preserve"> </w:t>
      </w:r>
      <w:r>
        <w:t>Future-climate - 2100 sea-level rise (1.1 m) combined with tropical cyclone storm-tide inundation.</w:t>
      </w:r>
      <w:bookmarkEnd w:id="1153"/>
      <w:bookmarkEnd w:id="1154"/>
      <w:bookmarkEnd w:id="1155"/>
      <w:bookmarkEnd w:id="1156"/>
      <w:bookmarkEnd w:id="1157"/>
      <w:bookmarkEnd w:id="1158"/>
    </w:p>
    <w:p w:rsidR="009E1AAE" w:rsidRDefault="009E1AAE" w:rsidP="009E1AAE">
      <w:pPr>
        <w:pStyle w:val="Bodyblankpage"/>
      </w:pPr>
      <w:bookmarkStart w:id="1159" w:name="_Toc346261455"/>
      <w:bookmarkStart w:id="1160" w:name="_Toc346632751"/>
      <w:bookmarkStart w:id="1161" w:name="_Toc346632863"/>
      <w:bookmarkStart w:id="1162" w:name="_Toc346632975"/>
      <w:bookmarkStart w:id="1163" w:name="_Toc346633087"/>
      <w:bookmarkStart w:id="1164" w:name="_Toc346633199"/>
      <w:bookmarkStart w:id="1165" w:name="_Toc347401632"/>
      <w:bookmarkStart w:id="1166" w:name="_Toc347401744"/>
      <w:bookmarkStart w:id="1167" w:name="_Toc347401856"/>
      <w:bookmarkStart w:id="1168" w:name="_Toc347401968"/>
      <w:bookmarkStart w:id="1169" w:name="_Toc347402080"/>
      <w:bookmarkStart w:id="1170" w:name="_Toc349055260"/>
      <w:bookmarkStart w:id="1171" w:name="_Toc349055373"/>
      <w:bookmarkStart w:id="1172" w:name="_Toc349055486"/>
      <w:bookmarkStart w:id="1173" w:name="_Toc349055599"/>
      <w:bookmarkStart w:id="1174" w:name="_Toc349055712"/>
      <w:bookmarkStart w:id="1175" w:name="_Toc349116929"/>
      <w:bookmarkStart w:id="1176" w:name="_Toc350330029"/>
      <w:bookmarkStart w:id="1177" w:name="_Toc350344007"/>
      <w:bookmarkStart w:id="1178" w:name="_Toc354404048"/>
      <w:bookmarkStart w:id="1179" w:name="_Toc354492714"/>
      <w:bookmarkStart w:id="1180" w:name="_Toc354492855"/>
      <w:bookmarkStart w:id="1181" w:name="_Toc354492961"/>
      <w:bookmarkStart w:id="1182" w:name="_Toc354493091"/>
      <w:bookmarkStart w:id="1183" w:name="_Toc354493252"/>
      <w:bookmarkStart w:id="1184" w:name="_Toc354493721"/>
      <w:bookmarkStart w:id="1185" w:name="_Toc354494256"/>
      <w:bookmarkStart w:id="1186" w:name="_Toc354494474"/>
      <w:bookmarkStart w:id="1187" w:name="_Toc354494685"/>
      <w:bookmarkStart w:id="1188" w:name="_Toc354494979"/>
      <w:bookmarkStart w:id="1189" w:name="_Toc354497861"/>
      <w:r>
        <w:lastRenderedPageBreak/>
        <w:t>This page is intentionally blank</w:t>
      </w:r>
    </w:p>
    <w:p w:rsidR="008237BB" w:rsidRPr="009340CE" w:rsidRDefault="008237BB" w:rsidP="009340CE">
      <w:pPr>
        <w:pStyle w:val="Heading1"/>
      </w:pPr>
      <w:bookmarkStart w:id="1190" w:name="_Toc354561274"/>
      <w:bookmarkStart w:id="1191" w:name="_Toc355249614"/>
      <w:bookmarkStart w:id="1192" w:name="_Toc357586083"/>
      <w:r w:rsidRPr="009340CE">
        <w:lastRenderedPageBreak/>
        <w:t>Coastal Erosion</w:t>
      </w:r>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p>
    <w:p w:rsidR="008237BB" w:rsidRDefault="008237BB" w:rsidP="008237BB">
      <w:pPr>
        <w:pStyle w:val="BodyText"/>
      </w:pPr>
      <w:r>
        <w:t>Coastal erosion is a naturally occurring process caused by wave and current processes that continually shape the nature and form of the shoreline. Erosion in the coastal zone is both a short-term problem due to the occurrence of storm events and a long-term problem relating to natural and anthropogenic interruptions to sediment supply. The form and fabric of the geomorphic units in the coastal zone determines the rate and extent of erosion. For example, the unconsolidated sediments within dune and barrier systems are easily eroded over short temporal scales (days to weeks) compared with bedrock cliffs that erode across hundreds of kilometres at geological temporal scales. Coastal erosion results in a reduction of beach width and the creation of dune scraps resulting in the loss of beach amenity as well as damage to property. Coastal erosion due to storms events is often followed by a period of beach recovery. However, over the long-term, with sea-level rise and increased storminess, the loss of land eroded in the coastal zone is likely to be permanent.</w:t>
      </w:r>
    </w:p>
    <w:p w:rsidR="002F691C" w:rsidRDefault="008237BB" w:rsidP="008237BB">
      <w:pPr>
        <w:pStyle w:val="BodyText"/>
      </w:pPr>
      <w:r>
        <w:t>For the purpose of this study, coastal erosion was defined as “shoreline recession due to sea erosion causing a permanent loss of land” (DERM, 2012a). This study does not consider the temporary erosion associated with storm events, after which the beach or section of coastline may recover naturally.</w:t>
      </w:r>
    </w:p>
    <w:p w:rsidR="008237BB" w:rsidRDefault="008237BB" w:rsidP="000538C6">
      <w:pPr>
        <w:pStyle w:val="Heading2"/>
      </w:pPr>
      <w:bookmarkStart w:id="1193" w:name="_Toc341445222"/>
      <w:bookmarkStart w:id="1194" w:name="_Toc346261456"/>
      <w:bookmarkStart w:id="1195" w:name="_Toc346632752"/>
      <w:bookmarkStart w:id="1196" w:name="_Toc346632864"/>
      <w:bookmarkStart w:id="1197" w:name="_Toc346632976"/>
      <w:bookmarkStart w:id="1198" w:name="_Toc346633088"/>
      <w:bookmarkStart w:id="1199" w:name="_Toc346633200"/>
      <w:bookmarkStart w:id="1200" w:name="_Toc347401633"/>
      <w:bookmarkStart w:id="1201" w:name="_Toc347401745"/>
      <w:bookmarkStart w:id="1202" w:name="_Toc347401857"/>
      <w:bookmarkStart w:id="1203" w:name="_Toc347401969"/>
      <w:bookmarkStart w:id="1204" w:name="_Toc347402081"/>
      <w:bookmarkStart w:id="1205" w:name="_Toc349055261"/>
      <w:bookmarkStart w:id="1206" w:name="_Toc349055374"/>
      <w:bookmarkStart w:id="1207" w:name="_Toc349055487"/>
      <w:bookmarkStart w:id="1208" w:name="_Toc349055600"/>
      <w:bookmarkStart w:id="1209" w:name="_Toc349055713"/>
      <w:bookmarkStart w:id="1210" w:name="_Toc349116930"/>
      <w:bookmarkStart w:id="1211" w:name="_Toc350330030"/>
      <w:bookmarkStart w:id="1212" w:name="_Toc350344008"/>
      <w:bookmarkStart w:id="1213" w:name="_Toc354404049"/>
      <w:bookmarkStart w:id="1214" w:name="_Toc354492715"/>
      <w:bookmarkStart w:id="1215" w:name="_Toc354492856"/>
      <w:bookmarkStart w:id="1216" w:name="_Toc354492962"/>
      <w:bookmarkStart w:id="1217" w:name="_Toc354493092"/>
      <w:bookmarkStart w:id="1218" w:name="_Toc354493253"/>
      <w:bookmarkStart w:id="1219" w:name="_Toc354493722"/>
      <w:bookmarkStart w:id="1220" w:name="_Toc354494257"/>
      <w:bookmarkStart w:id="1221" w:name="_Toc354494475"/>
      <w:bookmarkStart w:id="1222" w:name="_Toc354494686"/>
      <w:bookmarkStart w:id="1223" w:name="_Toc354494980"/>
      <w:bookmarkStart w:id="1224" w:name="_Toc354497862"/>
      <w:bookmarkStart w:id="1225" w:name="_Toc354561275"/>
      <w:bookmarkStart w:id="1226" w:name="_Toc355249615"/>
      <w:bookmarkStart w:id="1227" w:name="_Toc357586084"/>
      <w:r>
        <w:t>Method</w:t>
      </w:r>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p>
    <w:p w:rsidR="008237BB" w:rsidRDefault="008237BB" w:rsidP="008237BB">
      <w:pPr>
        <w:pStyle w:val="BodyText"/>
      </w:pPr>
      <w:r w:rsidRPr="00EA0A44">
        <w:t xml:space="preserve">The current </w:t>
      </w:r>
      <w:r>
        <w:t>and future-climate</w:t>
      </w:r>
      <w:r w:rsidRPr="00EA0A44">
        <w:t xml:space="preserve"> erosion </w:t>
      </w:r>
      <w:r>
        <w:t>hazard</w:t>
      </w:r>
      <w:r w:rsidRPr="00EA0A44">
        <w:t xml:space="preserve"> </w:t>
      </w:r>
      <w:r>
        <w:t>was</w:t>
      </w:r>
      <w:r w:rsidRPr="00EA0A44">
        <w:t xml:space="preserve"> determined using</w:t>
      </w:r>
      <w:r>
        <w:t xml:space="preserve"> the</w:t>
      </w:r>
      <w:r w:rsidRPr="00EA0A44">
        <w:t xml:space="preserve"> </w:t>
      </w:r>
      <w:r>
        <w:t xml:space="preserve">method provided by </w:t>
      </w:r>
      <w:r w:rsidRPr="00EA0A44">
        <w:t>the Queensland Coastal</w:t>
      </w:r>
      <w:r>
        <w:t xml:space="preserve"> </w:t>
      </w:r>
      <w:r w:rsidRPr="00EA0A44">
        <w:t>Hazards Guideline (</w:t>
      </w:r>
      <w:r>
        <w:t>QCHG, DERM, 2012a</w:t>
      </w:r>
      <w:r w:rsidRPr="00EA0A44">
        <w:t>). The guideline requires erosion prone area widths</w:t>
      </w:r>
      <w:r>
        <w:t xml:space="preserve"> </w:t>
      </w:r>
      <w:r w:rsidRPr="00EA0A44">
        <w:t>to accommodate both short- and long-term erosion for a specific planning period.</w:t>
      </w:r>
      <w:r>
        <w:t xml:space="preserve"> </w:t>
      </w:r>
      <w:r w:rsidRPr="00EA0A44">
        <w:t xml:space="preserve">The </w:t>
      </w:r>
      <w:r>
        <w:t>current-climate erosion overlays</w:t>
      </w:r>
      <w:r w:rsidRPr="00EA0A44">
        <w:t xml:space="preserve"> refer to short-term erosion prone</w:t>
      </w:r>
      <w:r>
        <w:t xml:space="preserve"> areas</w:t>
      </w:r>
      <w:r w:rsidRPr="00EA0A44">
        <w:t>.</w:t>
      </w:r>
    </w:p>
    <w:p w:rsidR="002F691C" w:rsidRDefault="008237BB" w:rsidP="005D5011">
      <w:pPr>
        <w:pStyle w:val="Heading3"/>
      </w:pPr>
      <w:bookmarkStart w:id="1228" w:name="_Toc346632753"/>
      <w:bookmarkStart w:id="1229" w:name="_Toc346632865"/>
      <w:bookmarkStart w:id="1230" w:name="_Toc346632977"/>
      <w:bookmarkStart w:id="1231" w:name="_Toc346633089"/>
      <w:bookmarkStart w:id="1232" w:name="_Toc346633201"/>
      <w:bookmarkStart w:id="1233" w:name="_Toc347401634"/>
      <w:bookmarkStart w:id="1234" w:name="_Toc347401746"/>
      <w:bookmarkStart w:id="1235" w:name="_Toc347401858"/>
      <w:bookmarkStart w:id="1236" w:name="_Toc347401970"/>
      <w:bookmarkStart w:id="1237" w:name="_Toc347402082"/>
      <w:bookmarkStart w:id="1238" w:name="_Toc349055262"/>
      <w:bookmarkStart w:id="1239" w:name="_Toc349055375"/>
      <w:bookmarkStart w:id="1240" w:name="_Toc349055488"/>
      <w:bookmarkStart w:id="1241" w:name="_Toc349055601"/>
      <w:bookmarkStart w:id="1242" w:name="_Toc349055714"/>
      <w:bookmarkStart w:id="1243" w:name="_Toc349116931"/>
      <w:bookmarkStart w:id="1244" w:name="_Toc350330031"/>
      <w:bookmarkStart w:id="1245" w:name="_Toc350344009"/>
      <w:bookmarkStart w:id="1246" w:name="_Toc354401990"/>
      <w:bookmarkStart w:id="1247" w:name="_Toc354476487"/>
      <w:bookmarkStart w:id="1248" w:name="_Toc354492716"/>
      <w:bookmarkStart w:id="1249" w:name="_Toc354492857"/>
      <w:bookmarkStart w:id="1250" w:name="_Toc354492963"/>
      <w:bookmarkStart w:id="1251" w:name="_Toc354493093"/>
      <w:bookmarkStart w:id="1252" w:name="_Toc354493254"/>
      <w:bookmarkStart w:id="1253" w:name="_Toc354493723"/>
      <w:bookmarkStart w:id="1254" w:name="_Toc354494258"/>
      <w:bookmarkStart w:id="1255" w:name="_Toc354494476"/>
      <w:bookmarkStart w:id="1256" w:name="_Toc354494687"/>
      <w:bookmarkStart w:id="1257" w:name="_Toc354494981"/>
      <w:bookmarkStart w:id="1258" w:name="_Toc354497863"/>
      <w:bookmarkStart w:id="1259" w:name="_Toc354561276"/>
      <w:bookmarkStart w:id="1260" w:name="_Toc355249616"/>
      <w:r>
        <w:t>Current Climate</w:t>
      </w:r>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p>
    <w:p w:rsidR="008237BB" w:rsidRDefault="008237BB" w:rsidP="008237BB">
      <w:pPr>
        <w:pStyle w:val="BodyText"/>
      </w:pPr>
      <w:r>
        <w:t>The identification of</w:t>
      </w:r>
      <w:r w:rsidRPr="00C26233">
        <w:t xml:space="preserve"> the </w:t>
      </w:r>
      <w:r>
        <w:t>current-climate coastal hazard was undertaken by making a visual inspection of the coastline using the high resolution digital aerial photography of the Rockhampton region. The purpose was to identify sections of the coastline that were:</w:t>
      </w:r>
    </w:p>
    <w:p w:rsidR="008237BB" w:rsidRDefault="008237BB" w:rsidP="007B6C0C">
      <w:pPr>
        <w:pStyle w:val="Bulletlevel1"/>
      </w:pPr>
      <w:r>
        <w:t>actively eroding ( presence of a dune scrap), or were</w:t>
      </w:r>
    </w:p>
    <w:p w:rsidR="008237BB" w:rsidRDefault="008237BB" w:rsidP="007B6C0C">
      <w:pPr>
        <w:pStyle w:val="Bulletlevel1"/>
      </w:pPr>
      <w:r>
        <w:t>currently protected by a hard engineering structure (e.g. rip-rap wall or sea wall).</w:t>
      </w:r>
    </w:p>
    <w:p w:rsidR="002F691C" w:rsidRDefault="008237BB" w:rsidP="008237BB">
      <w:pPr>
        <w:pStyle w:val="BodyText"/>
      </w:pPr>
      <w:r>
        <w:t xml:space="preserve">In addition, a historical shoreline analysis was undertaken to identify any underlying coastal erosion trends not captured by the first step. The shoreline, defined as the vegetation boundary for ease of identification on the historical black and white photographs was digitised (scale 1:86,000) from </w:t>
      </w:r>
      <w:r w:rsidRPr="00C26233">
        <w:t>two series of historical aerial photograph</w:t>
      </w:r>
      <w:r>
        <w:t xml:space="preserve">s </w:t>
      </w:r>
      <w:r w:rsidRPr="00C26233">
        <w:t>(captured 05/1961 and 06/1964)</w:t>
      </w:r>
      <w:r>
        <w:t xml:space="preserve">. The location of the historical shoreline was then </w:t>
      </w:r>
      <w:r w:rsidRPr="00C26233">
        <w:t>compared</w:t>
      </w:r>
      <w:r>
        <w:t xml:space="preserve"> to the present shoreline from the 2</w:t>
      </w:r>
      <w:r w:rsidRPr="00C26233">
        <w:t>010 image of the</w:t>
      </w:r>
      <w:r>
        <w:t xml:space="preserve"> </w:t>
      </w:r>
      <w:r w:rsidRPr="00C26233">
        <w:t xml:space="preserve">Rockhampton </w:t>
      </w:r>
      <w:r w:rsidRPr="00C26233">
        <w:lastRenderedPageBreak/>
        <w:t>coastline</w:t>
      </w:r>
      <w:r>
        <w:t xml:space="preserve"> (10 </w:t>
      </w:r>
      <w:r>
        <w:noBreakHyphen/>
        <w:t> 50 cm horizontal resolution)</w:t>
      </w:r>
      <w:r w:rsidRPr="00C26233">
        <w:t>.</w:t>
      </w:r>
      <w:r>
        <w:t xml:space="preserve"> This comparison enabled the identification of sections of the coastline that have experienced coastal recession or accretion</w:t>
      </w:r>
      <w:r>
        <w:rPr>
          <w:rStyle w:val="FootnoteReference"/>
        </w:rPr>
        <w:footnoteReference w:id="9"/>
      </w:r>
      <w:r>
        <w:t xml:space="preserve"> during this time period.</w:t>
      </w:r>
    </w:p>
    <w:p w:rsidR="008237BB" w:rsidRDefault="008237BB" w:rsidP="008237BB">
      <w:pPr>
        <w:pStyle w:val="BodyText"/>
      </w:pPr>
      <w:r>
        <w:t xml:space="preserve">The </w:t>
      </w:r>
      <w:r w:rsidRPr="00C26233">
        <w:t xml:space="preserve">current coastline was then digitised from the </w:t>
      </w:r>
      <w:r>
        <w:t xml:space="preserve">2010 </w:t>
      </w:r>
      <w:r w:rsidRPr="00C26233">
        <w:t>aerial photography and buffers applied</w:t>
      </w:r>
      <w:r>
        <w:t xml:space="preserve"> to eroding sections of coast to represent the areal extent of coastal erosion hazard under current climate</w:t>
      </w:r>
      <w:r w:rsidRPr="00C26233">
        <w:t xml:space="preserve"> as described </w:t>
      </w:r>
      <w:r>
        <w:t>by the QCHG</w:t>
      </w:r>
      <w:r w:rsidRPr="00C26233">
        <w:t>.</w:t>
      </w:r>
    </w:p>
    <w:p w:rsidR="008237BB" w:rsidRDefault="008237BB" w:rsidP="005D5011">
      <w:pPr>
        <w:pStyle w:val="Heading3"/>
      </w:pPr>
      <w:bookmarkStart w:id="1261" w:name="_Toc346632754"/>
      <w:bookmarkStart w:id="1262" w:name="_Toc346632866"/>
      <w:bookmarkStart w:id="1263" w:name="_Toc346632978"/>
      <w:bookmarkStart w:id="1264" w:name="_Toc346633090"/>
      <w:bookmarkStart w:id="1265" w:name="_Toc346633202"/>
      <w:bookmarkStart w:id="1266" w:name="_Toc347401635"/>
      <w:bookmarkStart w:id="1267" w:name="_Toc347401747"/>
      <w:bookmarkStart w:id="1268" w:name="_Toc347401859"/>
      <w:bookmarkStart w:id="1269" w:name="_Toc347401971"/>
      <w:bookmarkStart w:id="1270" w:name="_Toc347402083"/>
      <w:bookmarkStart w:id="1271" w:name="_Toc349055263"/>
      <w:bookmarkStart w:id="1272" w:name="_Toc349055376"/>
      <w:bookmarkStart w:id="1273" w:name="_Toc349055489"/>
      <w:bookmarkStart w:id="1274" w:name="_Toc349055602"/>
      <w:bookmarkStart w:id="1275" w:name="_Toc349055715"/>
      <w:bookmarkStart w:id="1276" w:name="_Toc349116932"/>
      <w:bookmarkStart w:id="1277" w:name="_Toc350330032"/>
      <w:bookmarkStart w:id="1278" w:name="_Toc350344010"/>
      <w:bookmarkStart w:id="1279" w:name="_Toc354401991"/>
      <w:bookmarkStart w:id="1280" w:name="_Toc354476488"/>
      <w:bookmarkStart w:id="1281" w:name="_Toc354492717"/>
      <w:bookmarkStart w:id="1282" w:name="_Toc354492858"/>
      <w:bookmarkStart w:id="1283" w:name="_Toc354492964"/>
      <w:bookmarkStart w:id="1284" w:name="_Toc354493094"/>
      <w:bookmarkStart w:id="1285" w:name="_Toc354493255"/>
      <w:bookmarkStart w:id="1286" w:name="_Toc354493724"/>
      <w:bookmarkStart w:id="1287" w:name="_Toc354494259"/>
      <w:bookmarkStart w:id="1288" w:name="_Toc354494477"/>
      <w:bookmarkStart w:id="1289" w:name="_Toc354494688"/>
      <w:bookmarkStart w:id="1290" w:name="_Toc354494982"/>
      <w:bookmarkStart w:id="1291" w:name="_Toc354497864"/>
      <w:bookmarkStart w:id="1292" w:name="_Toc354561277"/>
      <w:bookmarkStart w:id="1293" w:name="_Toc355249617"/>
      <w:r>
        <w:t>Future Climate</w:t>
      </w:r>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p>
    <w:p w:rsidR="008237BB" w:rsidRDefault="008237BB" w:rsidP="008237BB">
      <w:pPr>
        <w:pStyle w:val="BodyText"/>
      </w:pPr>
      <w:r w:rsidRPr="007305F8">
        <w:t>There is considerable debate within the coastal science community about whether or not rising sea levels due to climate change will increase rates of coastal erosion. Sea</w:t>
      </w:r>
      <w:r>
        <w:t>-</w:t>
      </w:r>
      <w:r w:rsidRPr="007305F8">
        <w:t>level rise does not itself cause coastal erosion as there is too little energy associated with it to mobilise sediment, but rather the higher water level allows wave action to impact higher on the beach resulting in sediment being transported seaward</w:t>
      </w:r>
      <w:r>
        <w:t xml:space="preserve">. </w:t>
      </w:r>
      <w:r w:rsidRPr="007305F8">
        <w:t>To date</w:t>
      </w:r>
      <w:r>
        <w:t>,</w:t>
      </w:r>
      <w:r w:rsidRPr="007305F8">
        <w:t xml:space="preserve"> a simple empirical relationship developed by Per Bruun in the 1950’s </w:t>
      </w:r>
      <w:r>
        <w:t xml:space="preserve">(Bruun, 1962) </w:t>
      </w:r>
      <w:r w:rsidRPr="007305F8">
        <w:t>has dominated the prediction of the impacts of sea</w:t>
      </w:r>
      <w:r>
        <w:t>-</w:t>
      </w:r>
      <w:r w:rsidRPr="007305F8">
        <w:t>level rise on sandy beaches. This model estimates the expected coastal erosion, as shoreline retreat, to be approximately 100 times that of t</w:t>
      </w:r>
      <w:r w:rsidR="00604F6A">
        <w:t>he observed rate of sea</w:t>
      </w:r>
      <w:r w:rsidR="00604F6A">
        <w:noBreakHyphen/>
      </w:r>
      <w:r w:rsidRPr="007305F8">
        <w:t>level rise. For example, a rise in sea level of 1</w:t>
      </w:r>
      <w:r>
        <w:t> </w:t>
      </w:r>
      <w:r w:rsidRPr="007305F8">
        <w:t>m will result in a corresponding erosion of the shoreline by 100</w:t>
      </w:r>
      <w:r>
        <w:t> </w:t>
      </w:r>
      <w:r w:rsidRPr="007305F8">
        <w:t>m. Whilst this simple relationship forms the basis of many coastal planning and beach nourishment program, it has never been validated on open coast beach systems</w:t>
      </w:r>
      <w:r>
        <w:t xml:space="preserve"> or macro-tidal beach systems that exist along the Rockhampton Regional Council coast. This, coupled with the absence of any process studies for these beach types, led to the application of the methodology proposed by the </w:t>
      </w:r>
      <w:r w:rsidRPr="00C47EF8">
        <w:t>Queensland Department of Environment and Heritage Protection (DERM, 2012a)</w:t>
      </w:r>
      <w:r>
        <w:t>.</w:t>
      </w:r>
    </w:p>
    <w:p w:rsidR="00F805E1" w:rsidRDefault="008237BB" w:rsidP="008237BB">
      <w:pPr>
        <w:pStyle w:val="BodyText"/>
      </w:pPr>
      <w:r>
        <w:t>Applying the QCHG long</w:t>
      </w:r>
      <w:r>
        <w:noBreakHyphen/>
        <w:t>term erosion method, the Queensland Department of Environment and Heritage Protection had identified the exposed coastline and produced a table</w:t>
      </w:r>
      <w:r w:rsidR="00485602">
        <w:t xml:space="preserve"> (</w:t>
      </w:r>
      <w:r w:rsidR="00485602">
        <w:fldChar w:fldCharType="begin"/>
      </w:r>
      <w:r w:rsidR="00485602">
        <w:instrText xml:space="preserve"> REF _Ref354581578 \h </w:instrText>
      </w:r>
      <w:r w:rsidR="00485602">
        <w:fldChar w:fldCharType="separate"/>
      </w:r>
      <w:r w:rsidR="00413858">
        <w:t xml:space="preserve">Appendix Table </w:t>
      </w:r>
      <w:r w:rsidR="00413858">
        <w:rPr>
          <w:noProof/>
        </w:rPr>
        <w:t>D</w:t>
      </w:r>
      <w:r w:rsidR="00413858">
        <w:t>.</w:t>
      </w:r>
      <w:r w:rsidR="00413858">
        <w:rPr>
          <w:noProof/>
        </w:rPr>
        <w:t>1</w:t>
      </w:r>
      <w:r w:rsidR="00485602">
        <w:fldChar w:fldCharType="end"/>
      </w:r>
      <w:r w:rsidR="00485602">
        <w:t>)</w:t>
      </w:r>
      <w:r>
        <w:t xml:space="preserve"> containing the modelled coastal erosion distances for the </w:t>
      </w:r>
      <w:r w:rsidRPr="005C26CA">
        <w:t>Rockhampton Regional Council</w:t>
      </w:r>
      <w:r>
        <w:t xml:space="preserve"> coastline. T</w:t>
      </w:r>
      <w:r w:rsidRPr="00D33ACE">
        <w:t>he coastline segment, identified in each row of the table,</w:t>
      </w:r>
      <w:r>
        <w:t xml:space="preserve"> was then matched</w:t>
      </w:r>
      <w:r w:rsidRPr="00D33ACE">
        <w:t xml:space="preserve"> to the coastline spatial data and buffered the coastline with the identified erosion distances.</w:t>
      </w:r>
      <w:r w:rsidR="00F805E1">
        <w:br w:type="page"/>
      </w:r>
    </w:p>
    <w:p w:rsidR="008237BB" w:rsidRPr="00F805E1" w:rsidRDefault="008237BB" w:rsidP="00F805E1">
      <w:pPr>
        <w:pStyle w:val="Heading2"/>
      </w:pPr>
      <w:bookmarkStart w:id="1294" w:name="_Toc341445223"/>
      <w:bookmarkStart w:id="1295" w:name="_Toc346261457"/>
      <w:bookmarkStart w:id="1296" w:name="_Toc346632755"/>
      <w:bookmarkStart w:id="1297" w:name="_Toc346632867"/>
      <w:bookmarkStart w:id="1298" w:name="_Toc346632979"/>
      <w:bookmarkStart w:id="1299" w:name="_Toc346633091"/>
      <w:bookmarkStart w:id="1300" w:name="_Toc346633203"/>
      <w:bookmarkStart w:id="1301" w:name="_Toc347401636"/>
      <w:bookmarkStart w:id="1302" w:name="_Toc347401748"/>
      <w:bookmarkStart w:id="1303" w:name="_Toc347401860"/>
      <w:bookmarkStart w:id="1304" w:name="_Toc347401972"/>
      <w:bookmarkStart w:id="1305" w:name="_Toc347402084"/>
      <w:bookmarkStart w:id="1306" w:name="_Toc349055264"/>
      <w:bookmarkStart w:id="1307" w:name="_Toc349055377"/>
      <w:bookmarkStart w:id="1308" w:name="_Toc349055490"/>
      <w:bookmarkStart w:id="1309" w:name="_Toc349055603"/>
      <w:bookmarkStart w:id="1310" w:name="_Toc349055716"/>
      <w:bookmarkStart w:id="1311" w:name="_Toc349116933"/>
      <w:bookmarkStart w:id="1312" w:name="_Toc350330033"/>
      <w:bookmarkStart w:id="1313" w:name="_Toc350344011"/>
      <w:bookmarkStart w:id="1314" w:name="_Toc354404050"/>
      <w:bookmarkStart w:id="1315" w:name="_Toc354492718"/>
      <w:bookmarkStart w:id="1316" w:name="_Toc354492859"/>
      <w:bookmarkStart w:id="1317" w:name="_Toc354492965"/>
      <w:bookmarkStart w:id="1318" w:name="_Toc354493095"/>
      <w:bookmarkStart w:id="1319" w:name="_Toc354493256"/>
      <w:bookmarkStart w:id="1320" w:name="_Toc354493725"/>
      <w:bookmarkStart w:id="1321" w:name="_Toc354494260"/>
      <w:bookmarkStart w:id="1322" w:name="_Toc354494478"/>
      <w:bookmarkStart w:id="1323" w:name="_Toc354494689"/>
      <w:bookmarkStart w:id="1324" w:name="_Toc354494983"/>
      <w:bookmarkStart w:id="1325" w:name="_Toc354497865"/>
      <w:bookmarkStart w:id="1326" w:name="_Toc354561278"/>
      <w:bookmarkStart w:id="1327" w:name="_Toc355249618"/>
      <w:bookmarkStart w:id="1328" w:name="_Toc357586085"/>
      <w:r w:rsidRPr="00F805E1">
        <w:lastRenderedPageBreak/>
        <w:t>Results</w:t>
      </w:r>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p>
    <w:p w:rsidR="008237BB" w:rsidRDefault="008237BB" w:rsidP="008237BB">
      <w:pPr>
        <w:pStyle w:val="BodyText"/>
      </w:pPr>
      <w:r>
        <w:t>Under current climate approximately 0.6 km</w:t>
      </w:r>
      <w:r w:rsidRPr="00055DCB">
        <w:rPr>
          <w:rStyle w:val="Superscript"/>
        </w:rPr>
        <w:t>2</w:t>
      </w:r>
      <w:r>
        <w:t xml:space="preserve"> of shoreline was identified as exposed to the erosion hazard. Under a future climate this estimate increases to 47.3 km</w:t>
      </w:r>
      <w:r w:rsidRPr="00055DCB">
        <w:rPr>
          <w:rStyle w:val="Superscript"/>
        </w:rPr>
        <w:t>2</w:t>
      </w:r>
      <w:r>
        <w:t xml:space="preserve"> of the shoreline being identified as exposed to the coastal erosion hazard.</w:t>
      </w:r>
    </w:p>
    <w:p w:rsidR="005D5011" w:rsidRDefault="008237BB" w:rsidP="00481556">
      <w:pPr>
        <w:pStyle w:val="Figuresandimagesleft"/>
      </w:pPr>
      <w:r>
        <w:rPr>
          <w:noProof/>
        </w:rPr>
        <w:drawing>
          <wp:inline distT="0" distB="0" distL="0" distR="0" wp14:anchorId="4C17F336" wp14:editId="4DDA2CB1">
            <wp:extent cx="5400675" cy="3600450"/>
            <wp:effectExtent l="0" t="0" r="9525" b="0"/>
            <wp:docPr id="86" name="Picture 86" descr="The current climate coastal erosion hazard has been identifed in the regions of Keppel Sands, Emu Park and Yeppo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e current climate coastal erosion hazard has been identifed in the regions of Keppel Sands, Emu Park and Yeppoon.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5D5011" w:rsidP="005D5011">
      <w:pPr>
        <w:pStyle w:val="Caption"/>
      </w:pPr>
      <w:bookmarkStart w:id="1329" w:name="_Ref355184211"/>
      <w:bookmarkStart w:id="1330" w:name="_Toc354476906"/>
      <w:bookmarkStart w:id="1331" w:name="_Toc354477154"/>
      <w:bookmarkStart w:id="1332" w:name="_Toc354493433"/>
      <w:bookmarkStart w:id="1333" w:name="_Toc354493658"/>
      <w:bookmarkStart w:id="1334" w:name="_Toc354494562"/>
      <w:bookmarkStart w:id="1335" w:name="_Toc356489944"/>
      <w:r>
        <w:t xml:space="preserve">Figure </w:t>
      </w:r>
      <w:r w:rsidR="007F11CF">
        <w:fldChar w:fldCharType="begin"/>
      </w:r>
      <w:r w:rsidR="007F11CF">
        <w:instrText xml:space="preserve"> STYLEREF 1 \s </w:instrText>
      </w:r>
      <w:r w:rsidR="007F11CF">
        <w:fldChar w:fldCharType="separate"/>
      </w:r>
      <w:r w:rsidR="00413858">
        <w:rPr>
          <w:noProof/>
        </w:rPr>
        <w:t>6</w:t>
      </w:r>
      <w:r w:rsidR="007F11CF">
        <w:rPr>
          <w:noProof/>
        </w:rPr>
        <w:fldChar w:fldCharType="end"/>
      </w:r>
      <w:r w:rsidR="00356FFD">
        <w:t>.</w:t>
      </w:r>
      <w:r w:rsidR="007F11CF">
        <w:fldChar w:fldCharType="begin"/>
      </w:r>
      <w:r w:rsidR="007F11CF">
        <w:instrText xml:space="preserve"> SEQ Figure \* ARABIC \s 1 </w:instrText>
      </w:r>
      <w:r w:rsidR="007F11CF">
        <w:fldChar w:fldCharType="separate"/>
      </w:r>
      <w:r w:rsidR="00413858">
        <w:rPr>
          <w:noProof/>
        </w:rPr>
        <w:t>1</w:t>
      </w:r>
      <w:r w:rsidR="007F11CF">
        <w:rPr>
          <w:noProof/>
        </w:rPr>
        <w:fldChar w:fldCharType="end"/>
      </w:r>
      <w:bookmarkEnd w:id="1329"/>
      <w:r>
        <w:t>. Current-climate coastal erosion exposed coastline</w:t>
      </w:r>
      <w:r>
        <w:rPr>
          <w:rStyle w:val="FootnoteReference"/>
        </w:rPr>
        <w:footnoteReference w:id="10"/>
      </w:r>
      <w:r>
        <w:t>.</w:t>
      </w:r>
      <w:bookmarkEnd w:id="1330"/>
      <w:bookmarkEnd w:id="1331"/>
      <w:bookmarkEnd w:id="1332"/>
      <w:bookmarkEnd w:id="1333"/>
      <w:bookmarkEnd w:id="1334"/>
      <w:bookmarkEnd w:id="1335"/>
    </w:p>
    <w:p w:rsidR="008237BB" w:rsidRDefault="008237BB" w:rsidP="000538C6">
      <w:pPr>
        <w:pStyle w:val="Heading2"/>
      </w:pPr>
      <w:bookmarkStart w:id="1336" w:name="_Toc347401637"/>
      <w:bookmarkStart w:id="1337" w:name="_Toc347401749"/>
      <w:bookmarkStart w:id="1338" w:name="_Toc347401861"/>
      <w:bookmarkStart w:id="1339" w:name="_Toc347401973"/>
      <w:bookmarkStart w:id="1340" w:name="_Toc347402085"/>
      <w:bookmarkStart w:id="1341" w:name="_Toc349055265"/>
      <w:bookmarkStart w:id="1342" w:name="_Toc349055378"/>
      <w:bookmarkStart w:id="1343" w:name="_Toc349055491"/>
      <w:bookmarkStart w:id="1344" w:name="_Toc349055604"/>
      <w:bookmarkStart w:id="1345" w:name="_Toc349055717"/>
      <w:bookmarkStart w:id="1346" w:name="_Toc349116934"/>
      <w:bookmarkStart w:id="1347" w:name="_Toc350330034"/>
      <w:bookmarkStart w:id="1348" w:name="_Toc350344012"/>
      <w:bookmarkStart w:id="1349" w:name="_Toc354404051"/>
      <w:bookmarkStart w:id="1350" w:name="_Toc354492719"/>
      <w:bookmarkStart w:id="1351" w:name="_Toc354492860"/>
      <w:bookmarkStart w:id="1352" w:name="_Toc354492966"/>
      <w:bookmarkStart w:id="1353" w:name="_Toc354493096"/>
      <w:bookmarkStart w:id="1354" w:name="_Toc354493257"/>
      <w:bookmarkStart w:id="1355" w:name="_Toc354493726"/>
      <w:bookmarkStart w:id="1356" w:name="_Toc354494261"/>
      <w:bookmarkStart w:id="1357" w:name="_Toc354494479"/>
      <w:bookmarkStart w:id="1358" w:name="_Toc354494690"/>
      <w:bookmarkStart w:id="1359" w:name="_Toc354494984"/>
      <w:bookmarkStart w:id="1360" w:name="_Toc354497866"/>
      <w:bookmarkStart w:id="1361" w:name="_Toc354561279"/>
      <w:bookmarkStart w:id="1362" w:name="_Toc355249619"/>
      <w:bookmarkStart w:id="1363" w:name="_Toc357586086"/>
      <w:r>
        <w:t>Discussion</w:t>
      </w:r>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p>
    <w:p w:rsidR="008237BB" w:rsidRDefault="008237BB" w:rsidP="008237BB">
      <w:pPr>
        <w:pStyle w:val="BodyText"/>
      </w:pPr>
      <w:r>
        <w:t>The current-climate exposure to coastal erosion is largely confined to the following:</w:t>
      </w:r>
    </w:p>
    <w:p w:rsidR="008237BB" w:rsidRDefault="008237BB" w:rsidP="007B6C0C">
      <w:pPr>
        <w:pStyle w:val="Bulletlevel1"/>
      </w:pPr>
      <w:r>
        <w:t>East facing sections of the coastline directly open to the prevailing wave climate, e.g. Rocky Point Beach and the northern section of Long Beach.</w:t>
      </w:r>
    </w:p>
    <w:p w:rsidR="008237BB" w:rsidRDefault="008237BB" w:rsidP="007B6C0C">
      <w:pPr>
        <w:pStyle w:val="Bulletlevel1"/>
      </w:pPr>
      <w:r>
        <w:t>The southern sections of the predominantly east to east-north-east facing beaches due to wave refraction by the southern headlands concentrating the wave energy, e.g. Tanby Point. This is a natural phenomenon and will continue under current-climate conditions.</w:t>
      </w:r>
    </w:p>
    <w:p w:rsidR="008237BB" w:rsidRDefault="008237BB" w:rsidP="007B6C0C">
      <w:pPr>
        <w:pStyle w:val="Bulletlevel1"/>
      </w:pPr>
      <w:r>
        <w:t>Beaches where there has been significant anthropogenic activity resulting in the loss of sediment from the beach system, and often leading to the construction of hard engineering structures to prevent further losses; e.g. the southern section of Farnborough Beach.</w:t>
      </w:r>
    </w:p>
    <w:p w:rsidR="005D5011" w:rsidRDefault="008237BB" w:rsidP="00481556">
      <w:pPr>
        <w:pStyle w:val="Figuresandimagesleft"/>
      </w:pPr>
      <w:r>
        <w:rPr>
          <w:noProof/>
        </w:rPr>
        <w:lastRenderedPageBreak/>
        <w:drawing>
          <wp:inline distT="0" distB="0" distL="0" distR="0" wp14:anchorId="45F1667B" wp14:editId="58F550E7">
            <wp:extent cx="5400675" cy="3600450"/>
            <wp:effectExtent l="0" t="0" r="9525" b="0"/>
            <wp:docPr id="85" name="Picture 85" descr="The extent of the future climate coastal erosion hazard extends for the majority of the coastline within the stud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e extent of the future climate coastal erosion hazard extends for the majority of the coastline within the study region.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5D5011" w:rsidP="005D5011">
      <w:pPr>
        <w:pStyle w:val="Caption"/>
      </w:pPr>
      <w:bookmarkStart w:id="1364" w:name="_Toc354476907"/>
      <w:bookmarkStart w:id="1365" w:name="_Toc354477155"/>
      <w:bookmarkStart w:id="1366" w:name="_Toc354493434"/>
      <w:bookmarkStart w:id="1367" w:name="_Toc354493659"/>
      <w:bookmarkStart w:id="1368" w:name="_Toc354494563"/>
      <w:bookmarkStart w:id="1369" w:name="_Toc356489945"/>
      <w:r>
        <w:t xml:space="preserve">Figure </w:t>
      </w:r>
      <w:r w:rsidR="007F11CF">
        <w:fldChar w:fldCharType="begin"/>
      </w:r>
      <w:r w:rsidR="007F11CF">
        <w:instrText xml:space="preserve"> STYLEREF 1 \s </w:instrText>
      </w:r>
      <w:r w:rsidR="007F11CF">
        <w:fldChar w:fldCharType="separate"/>
      </w:r>
      <w:r w:rsidR="00413858">
        <w:rPr>
          <w:noProof/>
        </w:rPr>
        <w:t>6</w:t>
      </w:r>
      <w:r w:rsidR="007F11CF">
        <w:rPr>
          <w:noProof/>
        </w:rPr>
        <w:fldChar w:fldCharType="end"/>
      </w:r>
      <w:r w:rsidR="00356FFD">
        <w:t>.</w:t>
      </w:r>
      <w:r w:rsidR="007F11CF">
        <w:fldChar w:fldCharType="begin"/>
      </w:r>
      <w:r w:rsidR="007F11CF">
        <w:instrText xml:space="preserve"> SEQ Figure \* ARABIC \s 1 </w:instrText>
      </w:r>
      <w:r w:rsidR="007F11CF">
        <w:fldChar w:fldCharType="separate"/>
      </w:r>
      <w:r w:rsidR="00413858">
        <w:rPr>
          <w:noProof/>
        </w:rPr>
        <w:t>2</w:t>
      </w:r>
      <w:r w:rsidR="007F11CF">
        <w:rPr>
          <w:noProof/>
        </w:rPr>
        <w:fldChar w:fldCharType="end"/>
      </w:r>
      <w:r>
        <w:t>. Future-climate (2100) coastal erosion exposed coastline</w:t>
      </w:r>
      <w:r>
        <w:rPr>
          <w:rStyle w:val="FootnoteReference"/>
        </w:rPr>
        <w:footnoteReference w:id="11"/>
      </w:r>
      <w:r>
        <w:t>.</w:t>
      </w:r>
      <w:bookmarkEnd w:id="1364"/>
      <w:bookmarkEnd w:id="1365"/>
      <w:bookmarkEnd w:id="1366"/>
      <w:bookmarkEnd w:id="1367"/>
      <w:bookmarkEnd w:id="1368"/>
      <w:bookmarkEnd w:id="1369"/>
    </w:p>
    <w:p w:rsidR="008237BB" w:rsidRDefault="008237BB" w:rsidP="008237BB">
      <w:pPr>
        <w:pStyle w:val="BodyText"/>
      </w:pPr>
      <w:r>
        <w:t>The results show that the extent of shoreline exposed to the erosion hazard increases significantly with the future climate. This includes areas with existing development, e.g. Bangalee, Yeppoon (including the Yeppoon-Byfield Road), the Yeppoon-Emu Park Road and Emu Park.</w:t>
      </w:r>
    </w:p>
    <w:p w:rsidR="008237BB" w:rsidRDefault="008237BB" w:rsidP="008237BB">
      <w:pPr>
        <w:pStyle w:val="BodyText"/>
      </w:pPr>
      <w:r>
        <w:t xml:space="preserve">There have been very few studies of the macrotidal beaches in the southern and central part of Queensland (e.g. </w:t>
      </w:r>
      <w:r w:rsidRPr="006F7DF2">
        <w:t xml:space="preserve">Brooke </w:t>
      </w:r>
      <w:r w:rsidRPr="009E1AAE">
        <w:rPr>
          <w:rStyle w:val="Bodytextitalic"/>
        </w:rPr>
        <w:t>et al,</w:t>
      </w:r>
      <w:r w:rsidRPr="006F7DF2">
        <w:t xml:space="preserve"> 200</w:t>
      </w:r>
      <w:r>
        <w:t xml:space="preserve">8; Webster and Ford, 2010); of those undertaken even fewer have attempted to model them (Masselink, 1993; Masselink and Short, 1993; Masselink and Hegge, 1995). As a consequence there is considerable uncertainty around how the beaches within the </w:t>
      </w:r>
      <w:r w:rsidRPr="005C26CA">
        <w:t>Rockhampton Regional Council</w:t>
      </w:r>
      <w:r>
        <w:t xml:space="preserve"> LGA will respond to the impacts of climate change.</w:t>
      </w:r>
      <w:r w:rsidRPr="00C47EF8">
        <w:t xml:space="preserve"> </w:t>
      </w:r>
      <w:r>
        <w:t>However, in areas of the coastal zone that are already suffering from erosion, it most likely that rising sea levels will exacerbate this erosional trend</w:t>
      </w:r>
    </w:p>
    <w:p w:rsidR="008237BB" w:rsidRDefault="008237BB" w:rsidP="008237BB">
      <w:pPr>
        <w:pStyle w:val="BodyText"/>
      </w:pPr>
      <w:r>
        <w:t xml:space="preserve">The lack of fundamental data, both observational (e.g. near-shore wave climate and storm-tide run-up levels) and instrumental (e.g. bathymetry) for the </w:t>
      </w:r>
      <w:r w:rsidRPr="005C26CA">
        <w:t>Rockhampton Regional Council</w:t>
      </w:r>
      <w:r>
        <w:t xml:space="preserve"> LGA, along with an absence of any suitable morphodynamic models to predict shoreline</w:t>
      </w:r>
      <w:r w:rsidR="004C0284">
        <w:t xml:space="preserve"> change on these meso- to macro</w:t>
      </w:r>
      <w:r w:rsidR="004C0284">
        <w:noBreakHyphen/>
      </w:r>
      <w:r>
        <w:t>tidal beaches (Della Pozza, pers comm.), was a significant limitation to this study. In addition, there was no suitable data from which to gain an understanding of the current beach behaviour, in order to predict or forecast beach behaviour under future climate.</w:t>
      </w:r>
    </w:p>
    <w:p w:rsidR="002F691C" w:rsidRDefault="008237BB" w:rsidP="008237BB">
      <w:pPr>
        <w:pStyle w:val="BodyText"/>
      </w:pPr>
      <w:r>
        <w:t>In recognition of these data and modelling gaps, the Queensland Government’s erosion prone area width estimates used in this study to generate future-climate coastal erosion overlays were the best available, but are to be considered as indicative only.</w:t>
      </w:r>
    </w:p>
    <w:p w:rsidR="008237BB" w:rsidRPr="009340CE" w:rsidRDefault="008237BB" w:rsidP="009340CE">
      <w:pPr>
        <w:pStyle w:val="Heading1"/>
      </w:pPr>
      <w:bookmarkStart w:id="1370" w:name="_Ref340663299"/>
      <w:bookmarkStart w:id="1371" w:name="_Ref340663301"/>
      <w:bookmarkStart w:id="1372" w:name="_Toc346261459"/>
      <w:bookmarkStart w:id="1373" w:name="_Toc346632757"/>
      <w:bookmarkStart w:id="1374" w:name="_Toc346632869"/>
      <w:bookmarkStart w:id="1375" w:name="_Toc346632981"/>
      <w:bookmarkStart w:id="1376" w:name="_Toc346633093"/>
      <w:bookmarkStart w:id="1377" w:name="_Toc346633205"/>
      <w:bookmarkStart w:id="1378" w:name="_Toc347401638"/>
      <w:bookmarkStart w:id="1379" w:name="_Toc347401750"/>
      <w:bookmarkStart w:id="1380" w:name="_Toc347401862"/>
      <w:bookmarkStart w:id="1381" w:name="_Toc347401974"/>
      <w:bookmarkStart w:id="1382" w:name="_Toc347402086"/>
      <w:bookmarkStart w:id="1383" w:name="_Toc349055266"/>
      <w:bookmarkStart w:id="1384" w:name="_Toc349055379"/>
      <w:bookmarkStart w:id="1385" w:name="_Toc349055492"/>
      <w:bookmarkStart w:id="1386" w:name="_Toc349055605"/>
      <w:bookmarkStart w:id="1387" w:name="_Toc349055718"/>
      <w:bookmarkStart w:id="1388" w:name="_Toc349116935"/>
      <w:bookmarkStart w:id="1389" w:name="_Toc350330035"/>
      <w:bookmarkStart w:id="1390" w:name="_Toc350344013"/>
      <w:bookmarkStart w:id="1391" w:name="_Toc354404052"/>
      <w:bookmarkStart w:id="1392" w:name="_Toc354492720"/>
      <w:bookmarkStart w:id="1393" w:name="_Toc354492861"/>
      <w:bookmarkStart w:id="1394" w:name="_Toc354492967"/>
      <w:bookmarkStart w:id="1395" w:name="_Toc354493097"/>
      <w:bookmarkStart w:id="1396" w:name="_Toc354493258"/>
      <w:bookmarkStart w:id="1397" w:name="_Toc354493727"/>
      <w:bookmarkStart w:id="1398" w:name="_Toc354494262"/>
      <w:bookmarkStart w:id="1399" w:name="_Toc354494480"/>
      <w:bookmarkStart w:id="1400" w:name="_Toc354494691"/>
      <w:bookmarkStart w:id="1401" w:name="_Toc354494985"/>
      <w:bookmarkStart w:id="1402" w:name="_Toc354497867"/>
      <w:bookmarkStart w:id="1403" w:name="_Toc354561280"/>
      <w:bookmarkStart w:id="1404" w:name="_Toc355249620"/>
      <w:bookmarkStart w:id="1405" w:name="_Toc357586087"/>
      <w:r w:rsidRPr="009340CE">
        <w:lastRenderedPageBreak/>
        <w:t>Sea-level Rise</w:t>
      </w:r>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p>
    <w:p w:rsidR="008237BB" w:rsidRDefault="008237BB" w:rsidP="008237BB">
      <w:pPr>
        <w:pStyle w:val="BodyText"/>
      </w:pPr>
      <w:r w:rsidRPr="00772167">
        <w:t xml:space="preserve">Long-term sea-level rise is caused by global warming which results in the thermal expansion of the oceans and the melting of water, such as ice sheets and glaciers, into the oceans (CSIRO, 2008). Sea levels have been observed </w:t>
      </w:r>
      <w:r>
        <w:t>to be currently</w:t>
      </w:r>
      <w:r w:rsidRPr="00772167">
        <w:t xml:space="preserve"> rising </w:t>
      </w:r>
      <w:r>
        <w:t xml:space="preserve">globally </w:t>
      </w:r>
      <w:r w:rsidRPr="00772167">
        <w:t xml:space="preserve">at a speed of </w:t>
      </w:r>
      <w:r>
        <w:t xml:space="preserve">3.2 </w:t>
      </w:r>
      <w:r w:rsidRPr="00772167">
        <w:t>mm per year</w:t>
      </w:r>
      <w:r>
        <w:t xml:space="preserve"> in the last few decades (Church and White, 2011)</w:t>
      </w:r>
      <w:r w:rsidRPr="00772167">
        <w:t xml:space="preserve">. </w:t>
      </w:r>
      <w:r>
        <w:t xml:space="preserve">Sea level does not rise uniformly along the Australian coast. </w:t>
      </w:r>
      <w:r w:rsidRPr="00772167">
        <w:t>Current science indicates that sea levels will continue to rise over the next decades, even if it were possible to stop global warming (</w:t>
      </w:r>
      <w:r>
        <w:t>DCC, 2009</w:t>
      </w:r>
      <w:r w:rsidRPr="00772167">
        <w:t>).</w:t>
      </w:r>
    </w:p>
    <w:p w:rsidR="008237BB" w:rsidRPr="00F047CB" w:rsidRDefault="008237BB" w:rsidP="000538C6">
      <w:pPr>
        <w:pStyle w:val="Heading2"/>
      </w:pPr>
      <w:bookmarkStart w:id="1406" w:name="_Toc341445228"/>
      <w:bookmarkStart w:id="1407" w:name="_Toc346261460"/>
      <w:bookmarkStart w:id="1408" w:name="_Toc346632758"/>
      <w:bookmarkStart w:id="1409" w:name="_Toc346632870"/>
      <w:bookmarkStart w:id="1410" w:name="_Toc346632982"/>
      <w:bookmarkStart w:id="1411" w:name="_Toc346633094"/>
      <w:bookmarkStart w:id="1412" w:name="_Toc346633206"/>
      <w:bookmarkStart w:id="1413" w:name="_Toc347401639"/>
      <w:bookmarkStart w:id="1414" w:name="_Toc347401751"/>
      <w:bookmarkStart w:id="1415" w:name="_Toc347401863"/>
      <w:bookmarkStart w:id="1416" w:name="_Toc347401975"/>
      <w:bookmarkStart w:id="1417" w:name="_Toc347402087"/>
      <w:bookmarkStart w:id="1418" w:name="_Toc349055267"/>
      <w:bookmarkStart w:id="1419" w:name="_Toc349055380"/>
      <w:bookmarkStart w:id="1420" w:name="_Toc349055493"/>
      <w:bookmarkStart w:id="1421" w:name="_Toc349055606"/>
      <w:bookmarkStart w:id="1422" w:name="_Toc349055719"/>
      <w:bookmarkStart w:id="1423" w:name="_Toc349116936"/>
      <w:bookmarkStart w:id="1424" w:name="_Toc350330036"/>
      <w:bookmarkStart w:id="1425" w:name="_Toc350344014"/>
      <w:bookmarkStart w:id="1426" w:name="_Toc354404053"/>
      <w:bookmarkStart w:id="1427" w:name="_Toc354492721"/>
      <w:bookmarkStart w:id="1428" w:name="_Toc354492862"/>
      <w:bookmarkStart w:id="1429" w:name="_Toc354492968"/>
      <w:bookmarkStart w:id="1430" w:name="_Toc354493098"/>
      <w:bookmarkStart w:id="1431" w:name="_Toc354493259"/>
      <w:bookmarkStart w:id="1432" w:name="_Toc354493728"/>
      <w:bookmarkStart w:id="1433" w:name="_Toc354494263"/>
      <w:bookmarkStart w:id="1434" w:name="_Toc354494481"/>
      <w:bookmarkStart w:id="1435" w:name="_Toc354494692"/>
      <w:bookmarkStart w:id="1436" w:name="_Toc354494986"/>
      <w:bookmarkStart w:id="1437" w:name="_Toc354497868"/>
      <w:bookmarkStart w:id="1438" w:name="_Toc354561281"/>
      <w:bookmarkStart w:id="1439" w:name="_Toc355249621"/>
      <w:bookmarkStart w:id="1440" w:name="_Toc357586088"/>
      <w:r w:rsidRPr="00F047CB">
        <w:t>M</w:t>
      </w:r>
      <w:r>
        <w:t>ethod</w:t>
      </w:r>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p>
    <w:p w:rsidR="002F691C" w:rsidRDefault="008237BB" w:rsidP="008237BB">
      <w:pPr>
        <w:pStyle w:val="BodyText"/>
      </w:pPr>
      <w:r>
        <w:t>The SLR hazard analysis considered the potential inundation from an increased still water level from sea</w:t>
      </w:r>
      <w:r>
        <w:noBreakHyphen/>
        <w:t>level rise without the impacts of waves and/or surge. This was completed using a bath-tub method</w:t>
      </w:r>
      <w:r>
        <w:rPr>
          <w:rStyle w:val="FootnoteReference"/>
        </w:rPr>
        <w:footnoteReference w:id="12"/>
      </w:r>
      <w:r>
        <w:t xml:space="preserve"> through the addition of sea-level rise heights to the Highest Astronomical Tide (HAT). The HAT is defined by the Australian Hydrographic Service as “…the highest level of water which can be predicted to occur under any combination of astronomical conditions” (AHS, 2012). The 2012 value of the HAT is 3.9 m at Rockhampton (MSQ, 2011). The HAT is considerably higher than the Mean High Water Springs (MHWS) in Rockhampton (2.66 m), and as an extreme tide scenario, HAT implies a conservative approach to risk assessment. HAT is also recommended as a reference tide by the </w:t>
      </w:r>
      <w:r w:rsidRPr="00EA0A44">
        <w:t xml:space="preserve">QCHG </w:t>
      </w:r>
      <w:r>
        <w:t xml:space="preserve">for coastal recession assessment </w:t>
      </w:r>
      <w:r w:rsidRPr="00EA0A44">
        <w:t>(</w:t>
      </w:r>
      <w:r>
        <w:t>DERM, 2012a</w:t>
      </w:r>
      <w:r w:rsidRPr="00EA0A44">
        <w:t>)</w:t>
      </w:r>
      <w:r>
        <w:t>.</w:t>
      </w:r>
    </w:p>
    <w:p w:rsidR="008237BB" w:rsidRDefault="008237BB" w:rsidP="008237BB">
      <w:pPr>
        <w:pStyle w:val="BodyText"/>
      </w:pPr>
      <w:r>
        <w:t>The four sea</w:t>
      </w:r>
      <w:r>
        <w:noBreakHyphen/>
        <w:t>level rise scenarios considered were:</w:t>
      </w:r>
    </w:p>
    <w:p w:rsidR="008237BB" w:rsidRPr="005B6444" w:rsidRDefault="008237BB" w:rsidP="004B379B">
      <w:pPr>
        <w:pStyle w:val="Bulletlevel1"/>
      </w:pPr>
      <w:r w:rsidRPr="005B6444">
        <w:t>HAT + 0.3</w:t>
      </w:r>
      <w:r>
        <w:t xml:space="preserve"> </w:t>
      </w:r>
      <w:r w:rsidRPr="005B6444">
        <w:t>m (QLD 2050)</w:t>
      </w:r>
    </w:p>
    <w:p w:rsidR="008237BB" w:rsidRPr="005B6444" w:rsidRDefault="008237BB" w:rsidP="004B379B">
      <w:pPr>
        <w:pStyle w:val="Bulletlevel1"/>
      </w:pPr>
      <w:r w:rsidRPr="005B6444">
        <w:t>HAT + 0.5 m (QLD 2070)</w:t>
      </w:r>
    </w:p>
    <w:p w:rsidR="008237BB" w:rsidRPr="005B6444" w:rsidRDefault="008237BB" w:rsidP="004B379B">
      <w:pPr>
        <w:pStyle w:val="Bulletlevel1"/>
      </w:pPr>
      <w:r w:rsidRPr="005B6444">
        <w:t>HAT + 0.8</w:t>
      </w:r>
      <w:r>
        <w:t xml:space="preserve"> </w:t>
      </w:r>
      <w:r w:rsidRPr="005B6444">
        <w:t>m (QLD 2100)</w:t>
      </w:r>
    </w:p>
    <w:p w:rsidR="008237BB" w:rsidRDefault="008237BB" w:rsidP="004B379B">
      <w:pPr>
        <w:pStyle w:val="Bulletlevel1"/>
      </w:pPr>
      <w:r w:rsidRPr="005B6444">
        <w:t>HAT + 1.1</w:t>
      </w:r>
      <w:r>
        <w:t xml:space="preserve"> </w:t>
      </w:r>
      <w:r w:rsidRPr="005B6444">
        <w:t>m (FED 2100)</w:t>
      </w:r>
    </w:p>
    <w:p w:rsidR="008237BB" w:rsidRDefault="008237BB" w:rsidP="008237BB">
      <w:pPr>
        <w:pStyle w:val="BodyText"/>
      </w:pPr>
      <w:r>
        <w:t>The three Queensland scenarios (2050, 2070 and 2100) were identified within the QCHG. The Federal scenario (HAT +1.1 m by 2100) was identified by CSIRO from the IPCC AR4 and subsequent research (OzCoasts, 2012). The 1.1 m sea-level rise scenario considers the “high-end” hazard including the effects of warming trends on ice sheet dynamics (OzCoasts, 2012).</w:t>
      </w:r>
    </w:p>
    <w:p w:rsidR="008237BB" w:rsidRDefault="008237BB" w:rsidP="008237BB">
      <w:pPr>
        <w:pStyle w:val="BodyText"/>
      </w:pPr>
      <w:r>
        <w:t>Utilising the high resolution (1 m) Digital Elevation Model (DEM), the bath-tub method (Eastman, 1993) was applied to identify elevation values that were equal to or less than the scenario value. In the example of the QLD 2050 scenario, land was identified where it was equal to or less than an elevation of 4.2 m (3.9 m (HAT) + 0.3 m) above the Australian Height Datum (AHD).</w:t>
      </w:r>
    </w:p>
    <w:p w:rsidR="008237BB" w:rsidRDefault="008237BB" w:rsidP="000538C6">
      <w:pPr>
        <w:pStyle w:val="Heading2"/>
      </w:pPr>
      <w:bookmarkStart w:id="1441" w:name="_Toc341445229"/>
      <w:bookmarkStart w:id="1442" w:name="_Toc346261461"/>
      <w:bookmarkStart w:id="1443" w:name="_Toc346632759"/>
      <w:bookmarkStart w:id="1444" w:name="_Toc346632871"/>
      <w:bookmarkStart w:id="1445" w:name="_Toc346632983"/>
      <w:bookmarkStart w:id="1446" w:name="_Toc346633095"/>
      <w:bookmarkStart w:id="1447" w:name="_Toc346633207"/>
      <w:bookmarkStart w:id="1448" w:name="_Toc347401640"/>
      <w:bookmarkStart w:id="1449" w:name="_Toc347401752"/>
      <w:bookmarkStart w:id="1450" w:name="_Toc347401864"/>
      <w:bookmarkStart w:id="1451" w:name="_Toc347401976"/>
      <w:bookmarkStart w:id="1452" w:name="_Toc347402088"/>
      <w:bookmarkStart w:id="1453" w:name="_Toc349055268"/>
      <w:bookmarkStart w:id="1454" w:name="_Toc349055381"/>
      <w:bookmarkStart w:id="1455" w:name="_Toc349055494"/>
      <w:bookmarkStart w:id="1456" w:name="_Toc349055607"/>
      <w:bookmarkStart w:id="1457" w:name="_Toc349055720"/>
      <w:bookmarkStart w:id="1458" w:name="_Toc349116937"/>
      <w:bookmarkStart w:id="1459" w:name="_Toc350330037"/>
      <w:bookmarkStart w:id="1460" w:name="_Toc350344015"/>
      <w:bookmarkStart w:id="1461" w:name="_Toc354404054"/>
      <w:bookmarkStart w:id="1462" w:name="_Toc354492722"/>
      <w:bookmarkStart w:id="1463" w:name="_Toc354492863"/>
      <w:bookmarkStart w:id="1464" w:name="_Toc354492969"/>
      <w:bookmarkStart w:id="1465" w:name="_Toc354493099"/>
      <w:bookmarkStart w:id="1466" w:name="_Toc354493260"/>
      <w:bookmarkStart w:id="1467" w:name="_Toc354493729"/>
      <w:bookmarkStart w:id="1468" w:name="_Toc354494264"/>
      <w:bookmarkStart w:id="1469" w:name="_Toc354494482"/>
      <w:bookmarkStart w:id="1470" w:name="_Toc354494693"/>
      <w:bookmarkStart w:id="1471" w:name="_Toc354494987"/>
      <w:bookmarkStart w:id="1472" w:name="_Toc354497869"/>
      <w:bookmarkStart w:id="1473" w:name="_Toc354561282"/>
      <w:bookmarkStart w:id="1474" w:name="_Toc355249622"/>
      <w:bookmarkStart w:id="1475" w:name="_Toc357586089"/>
      <w:r>
        <w:lastRenderedPageBreak/>
        <w:t>Results/Discussion</w:t>
      </w:r>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p>
    <w:p w:rsidR="008237BB" w:rsidRDefault="008237BB" w:rsidP="008237BB">
      <w:pPr>
        <w:pStyle w:val="BodyText"/>
      </w:pPr>
      <w:r>
        <w:t xml:space="preserve">Owing to the high value of HAT and the low-lying topography of the </w:t>
      </w:r>
      <w:r w:rsidR="004C0284">
        <w:t>Fitzroy River mouth</w:t>
      </w:r>
      <w:r>
        <w:t>, there is significant inundation from a HAT event under current-climate conditions (</w:t>
      </w:r>
      <w:r w:rsidR="005D5011">
        <w:fldChar w:fldCharType="begin"/>
      </w:r>
      <w:r w:rsidR="005D5011">
        <w:instrText xml:space="preserve"> REF _Ref354475858 \h </w:instrText>
      </w:r>
      <w:r w:rsidR="005D5011">
        <w:fldChar w:fldCharType="separate"/>
      </w:r>
      <w:r w:rsidR="00413858">
        <w:t xml:space="preserve">Figure </w:t>
      </w:r>
      <w:r w:rsidR="00413858">
        <w:rPr>
          <w:noProof/>
        </w:rPr>
        <w:t>7</w:t>
      </w:r>
      <w:r w:rsidR="00413858">
        <w:t>.</w:t>
      </w:r>
      <w:r w:rsidR="00413858">
        <w:rPr>
          <w:noProof/>
        </w:rPr>
        <w:t>1</w:t>
      </w:r>
      <w:r w:rsidR="005D5011">
        <w:fldChar w:fldCharType="end"/>
      </w:r>
      <w:r>
        <w:t>). The Yeppoon Road, Bajool-Port Alma Road, Port Alma, the Scenic Highway</w:t>
      </w:r>
      <w:r w:rsidRPr="00E30486">
        <w:t xml:space="preserve"> </w:t>
      </w:r>
      <w:r>
        <w:t>South of Yeppoon and buildings in the vicinity of Keppel Sands were identified as inundated by a current-climate HAT event.</w:t>
      </w:r>
    </w:p>
    <w:p w:rsidR="002F691C" w:rsidRDefault="008237BB" w:rsidP="008237BB">
      <w:pPr>
        <w:pStyle w:val="BodyText"/>
      </w:pPr>
      <w:r>
        <w:t xml:space="preserve">The sea level incremental rises from HAT to 5 m results in an increase in the inundation extent between a 3.8% and 6.7% compared with the lesser scenario. The greatest increase to the inundation extent from the addition of SLR scenarios was on the floodplain downstream of Rockhampton. As the inundation height increases, the inundation extent in the Fitzroy River </w:t>
      </w:r>
      <w:r w:rsidR="004C0284">
        <w:t>region</w:t>
      </w:r>
      <w:r>
        <w:t xml:space="preserve"> on the south-western area of the floodplain towards the Bruce Highway increases (</w:t>
      </w:r>
      <w:r w:rsidR="005D5011">
        <w:fldChar w:fldCharType="begin"/>
      </w:r>
      <w:r w:rsidR="005D5011">
        <w:instrText xml:space="preserve"> REF _Ref354475858 \h </w:instrText>
      </w:r>
      <w:r w:rsidR="005D5011">
        <w:fldChar w:fldCharType="separate"/>
      </w:r>
      <w:r w:rsidR="00413858">
        <w:t xml:space="preserve">Figure </w:t>
      </w:r>
      <w:r w:rsidR="00413858">
        <w:rPr>
          <w:noProof/>
        </w:rPr>
        <w:t>7</w:t>
      </w:r>
      <w:r w:rsidR="00413858">
        <w:t>.</w:t>
      </w:r>
      <w:r w:rsidR="00413858">
        <w:rPr>
          <w:noProof/>
        </w:rPr>
        <w:t>1</w:t>
      </w:r>
      <w:r w:rsidR="005D5011">
        <w:fldChar w:fldCharType="end"/>
      </w:r>
      <w:r>
        <w:t>). Nearer to the city of Rockhampton, the Bruce Highway was shown as being potentially inundated to the south of the Capricorn Highway intersection. However, this area of inundation is isolated from the main body of water, and could be an artefact of the bath-tub method (Eastman, 1993).</w:t>
      </w:r>
    </w:p>
    <w:p w:rsidR="005D5011" w:rsidRDefault="008237BB" w:rsidP="00481556">
      <w:pPr>
        <w:pStyle w:val="Figuresandimagesleft"/>
      </w:pPr>
      <w:r>
        <w:rPr>
          <w:noProof/>
        </w:rPr>
        <w:drawing>
          <wp:inline distT="0" distB="0" distL="0" distR="0" wp14:anchorId="562D8E0D" wp14:editId="2CAF6449">
            <wp:extent cx="5400675" cy="3600450"/>
            <wp:effectExtent l="0" t="0" r="9525" b="0"/>
            <wp:docPr id="84" name="Picture 84" descr="This figure shows the extensive inundation identified from the combination of Highest Astronomical Tide (HAT) and sea-level rise increments. The HAT inundation extent extends across the Fitzroy River flood plain below the city of Rockhampton. There is also inundation identified along the open coast at the Cawarral Creek Fish Habitat Reserve, Emu Park and Yeppoon. The addition of sea-level rise increments does add to the inundation extent which is mainly on the Fitzroy River flood pl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is figure shows the extensive inundation identified from the combination of Highest Astronomical Tide (HAT) and sea-level rise increments. The HAT inundation extent extends across the Fitzroy River flood plain below the city of Rockhampton. There is also inundation identified along the open coast at the Cawarral Creek Fish Habitat Reserve, Emu Park and Yeppoon. The addition of sea-level rise increments does add to the inundation extent which is mainly on the Fitzroy River flood plai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5D5011" w:rsidP="005D5011">
      <w:pPr>
        <w:pStyle w:val="Caption"/>
      </w:pPr>
      <w:bookmarkStart w:id="1476" w:name="_Ref354475858"/>
      <w:bookmarkStart w:id="1477" w:name="_Toc354476908"/>
      <w:bookmarkStart w:id="1478" w:name="_Toc354477156"/>
      <w:bookmarkStart w:id="1479" w:name="_Toc354493435"/>
      <w:bookmarkStart w:id="1480" w:name="_Toc354493660"/>
      <w:bookmarkStart w:id="1481" w:name="_Toc354494564"/>
      <w:bookmarkStart w:id="1482" w:name="_Toc356489946"/>
      <w:r>
        <w:t xml:space="preserve">Figure </w:t>
      </w:r>
      <w:r w:rsidR="007F11CF">
        <w:fldChar w:fldCharType="begin"/>
      </w:r>
      <w:r w:rsidR="007F11CF">
        <w:instrText xml:space="preserve"> STYLEREF 1 \s </w:instrText>
      </w:r>
      <w:r w:rsidR="007F11CF">
        <w:fldChar w:fldCharType="separate"/>
      </w:r>
      <w:r w:rsidR="00413858">
        <w:rPr>
          <w:noProof/>
        </w:rPr>
        <w:t>7</w:t>
      </w:r>
      <w:r w:rsidR="007F11CF">
        <w:rPr>
          <w:noProof/>
        </w:rPr>
        <w:fldChar w:fldCharType="end"/>
      </w:r>
      <w:r w:rsidR="00356FFD">
        <w:t>.</w:t>
      </w:r>
      <w:r w:rsidR="007F11CF">
        <w:fldChar w:fldCharType="begin"/>
      </w:r>
      <w:r w:rsidR="007F11CF">
        <w:instrText xml:space="preserve"> SEQ Figure \* ARABIC \s 1 </w:instrText>
      </w:r>
      <w:r w:rsidR="007F11CF">
        <w:fldChar w:fldCharType="separate"/>
      </w:r>
      <w:r w:rsidR="00413858">
        <w:rPr>
          <w:noProof/>
        </w:rPr>
        <w:t>1</w:t>
      </w:r>
      <w:r w:rsidR="007F11CF">
        <w:rPr>
          <w:noProof/>
        </w:rPr>
        <w:fldChar w:fldCharType="end"/>
      </w:r>
      <w:bookmarkEnd w:id="1476"/>
      <w:r>
        <w:t>. Sea-level rise inundation extent.</w:t>
      </w:r>
      <w:bookmarkEnd w:id="1477"/>
      <w:bookmarkEnd w:id="1478"/>
      <w:bookmarkEnd w:id="1479"/>
      <w:bookmarkEnd w:id="1480"/>
      <w:bookmarkEnd w:id="1481"/>
      <w:bookmarkEnd w:id="1482"/>
    </w:p>
    <w:p w:rsidR="008237BB" w:rsidRPr="009340CE" w:rsidRDefault="008237BB" w:rsidP="009340CE">
      <w:pPr>
        <w:pStyle w:val="Heading1"/>
      </w:pPr>
      <w:bookmarkStart w:id="1483" w:name="_Toc346261462"/>
      <w:bookmarkStart w:id="1484" w:name="_Toc346632760"/>
      <w:bookmarkStart w:id="1485" w:name="_Toc346632872"/>
      <w:bookmarkStart w:id="1486" w:name="_Toc346632984"/>
      <w:bookmarkStart w:id="1487" w:name="_Toc346633096"/>
      <w:bookmarkStart w:id="1488" w:name="_Toc346633208"/>
      <w:bookmarkStart w:id="1489" w:name="_Toc347401641"/>
      <w:bookmarkStart w:id="1490" w:name="_Toc347401753"/>
      <w:bookmarkStart w:id="1491" w:name="_Toc347401865"/>
      <w:bookmarkStart w:id="1492" w:name="_Toc347401977"/>
      <w:bookmarkStart w:id="1493" w:name="_Toc347402089"/>
      <w:bookmarkStart w:id="1494" w:name="_Toc349055269"/>
      <w:bookmarkStart w:id="1495" w:name="_Toc349055382"/>
      <w:bookmarkStart w:id="1496" w:name="_Toc349055495"/>
      <w:bookmarkStart w:id="1497" w:name="_Toc349055608"/>
      <w:bookmarkStart w:id="1498" w:name="_Toc349055721"/>
      <w:bookmarkStart w:id="1499" w:name="_Toc349116938"/>
      <w:bookmarkStart w:id="1500" w:name="_Toc350330038"/>
      <w:bookmarkStart w:id="1501" w:name="_Toc350344016"/>
      <w:bookmarkStart w:id="1502" w:name="_Toc354404055"/>
      <w:bookmarkStart w:id="1503" w:name="_Toc354492723"/>
      <w:bookmarkStart w:id="1504" w:name="_Toc354492864"/>
      <w:bookmarkStart w:id="1505" w:name="_Toc354492970"/>
      <w:bookmarkStart w:id="1506" w:name="_Toc354493100"/>
      <w:bookmarkStart w:id="1507" w:name="_Toc354493261"/>
      <w:bookmarkStart w:id="1508" w:name="_Toc354493730"/>
      <w:bookmarkStart w:id="1509" w:name="_Toc354494265"/>
      <w:bookmarkStart w:id="1510" w:name="_Toc354494483"/>
      <w:bookmarkStart w:id="1511" w:name="_Toc354494694"/>
      <w:bookmarkStart w:id="1512" w:name="_Toc354494988"/>
      <w:bookmarkStart w:id="1513" w:name="_Toc354497870"/>
      <w:bookmarkStart w:id="1514" w:name="_Toc354561283"/>
      <w:bookmarkStart w:id="1515" w:name="_Toc355249623"/>
      <w:bookmarkStart w:id="1516" w:name="_Toc357586090"/>
      <w:r w:rsidRPr="009340CE">
        <w:lastRenderedPageBreak/>
        <w:t>Discussion (all hazards)</w:t>
      </w:r>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p>
    <w:p w:rsidR="002F691C" w:rsidRDefault="008237BB" w:rsidP="008237BB">
      <w:pPr>
        <w:pStyle w:val="BodyText"/>
      </w:pPr>
      <w:r>
        <w:t>This study aimed to identify and quantify the extent of natural hazards in the Rockhampton region under current and future-climate conditions. The study covered many of the most prevalent natural hazards in the region, with the notable exception of flood. This section discusses the results of this study from a ‘multi-hazard’ perspective.</w:t>
      </w:r>
    </w:p>
    <w:p w:rsidR="002F691C" w:rsidRDefault="008237BB" w:rsidP="008237BB">
      <w:pPr>
        <w:pStyle w:val="BodyText"/>
      </w:pPr>
      <w:r>
        <w:t>The hazard modelling in this study identifies hazard at a regional scale, and the outputs are intended for use in regional planning. The results are not suited to fine</w:t>
      </w:r>
      <w:r>
        <w:noBreakHyphen/>
        <w:t>scale analysis due to the resolution of various input datasets and/or the models applied. It is important to understand the assumptions used, and the limitations of the methodologies and data to interpret the results of this study correctly. These issues are discussed in detail in the technical appendices for each hazard considered. The outputs from this study are to be incorporated into the Rockhampton Regional Council planning process. Where areas of interest are identified from the outputs of this study, more detailed hazard assessments should be carried out to generate local scale information.</w:t>
      </w:r>
    </w:p>
    <w:p w:rsidR="008237BB" w:rsidRDefault="008237BB" w:rsidP="008237BB">
      <w:pPr>
        <w:pStyle w:val="BodyText"/>
      </w:pPr>
      <w:r>
        <w:t>This study did not carry out a formal analysis of the assets at risk from the hazards. Such an analysis could be undertaken using the digital data provided by this study, e.g. by overlaying the hazard layers with council information such as building and infrastructure data. Furthermore, future work could incorporate multiple GHG emissions scenarios, and a wider range of climate models, to produce a range of likely future-climate hazard. This would assist with developing a risk profile for the region and could inform cost/benefit analysis with regards to both building/infrastructure site risk assessments and also climate change adaptation measures.</w:t>
      </w:r>
    </w:p>
    <w:p w:rsidR="002F691C" w:rsidRDefault="008237BB" w:rsidP="008237BB">
      <w:pPr>
        <w:pStyle w:val="BodyText"/>
      </w:pPr>
      <w:r>
        <w:t>The tropical cyclone wind hazard was the only hazard not to show a future-climate increase in extent or magnitude. In fact, the results suggest a drop in hazard levels may occur, although the change was not statistically significant.</w:t>
      </w:r>
    </w:p>
    <w:p w:rsidR="008237BB" w:rsidRDefault="008237BB" w:rsidP="008237BB">
      <w:pPr>
        <w:pStyle w:val="BodyText"/>
      </w:pPr>
      <w:r>
        <w:t>The sea-level rise analysis predicted greater inundation than the storm tide plus sea-level rise assessment. This was caused by the tidal component applied in the storm tide modelling being sampled from values of the whole tidal cycle. Whereas for sea-level rise hazard, HAT, the theoretical extreme tide scenario, is not based on observation. For Rockhampton HAT is 3.9 m and this is 1.24 m higher than mean of long term observed high waters (MHWS). Within the constraints of this study, there was no opportunity to repeat the storm tide modelling with an explicit tide scenario, such as HAT.</w:t>
      </w:r>
    </w:p>
    <w:p w:rsidR="002F691C" w:rsidRDefault="008237BB" w:rsidP="008237BB">
      <w:pPr>
        <w:pStyle w:val="BodyText"/>
      </w:pPr>
      <w:r>
        <w:t>This report is part of a Rockhampton Regional Council project that aims to evaluate the ability of its existing urban planning principles and practices to accommodate climate change and the uncertainty of climate change impacts. The results of the future-climate assessment within this study identify the regional hazard from extreme events for a single GHG emissions scenario. There is still considerable uncertainty around the exact projected emissions, and how the Earth’s system will respond to these in terms of atmosphere and ocean, including sea-level rise. The future-climate scenario (A2) used in this study, was considered the most likely scenario, however, this may need to be revised with the release of the next IPCC assessment report (IPCC AR5). Current planning processes, especially for infrastructure with a longer lifetime (&gt;50 years), will need to factor in future hazard levels, and this study provides some indication of how those might differ from the current hazard.</w:t>
      </w:r>
    </w:p>
    <w:p w:rsidR="008237BB" w:rsidRDefault="008237BB" w:rsidP="000538C6">
      <w:pPr>
        <w:pStyle w:val="Heading2"/>
      </w:pPr>
      <w:bookmarkStart w:id="1517" w:name="_Toc346261463"/>
      <w:bookmarkStart w:id="1518" w:name="_Toc346632761"/>
      <w:bookmarkStart w:id="1519" w:name="_Toc346632873"/>
      <w:bookmarkStart w:id="1520" w:name="_Toc346632985"/>
      <w:bookmarkStart w:id="1521" w:name="_Toc346633097"/>
      <w:bookmarkStart w:id="1522" w:name="_Toc346633209"/>
      <w:bookmarkStart w:id="1523" w:name="_Toc347401642"/>
      <w:bookmarkStart w:id="1524" w:name="_Toc347401754"/>
      <w:bookmarkStart w:id="1525" w:name="_Toc347401866"/>
      <w:bookmarkStart w:id="1526" w:name="_Toc347401978"/>
      <w:bookmarkStart w:id="1527" w:name="_Toc347402090"/>
      <w:bookmarkStart w:id="1528" w:name="_Toc349055270"/>
      <w:bookmarkStart w:id="1529" w:name="_Toc349055383"/>
      <w:bookmarkStart w:id="1530" w:name="_Toc349055496"/>
      <w:bookmarkStart w:id="1531" w:name="_Toc349055609"/>
      <w:bookmarkStart w:id="1532" w:name="_Toc349055722"/>
      <w:bookmarkStart w:id="1533" w:name="_Toc349116939"/>
      <w:bookmarkStart w:id="1534" w:name="_Toc350330039"/>
      <w:bookmarkStart w:id="1535" w:name="_Toc350344017"/>
      <w:bookmarkStart w:id="1536" w:name="_Toc354404056"/>
      <w:bookmarkStart w:id="1537" w:name="_Toc354492724"/>
      <w:bookmarkStart w:id="1538" w:name="_Toc354492865"/>
      <w:bookmarkStart w:id="1539" w:name="_Toc354492971"/>
      <w:bookmarkStart w:id="1540" w:name="_Toc354493101"/>
      <w:bookmarkStart w:id="1541" w:name="_Toc354493262"/>
      <w:bookmarkStart w:id="1542" w:name="_Toc354493731"/>
      <w:bookmarkStart w:id="1543" w:name="_Toc354494266"/>
      <w:bookmarkStart w:id="1544" w:name="_Toc354494484"/>
      <w:bookmarkStart w:id="1545" w:name="_Toc354494695"/>
      <w:bookmarkStart w:id="1546" w:name="_Toc354494989"/>
      <w:bookmarkStart w:id="1547" w:name="_Toc354497871"/>
      <w:bookmarkStart w:id="1548" w:name="_Toc354561284"/>
      <w:bookmarkStart w:id="1549" w:name="_Toc355249624"/>
      <w:bookmarkStart w:id="1550" w:name="_Toc357586091"/>
      <w:r>
        <w:lastRenderedPageBreak/>
        <w:t>Study Limitations</w:t>
      </w:r>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p>
    <w:p w:rsidR="008237BB" w:rsidRDefault="008237BB" w:rsidP="008237BB">
      <w:pPr>
        <w:pStyle w:val="BodyText"/>
      </w:pPr>
      <w:r>
        <w:t>The calculation of the future-climate TC wind hazard relied on a single simulation of future-climate TCLV data. As such, these results are sensitive to that single TRCM run and the simulated broader environment. This is due to the small sample size used in training TCRM for future climate as the behaviour of TCLVs is strongly modulated by a range of drivers, including the RCM representation of features such as the El Nino Southern Oscillation (</w:t>
      </w:r>
      <w:r w:rsidRPr="00A63890">
        <w:t>ENSO).</w:t>
      </w:r>
      <w:r>
        <w:t xml:space="preserve"> This may reduce or enhance the simulated TC activity during the period of sampling (e.g. 2046-2065), or influence the intensity or tracks of TCLVs. In further studies, this could be addressed by running the TCRM multiple times and from each simulation, extracting TCLVs for the periods of interest. However, multiple TCRM simulations downscaled from a single GCM were not available for this project.</w:t>
      </w:r>
    </w:p>
    <w:p w:rsidR="008237BB" w:rsidRDefault="008237BB" w:rsidP="008237BB">
      <w:pPr>
        <w:pStyle w:val="BodyText"/>
      </w:pPr>
      <w:r>
        <w:t>Within the bushfire hazard modelling, the</w:t>
      </w:r>
      <w:r w:rsidRPr="0021450A">
        <w:t xml:space="preserve"> vegetation</w:t>
      </w:r>
      <w:r>
        <w:t xml:space="preserve"> was considered</w:t>
      </w:r>
      <w:r w:rsidRPr="0021450A">
        <w:t xml:space="preserve"> a static layer</w:t>
      </w:r>
      <w:r>
        <w:t xml:space="preserve">. The bushfire hazard modelling </w:t>
      </w:r>
      <w:r w:rsidRPr="0021450A">
        <w:t xml:space="preserve">maintained </w:t>
      </w:r>
      <w:r>
        <w:t>l</w:t>
      </w:r>
      <w:r w:rsidRPr="0021450A">
        <w:t>and cover at the same level</w:t>
      </w:r>
      <w:r>
        <w:t xml:space="preserve"> (composition and spatial extent)</w:t>
      </w:r>
      <w:r w:rsidRPr="0021450A">
        <w:t xml:space="preserve"> for the whole simulation period (1971-2100) </w:t>
      </w:r>
      <w:r>
        <w:t>with no seasonal or inter-annual variation, e.g. the response</w:t>
      </w:r>
      <w:r w:rsidRPr="0021450A">
        <w:t xml:space="preserve"> to year-to-year rainfall variability. In addition, significant episodic events such as tropical cyclones and tropical depressions, which are known to cause significant vegetation growth and regeneration in the months following their passage through a region, do not influence either vegetative growth or the drought factor used in the FFDI calculations.</w:t>
      </w:r>
    </w:p>
    <w:p w:rsidR="008237BB" w:rsidRDefault="008237BB" w:rsidP="008237BB">
      <w:pPr>
        <w:pStyle w:val="BodyText"/>
      </w:pPr>
      <w:r>
        <w:t>The bath-tub inundation method, used within the sea-level rise and storm-tide hazard modelling, identifies all the elevation heights less than the still-water height of the scenario. This potentially produces an overestimation of inundation in areas where topographic breaks exist, e.g. flood barriers, and the elevation heights are less than the scenario height on the protected side of the break. The bath-tub inundation method also does not consider hydrodynamic processes and interactions such as wave forces, momentum, and the impacts of topography (e.g. headland protection) and bathymetry (e.g. depth of water near-shore and the existence of reefs) resulting in a potential under estimation of inundation.</w:t>
      </w:r>
    </w:p>
    <w:p w:rsidR="002F691C" w:rsidRDefault="008237BB" w:rsidP="008237BB">
      <w:pPr>
        <w:pStyle w:val="BodyText"/>
      </w:pPr>
      <w:r>
        <w:t>The methodology used for the coastal erosion assessment was a qualitative approximation that does not account for local processes such as wave climate and availability of sediment. Such an approximation may be less valid for future-climate conditions when there are changes in wave climate, or in the events that can cause erosion, such as storm events. Furthermore, this method was applied to the whole coastline, which is unlikely to uniformly respond to changes under future sea-level rise.</w:t>
      </w:r>
    </w:p>
    <w:p w:rsidR="002F691C" w:rsidRDefault="008237BB" w:rsidP="009340CE">
      <w:pPr>
        <w:pStyle w:val="Heading2"/>
      </w:pPr>
      <w:bookmarkStart w:id="1551" w:name="_Toc349055271"/>
      <w:bookmarkStart w:id="1552" w:name="_Toc349055384"/>
      <w:bookmarkStart w:id="1553" w:name="_Toc349055497"/>
      <w:bookmarkStart w:id="1554" w:name="_Toc349055610"/>
      <w:bookmarkStart w:id="1555" w:name="_Toc349055723"/>
      <w:bookmarkStart w:id="1556" w:name="_Toc349116940"/>
      <w:bookmarkStart w:id="1557" w:name="_Toc350330040"/>
      <w:bookmarkStart w:id="1558" w:name="_Toc350344018"/>
      <w:bookmarkStart w:id="1559" w:name="_Toc354404057"/>
      <w:bookmarkStart w:id="1560" w:name="_Toc354492725"/>
      <w:bookmarkStart w:id="1561" w:name="_Toc354492866"/>
      <w:bookmarkStart w:id="1562" w:name="_Toc354492972"/>
      <w:bookmarkStart w:id="1563" w:name="_Toc354493102"/>
      <w:bookmarkStart w:id="1564" w:name="_Toc354493263"/>
      <w:bookmarkStart w:id="1565" w:name="_Toc354493732"/>
      <w:bookmarkStart w:id="1566" w:name="_Toc354494267"/>
      <w:bookmarkStart w:id="1567" w:name="_Toc354494485"/>
      <w:bookmarkStart w:id="1568" w:name="_Toc354494696"/>
      <w:bookmarkStart w:id="1569" w:name="_Toc354494990"/>
      <w:bookmarkStart w:id="1570" w:name="_Toc354497872"/>
      <w:bookmarkStart w:id="1571" w:name="_Toc354561285"/>
      <w:bookmarkStart w:id="1572" w:name="_Toc355249625"/>
      <w:bookmarkStart w:id="1573" w:name="_Toc346261464"/>
      <w:bookmarkStart w:id="1574" w:name="_Toc346632762"/>
      <w:bookmarkStart w:id="1575" w:name="_Toc346632874"/>
      <w:bookmarkStart w:id="1576" w:name="_Toc346632986"/>
      <w:bookmarkStart w:id="1577" w:name="_Toc346633098"/>
      <w:bookmarkStart w:id="1578" w:name="_Toc346633210"/>
      <w:bookmarkStart w:id="1579" w:name="_Toc347401643"/>
      <w:bookmarkStart w:id="1580" w:name="_Toc347401755"/>
      <w:bookmarkStart w:id="1581" w:name="_Toc347401867"/>
      <w:bookmarkStart w:id="1582" w:name="_Toc347401979"/>
      <w:bookmarkStart w:id="1583" w:name="_Toc347402091"/>
      <w:bookmarkStart w:id="1584" w:name="_Toc357586092"/>
      <w:r w:rsidRPr="009340CE">
        <w:t>Treatment of Uncertainty</w:t>
      </w:r>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p>
    <w:p w:rsidR="008237BB" w:rsidRDefault="008237BB" w:rsidP="008237BB">
      <w:pPr>
        <w:pStyle w:val="BodyText"/>
      </w:pPr>
      <w:r w:rsidRPr="00FA2FB3">
        <w:t xml:space="preserve">GCMs are used to predict what will happen to Earth’s climate in the future. Groups like the IPCC compare the results from several different climate models as they determine what is most likely to happen on both a global and also regional scale. To evaluate the performance of a climate model, the model is run through a time period for which there are actual measurements of the Earth’s climate; </w:t>
      </w:r>
      <w:r w:rsidR="00940791">
        <w:t>e</w:t>
      </w:r>
      <w:r w:rsidRPr="00FA2FB3">
        <w:t>.</w:t>
      </w:r>
      <w:r w:rsidR="00940791">
        <w:t>g.</w:t>
      </w:r>
      <w:r w:rsidRPr="00FA2FB3">
        <w:t xml:space="preserve"> the past 50 - 100 years. The results from the model are compared with the actual measurements of real climate, and if they are similar then the mathematical equations in the model that are used to describe how the Earth functions regarding its climate are considered reasonably accurate. If the model results are very different from the actual measurements, then the model is considered “less useful” with regards to its predictive ability and therefore requires further work. Atmosphere-ocean GCMs represent the pinnacle of complexity in climate models and internalise as many processes as possible. However, they are still under development and uncertainties remain. They may be coupled to models of other processes, such as the carbon cycle, so as to better model feedback effects. Most </w:t>
      </w:r>
      <w:r w:rsidRPr="00FA2FB3">
        <w:lastRenderedPageBreak/>
        <w:t>recent simulations show "plausible" agreement with the measured temperature anomalies over the past 150 years, when forced by observed changes in greenhouse gases and aerosols, and better agreement is achieved when both natural and man-made forcings are included (IPCC</w:t>
      </w:r>
      <w:r>
        <w:t>,</w:t>
      </w:r>
      <w:r w:rsidRPr="00FA2FB3">
        <w:t xml:space="preserve"> 2007).</w:t>
      </w:r>
    </w:p>
    <w:p w:rsidR="002F691C" w:rsidRDefault="008237BB" w:rsidP="008237BB">
      <w:pPr>
        <w:pStyle w:val="BodyText"/>
      </w:pPr>
      <w:r w:rsidRPr="00FA2FB3">
        <w:t xml:space="preserve">No model perfectly reproduces the system being modelled. </w:t>
      </w:r>
      <w:r>
        <w:t>However,</w:t>
      </w:r>
      <w:r w:rsidRPr="00FA2FB3">
        <w:t xml:space="preserve"> imperfect models may nevertheless produce useful results. In this context, GCMs are capable of reproducing the general features of the observed global temperature over the past century. Some uncertainty about our future climate </w:t>
      </w:r>
      <w:r>
        <w:t>remains</w:t>
      </w:r>
      <w:r w:rsidRPr="00FA2FB3">
        <w:t xml:space="preserve"> because there are processes and feedbacks between different parts of the Earth that are not fully understood</w:t>
      </w:r>
      <w:r>
        <w:t xml:space="preserve"> and therefore not included in models </w:t>
      </w:r>
      <w:r w:rsidRPr="00FA2FB3">
        <w:t>At the present time, scientists are conducting research to learn more about how some of the less well-known processes and feedbacks function.</w:t>
      </w:r>
    </w:p>
    <w:p w:rsidR="008237BB" w:rsidRPr="00FA2FB3" w:rsidRDefault="008237BB" w:rsidP="008237BB">
      <w:pPr>
        <w:pStyle w:val="BodyText"/>
      </w:pPr>
      <w:r w:rsidRPr="00FA2FB3">
        <w:t>Confidence in GCM model estimates is higher for some climate variables (for example, temperature) than for others (for example, precipitation). Confidence in the reliability of these models for climate projections has also improved (Alexander and Arblaster, 2009), based on tests of their ability to simulate:</w:t>
      </w:r>
    </w:p>
    <w:p w:rsidR="002F691C" w:rsidRDefault="008237BB" w:rsidP="007B6C0C">
      <w:pPr>
        <w:pStyle w:val="Bulletlevel1"/>
      </w:pPr>
      <w:r w:rsidRPr="009E2E74">
        <w:t>the present average climate and year to year variability</w:t>
      </w:r>
    </w:p>
    <w:p w:rsidR="002F691C" w:rsidRDefault="008237BB" w:rsidP="007B6C0C">
      <w:pPr>
        <w:pStyle w:val="Bulletlevel1"/>
      </w:pPr>
      <w:r w:rsidRPr="009E2E74">
        <w:t>observed climate trends in the recent past</w:t>
      </w:r>
    </w:p>
    <w:p w:rsidR="002F691C" w:rsidRDefault="008237BB" w:rsidP="007B6C0C">
      <w:pPr>
        <w:pStyle w:val="Bulletlevel1"/>
      </w:pPr>
      <w:r w:rsidRPr="009E2E74">
        <w:t>extreme events, such as storms and heatwaves</w:t>
      </w:r>
    </w:p>
    <w:p w:rsidR="002F691C" w:rsidRDefault="008237BB" w:rsidP="007B6C0C">
      <w:pPr>
        <w:pStyle w:val="Bulletlevel1"/>
      </w:pPr>
      <w:r w:rsidRPr="009E2E74">
        <w:t>climates from thousands of years ago.</w:t>
      </w:r>
    </w:p>
    <w:p w:rsidR="008237BB" w:rsidRDefault="008237BB" w:rsidP="008237BB">
      <w:pPr>
        <w:pStyle w:val="BodyText"/>
      </w:pPr>
      <w:r w:rsidRPr="00FA2FB3">
        <w:t xml:space="preserve">Climate models provide credible quantitative estimates of future climate change, particularly at continental scales and above. It is difficult to quantify the uncertainty of </w:t>
      </w:r>
      <w:r>
        <w:t>future-climate</w:t>
      </w:r>
      <w:r w:rsidRPr="00FA2FB3">
        <w:t xml:space="preserve"> modelling and the compounded uncertainty when considering hazard modelling, which has its own uncertainty, within </w:t>
      </w:r>
      <w:r>
        <w:t>future-climate</w:t>
      </w:r>
      <w:r w:rsidRPr="00FA2FB3">
        <w:t xml:space="preserve"> simulations. However, this does not necessarily detract from value of applying the methods used in this study as this is the current state of the science. Further information relating to climate modelling reliability is presented by the CSIRO</w:t>
      </w:r>
      <w:r w:rsidRPr="00055DCB">
        <w:rPr>
          <w:rStyle w:val="Superscript"/>
        </w:rPr>
        <w:footnoteReference w:id="13"/>
      </w:r>
    </w:p>
    <w:p w:rsidR="002F691C" w:rsidRDefault="008237BB" w:rsidP="008237BB">
      <w:pPr>
        <w:pStyle w:val="BodyText"/>
      </w:pPr>
      <w:r>
        <w:t>Existing m</w:t>
      </w:r>
      <w:r w:rsidRPr="00FA2FB3">
        <w:t>odels show significant and increasing skill in representing many important mean climate features, such as the large-scale distributions of atmospheric temperature, precipitation, radiation and wind, and of oceanic temperatures, currents and sea ice cover. Patterns of climate variability that are well simulated include the advance and retreat of the major monsoon systems, the seasonal shifts of temperatures, storm tracks and rain belts. Simulations that include estimates of natural and human influences can reproduce the observed large-scale changes in surface temperature over the 20th century, including the global warming that has occurred during the past 50 years (DCCEE</w:t>
      </w:r>
      <w:r>
        <w:t>,</w:t>
      </w:r>
      <w:r w:rsidRPr="00FA2FB3">
        <w:t xml:space="preserve"> 2012).</w:t>
      </w:r>
    </w:p>
    <w:p w:rsidR="008237BB" w:rsidRDefault="008237BB" w:rsidP="008237BB">
      <w:pPr>
        <w:pStyle w:val="BodyText"/>
      </w:pPr>
      <w:r w:rsidRPr="00FA2FB3">
        <w:t>However</w:t>
      </w:r>
      <w:r>
        <w:t>,</w:t>
      </w:r>
      <w:r w:rsidRPr="00FA2FB3">
        <w:t xml:space="preserve"> in the Australian region, there are deficiencies in the simulation of tropical rainfall and some important climate processes such as the El Niño-Southern Oscillation and the Madden-Julian Oscillation (DCCEE</w:t>
      </w:r>
      <w:r>
        <w:t>,</w:t>
      </w:r>
      <w:r w:rsidRPr="00FA2FB3">
        <w:t xml:space="preserve"> 2012). Climate features with smaller space and time scales are also simulated with lower skill, for example, tropical cyclones and thunderstorms. With increasing computer power and better understanding of climate processes, future models will include finer resolution and more processes, which </w:t>
      </w:r>
      <w:r>
        <w:t>is expected to</w:t>
      </w:r>
      <w:r w:rsidRPr="00FA2FB3">
        <w:t xml:space="preserve"> reduce some of these uncertainties.</w:t>
      </w:r>
      <w:r>
        <w:t xml:space="preserve"> Even so, t</w:t>
      </w:r>
      <w:r w:rsidRPr="00FA2FB3">
        <w:t>here will always be a range of uncertainty in climate projections.</w:t>
      </w:r>
    </w:p>
    <w:p w:rsidR="008237BB" w:rsidRDefault="008237BB" w:rsidP="008237BB">
      <w:pPr>
        <w:pStyle w:val="BodyText"/>
      </w:pPr>
      <w:r>
        <w:t>A more complete discussion of climate models is provided in both the IPCC’s Third and Fourth Assessment Reports.</w:t>
      </w:r>
    </w:p>
    <w:p w:rsidR="008237BB" w:rsidRDefault="008237BB" w:rsidP="008237BB">
      <w:pPr>
        <w:pStyle w:val="BodyText"/>
      </w:pPr>
      <w:r>
        <w:lastRenderedPageBreak/>
        <w:t>This study has been completed using currently available world best-practi</w:t>
      </w:r>
      <w:r w:rsidR="00940791">
        <w:t>c</w:t>
      </w:r>
      <w:r>
        <w:t>e methods</w:t>
      </w:r>
      <w:r w:rsidRPr="00E52CD2">
        <w:rPr>
          <w:szCs w:val="21"/>
        </w:rPr>
        <w:t xml:space="preserve"> </w:t>
      </w:r>
      <w:r>
        <w:rPr>
          <w:szCs w:val="21"/>
        </w:rPr>
        <w:t xml:space="preserve">and </w:t>
      </w:r>
      <w:r w:rsidRPr="00FA2FB3">
        <w:rPr>
          <w:szCs w:val="21"/>
        </w:rPr>
        <w:t>only used models which have been verified as producing acceptable results for the current climate of the Australian region</w:t>
      </w:r>
      <w:r>
        <w:t>. Climate science is a developing field and as such the results of this study need to be compared to future climate research to consider the ongoing validity of the results. Largely, the future-climate simulation in this study has been based on global, and subsequently regional, climate simulations that have, in turn, been based on the IPCC AR4 results. The IPCC Fifth Assessment Report (AR5) is due for release in September 2013. The research world, including such organisations as the CSIRO, is a constantly evolving source of information relating to hazards and future-climate effects.</w:t>
      </w:r>
    </w:p>
    <w:p w:rsidR="008237BB" w:rsidRPr="009340CE" w:rsidRDefault="008237BB" w:rsidP="009340CE">
      <w:pPr>
        <w:pStyle w:val="Heading2"/>
      </w:pPr>
      <w:bookmarkStart w:id="1585" w:name="_Toc346261465"/>
      <w:bookmarkStart w:id="1586" w:name="_Toc346632763"/>
      <w:bookmarkStart w:id="1587" w:name="_Toc346632875"/>
      <w:bookmarkStart w:id="1588" w:name="_Toc346632987"/>
      <w:bookmarkStart w:id="1589" w:name="_Toc346633099"/>
      <w:bookmarkStart w:id="1590" w:name="_Toc346633211"/>
      <w:bookmarkStart w:id="1591" w:name="_Toc347401644"/>
      <w:bookmarkStart w:id="1592" w:name="_Toc347401756"/>
      <w:bookmarkStart w:id="1593" w:name="_Toc347401868"/>
      <w:bookmarkStart w:id="1594" w:name="_Toc347401980"/>
      <w:bookmarkStart w:id="1595" w:name="_Toc347402092"/>
      <w:bookmarkStart w:id="1596" w:name="_Toc349055272"/>
      <w:bookmarkStart w:id="1597" w:name="_Toc349055385"/>
      <w:bookmarkStart w:id="1598" w:name="_Toc349055498"/>
      <w:bookmarkStart w:id="1599" w:name="_Toc349055611"/>
      <w:bookmarkStart w:id="1600" w:name="_Toc349055724"/>
      <w:bookmarkStart w:id="1601" w:name="_Toc349116941"/>
      <w:bookmarkStart w:id="1602" w:name="_Toc350330041"/>
      <w:bookmarkStart w:id="1603" w:name="_Toc350344019"/>
      <w:bookmarkStart w:id="1604" w:name="_Toc354404058"/>
      <w:bookmarkStart w:id="1605" w:name="_Toc354492726"/>
      <w:bookmarkStart w:id="1606" w:name="_Toc354492867"/>
      <w:bookmarkStart w:id="1607" w:name="_Toc354492973"/>
      <w:bookmarkStart w:id="1608" w:name="_Toc354493103"/>
      <w:bookmarkStart w:id="1609" w:name="_Toc354493264"/>
      <w:bookmarkStart w:id="1610" w:name="_Toc354493733"/>
      <w:bookmarkStart w:id="1611" w:name="_Toc354494268"/>
      <w:bookmarkStart w:id="1612" w:name="_Toc354494486"/>
      <w:bookmarkStart w:id="1613" w:name="_Toc354494697"/>
      <w:bookmarkStart w:id="1614" w:name="_Toc354494991"/>
      <w:bookmarkStart w:id="1615" w:name="_Toc354497873"/>
      <w:bookmarkStart w:id="1616" w:name="_Toc354561286"/>
      <w:bookmarkStart w:id="1617" w:name="_Toc355249626"/>
      <w:bookmarkStart w:id="1618" w:name="_Toc357586093"/>
      <w:r w:rsidRPr="009340CE">
        <w:t>Future Work</w:t>
      </w:r>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p>
    <w:p w:rsidR="008237BB" w:rsidRDefault="008237BB" w:rsidP="008237BB">
      <w:pPr>
        <w:pStyle w:val="BodyText"/>
      </w:pPr>
      <w:r>
        <w:t>The future work described below, if undertaken, would allow a more in-depth understanding of the current hazard and reduce the uncertainty in the future-climate hazard predictions. In addition, these efforts would further translate the understanding of hazard into the determination of the risk to local population and council asset that climate change impact poses. Future work includes, but is not limited to extending the hazards considered, extending the future-climate emissions scenarios considered, updating the hazard modelling and completing an exposure or risk assessment.</w:t>
      </w:r>
    </w:p>
    <w:p w:rsidR="008237BB" w:rsidRDefault="008237BB" w:rsidP="008237BB">
      <w:pPr>
        <w:pStyle w:val="BodyText"/>
      </w:pPr>
      <w:r>
        <w:t>Flood modelling was not within the scope of this study. Flood modelling should be included within an “all-hazards” approach; specifically as Rockhampton is prone to flood. This work should be undertaken with some urgency, and the spatial analysis of the flood regions included in the hazard GIS information available to the Rockhampton Regional Council. Currently proposed future residential subdivisions as well as infrastructure projects should be re-examined against this new flood hazard information.</w:t>
      </w:r>
    </w:p>
    <w:p w:rsidR="008237BB" w:rsidRDefault="008237BB" w:rsidP="008237BB">
      <w:pPr>
        <w:pStyle w:val="BodyText"/>
      </w:pPr>
      <w:r>
        <w:t xml:space="preserve">The development of climate science is greatly assisted by the IPCC assessment reports; the IPCC Fifth Assessment Report (AR5) is due for release in September 2013. This new climate science information, which for AR5 focuses on improved regional understanding of climate change, should be utilised in future studies to update the current understanding of climate-related hazard within the Rockhampton region. Specifically, the range of resulting future-climate hazard under </w:t>
      </w:r>
      <w:r w:rsidRPr="00AF222B">
        <w:rPr>
          <w:bCs/>
          <w:lang w:val="en"/>
        </w:rPr>
        <w:t xml:space="preserve">representative </w:t>
      </w:r>
      <w:r>
        <w:rPr>
          <w:bCs/>
          <w:lang w:val="en"/>
        </w:rPr>
        <w:t>c</w:t>
      </w:r>
      <w:r w:rsidRPr="00AF222B">
        <w:rPr>
          <w:bCs/>
          <w:lang w:val="en"/>
        </w:rPr>
        <w:t xml:space="preserve">oncentration </w:t>
      </w:r>
      <w:r>
        <w:rPr>
          <w:bCs/>
          <w:lang w:val="en"/>
        </w:rPr>
        <w:t>p</w:t>
      </w:r>
      <w:r w:rsidRPr="00AF222B">
        <w:rPr>
          <w:bCs/>
          <w:lang w:val="en"/>
        </w:rPr>
        <w:t xml:space="preserve">athways </w:t>
      </w:r>
      <w:r>
        <w:rPr>
          <w:lang w:val="en"/>
        </w:rPr>
        <w:t>should be determined. To date, t</w:t>
      </w:r>
      <w:r>
        <w:t xml:space="preserve">he IPCC has published a range of GHG emissions scenarios which are used to drive, or ‘force’, GCMs used for this and many other studies. These emissions scenarios are shown in </w:t>
      </w:r>
      <w:r w:rsidR="005D5011">
        <w:fldChar w:fldCharType="begin"/>
      </w:r>
      <w:r w:rsidR="005D5011">
        <w:instrText xml:space="preserve"> REF _Ref354476265 \h </w:instrText>
      </w:r>
      <w:r w:rsidR="005D5011">
        <w:fldChar w:fldCharType="separate"/>
      </w:r>
      <w:r w:rsidR="00413858">
        <w:t>Figure </w:t>
      </w:r>
      <w:r w:rsidR="00413858">
        <w:rPr>
          <w:noProof/>
        </w:rPr>
        <w:t>2</w:t>
      </w:r>
      <w:r w:rsidR="00413858">
        <w:t>.</w:t>
      </w:r>
      <w:r w:rsidR="00413858">
        <w:rPr>
          <w:noProof/>
        </w:rPr>
        <w:t>2</w:t>
      </w:r>
      <w:r w:rsidR="005D5011">
        <w:fldChar w:fldCharType="end"/>
      </w:r>
      <w:r>
        <w:t xml:space="preserve"> (p</w:t>
      </w:r>
      <w:r w:rsidR="005D5011">
        <w:fldChar w:fldCharType="begin"/>
      </w:r>
      <w:r w:rsidR="005D5011">
        <w:instrText xml:space="preserve"> PAGEREF _Ref354477157 \h </w:instrText>
      </w:r>
      <w:r w:rsidR="005D5011">
        <w:fldChar w:fldCharType="separate"/>
      </w:r>
      <w:r w:rsidR="00413858">
        <w:rPr>
          <w:noProof/>
        </w:rPr>
        <w:t>14</w:t>
      </w:r>
      <w:r w:rsidR="005D5011">
        <w:fldChar w:fldCharType="end"/>
      </w:r>
      <w:r>
        <w:t>) and the six GHG emissions scenario groups range from a low emissions scenario, B1, resulting in best estimate of 1.8 ºC increase through to the high scenario, A1FI, resulting in a best estimate of 4.0 ºC increase bot</w:t>
      </w:r>
      <w:r w:rsidR="00940791">
        <w:t>h by 2090-2099 relative to 1980</w:t>
      </w:r>
      <w:r w:rsidR="00940791">
        <w:noBreakHyphen/>
      </w:r>
      <w:r>
        <w:t>1999 global average surface temperatures. Completing hazard modelling for a range of GHG emissions scenarios provides a range of future hazard levels for consideration. The new greenhouse gas concentration trajectories will allow researchers to examine the range of climate model variability based around the premise of a stabilised green house gas concentration.</w:t>
      </w:r>
    </w:p>
    <w:p w:rsidR="008237BB" w:rsidRDefault="008237BB" w:rsidP="008237BB">
      <w:pPr>
        <w:pStyle w:val="BodyText"/>
      </w:pPr>
      <w:r>
        <w:t>Revised hazard levels based on IPCC AR5 data should be compared to outputs provided within this report so as to consider the ongoing veracity of the results.</w:t>
      </w:r>
    </w:p>
    <w:p w:rsidR="002F691C" w:rsidRDefault="008237BB" w:rsidP="008237BB">
      <w:pPr>
        <w:pStyle w:val="BodyText"/>
      </w:pPr>
      <w:r>
        <w:t xml:space="preserve">Via this study hazard layers have been produced and provided in map and digital form (for current and future-climate hazards). This hazard data can be combined with other data such as the location of infrastructure (roads, rail, bridges, houses etc) or people to identify the exposure (e.g. Hazelwood and Moore, 2012; Thomas and Burbidge, 2008) of this infrastructure to the hazard. Furthermore, with an understanding of the vulnerability of the infrastructure, or population, to the hazard the risk to the assets, and therefore the impact, can be calculated. Geoscience Australia has broad experience in </w:t>
      </w:r>
      <w:r>
        <w:lastRenderedPageBreak/>
        <w:t xml:space="preserve">completing risk assessments both within Australia (e.g. Cechet </w:t>
      </w:r>
      <w:r w:rsidRPr="007B6C0C">
        <w:rPr>
          <w:rStyle w:val="Bodytextitalic"/>
        </w:rPr>
        <w:t>et al.,</w:t>
      </w:r>
      <w:r>
        <w:t xml:space="preserve"> 2011, Middelmann-Fernandes, 2010, Jones </w:t>
      </w:r>
      <w:r w:rsidRPr="007B6C0C">
        <w:rPr>
          <w:rStyle w:val="Bodytextitalic"/>
        </w:rPr>
        <w:t>et al.,</w:t>
      </w:r>
      <w:r>
        <w:t xml:space="preserve"> 2005) and more broadly in the Asia</w:t>
      </w:r>
      <w:r>
        <w:noBreakHyphen/>
        <w:t>Pacific region (e.g. Simpson </w:t>
      </w:r>
      <w:r w:rsidRPr="007B6C0C">
        <w:rPr>
          <w:rStyle w:val="Bodytextitalic"/>
        </w:rPr>
        <w:t>et al., </w:t>
      </w:r>
      <w:r>
        <w:t>2008).</w:t>
      </w:r>
    </w:p>
    <w:p w:rsidR="001E2D14" w:rsidRDefault="001E2D14" w:rsidP="001E2D14">
      <w:pPr>
        <w:pStyle w:val="Bodyblankpage"/>
      </w:pPr>
      <w:r>
        <w:lastRenderedPageBreak/>
        <w:t>This page is intentionally blank</w:t>
      </w:r>
    </w:p>
    <w:p w:rsidR="008237BB" w:rsidRPr="009340CE" w:rsidRDefault="008237BB" w:rsidP="009340CE">
      <w:pPr>
        <w:pStyle w:val="Heading1"/>
      </w:pPr>
      <w:bookmarkStart w:id="1619" w:name="_Toc346261466"/>
      <w:bookmarkStart w:id="1620" w:name="_Toc346632764"/>
      <w:bookmarkStart w:id="1621" w:name="_Toc346632876"/>
      <w:bookmarkStart w:id="1622" w:name="_Toc346632988"/>
      <w:bookmarkStart w:id="1623" w:name="_Toc346633100"/>
      <w:bookmarkStart w:id="1624" w:name="_Toc346633212"/>
      <w:bookmarkStart w:id="1625" w:name="_Toc347401645"/>
      <w:bookmarkStart w:id="1626" w:name="_Toc347401757"/>
      <w:bookmarkStart w:id="1627" w:name="_Toc347401869"/>
      <w:bookmarkStart w:id="1628" w:name="_Toc347401981"/>
      <w:bookmarkStart w:id="1629" w:name="_Toc347402093"/>
      <w:bookmarkStart w:id="1630" w:name="_Toc349055273"/>
      <w:bookmarkStart w:id="1631" w:name="_Toc349055386"/>
      <w:bookmarkStart w:id="1632" w:name="_Toc349055499"/>
      <w:bookmarkStart w:id="1633" w:name="_Toc349055612"/>
      <w:bookmarkStart w:id="1634" w:name="_Toc349055725"/>
      <w:bookmarkStart w:id="1635" w:name="_Toc349116942"/>
      <w:bookmarkStart w:id="1636" w:name="_Toc350330042"/>
      <w:bookmarkStart w:id="1637" w:name="_Toc350344020"/>
      <w:bookmarkStart w:id="1638" w:name="_Toc354404059"/>
      <w:bookmarkStart w:id="1639" w:name="_Toc354492727"/>
      <w:bookmarkStart w:id="1640" w:name="_Toc354492868"/>
      <w:bookmarkStart w:id="1641" w:name="_Toc354492974"/>
      <w:bookmarkStart w:id="1642" w:name="_Toc354493104"/>
      <w:bookmarkStart w:id="1643" w:name="_Toc354493265"/>
      <w:bookmarkStart w:id="1644" w:name="_Toc354493734"/>
      <w:bookmarkStart w:id="1645" w:name="_Toc354494269"/>
      <w:bookmarkStart w:id="1646" w:name="_Toc354494487"/>
      <w:bookmarkStart w:id="1647" w:name="_Toc354494698"/>
      <w:bookmarkStart w:id="1648" w:name="_Toc354494992"/>
      <w:bookmarkStart w:id="1649" w:name="_Toc354497874"/>
      <w:bookmarkStart w:id="1650" w:name="_Toc354561287"/>
      <w:bookmarkStart w:id="1651" w:name="_Toc355249627"/>
      <w:bookmarkStart w:id="1652" w:name="_Toc357586094"/>
      <w:r w:rsidRPr="009340CE">
        <w:lastRenderedPageBreak/>
        <w:t>Conclusion</w:t>
      </w:r>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p>
    <w:p w:rsidR="002F691C" w:rsidRDefault="008237BB" w:rsidP="008237BB">
      <w:pPr>
        <w:pStyle w:val="BodyText"/>
      </w:pPr>
      <w:r>
        <w:t>This study aimed to identify the natural hazards in the Rockhampton region under current and future-climate conditions. The study covered many of the most prevalent natural hazards in the region, with the notable exception of flood. Hazards considered were tropical cyclone, bushfire, sea-level rise, storm tide and coastal erosion.</w:t>
      </w:r>
    </w:p>
    <w:p w:rsidR="002F691C" w:rsidRDefault="008237BB" w:rsidP="008237BB">
      <w:pPr>
        <w:pStyle w:val="BodyText"/>
      </w:pPr>
      <w:r>
        <w:t>This study draws on available scientific work undertaken by other agencies studying current and future climate, including a national storm tide study, and GCM simulations for mid-century (2050) and end of century (2100). This study builds on those outputs by applying hazard modelling techniques to develop an overview of multiple climate hazards in the Rockhampton region under current and future climate. The future-climate scenario considered here was the IPCC AR4 A2 GHG emissions scenario, a mid- to high</w:t>
      </w:r>
      <w:r>
        <w:noBreakHyphen/>
        <w:t>level emissions scenario (IPCC, 2007). The sea-level rise scenarios ranged between 0.3 m (for 2050) and 1.1 m (for 2100).</w:t>
      </w:r>
    </w:p>
    <w:p w:rsidR="002F691C" w:rsidRDefault="008237BB" w:rsidP="008237BB">
      <w:pPr>
        <w:pStyle w:val="BodyText"/>
      </w:pPr>
      <w:r>
        <w:t>The hazard modelling in this study identifies hazard at a regional scale, and the outputs were aimed at regional planning purposes. The results are not suited to fine</w:t>
      </w:r>
      <w:r>
        <w:noBreakHyphen/>
        <w:t>scale (high resolution) analysis due to the resolution of various input datasets and/or the models applied. The outputs from this study could be used to assess areas for potential land development. Where areas of interest are identified from the outputs of this study, more detailed hazard assessments should be carried out to generate local scale information.</w:t>
      </w:r>
      <w:r w:rsidRPr="00A208E3">
        <w:t xml:space="preserve"> </w:t>
      </w:r>
      <w:r>
        <w:t>This study did not carry out a formal analysis of the assets at risk from the hazards. However, such an analysis could be undertaken using the digital data resulting from this study.</w:t>
      </w:r>
    </w:p>
    <w:p w:rsidR="002F691C" w:rsidRDefault="008237BB" w:rsidP="008237BB">
      <w:pPr>
        <w:pStyle w:val="BodyText"/>
      </w:pPr>
      <w:r>
        <w:t>The Rockhampton region is already characterised by high hazard levels for all hazards considered in this study. Moreover, almost all hazards showed an increase in hazard level, although this increase was not uniform across the region, and the magnitude of increase varied between the hazards. Notably, the tropical cyclone wind hazard was the only hazard not to show a future-climate increase in hazard extent or magnitude. In fact, the results suggest a drop in hazard levels may be possible, although the change was not statistically significant.</w:t>
      </w:r>
    </w:p>
    <w:p w:rsidR="002F691C" w:rsidRDefault="008237BB" w:rsidP="008237BB">
      <w:pPr>
        <w:pStyle w:val="BodyText"/>
      </w:pPr>
      <w:r>
        <w:t>This report is part of a Rockhampton Regional Council project that aims to evaluate the ability of its existing urban planning principles and practices to accommodate climate change and the uncertainty of climate change impacts. The results of this study provide an assessment of regional hazard from extreme events for a particular emissions scenario. Land use planning should consider how the projected future hazard level would impact on proposed development. For some hazards, effective local planning could help neutralise the risk to some extent, such as storm surge or bushfire. Hazard levels across the wider region may need to be considered when it concerns planning of access roads or power lines. The present study did not include flooding, or consider the correlation between hazards such as cyclone and storm surge or flooding, both of which are important components of a full understanding of current and future hazard.</w:t>
      </w:r>
    </w:p>
    <w:p w:rsidR="008237BB" w:rsidRDefault="008237BB" w:rsidP="007B6C0C">
      <w:pPr>
        <w:pStyle w:val="Bodyblankpage"/>
      </w:pPr>
      <w:r>
        <w:lastRenderedPageBreak/>
        <w:t>This page is intentionally blank</w:t>
      </w:r>
    </w:p>
    <w:p w:rsidR="008237BB" w:rsidRPr="009340CE" w:rsidRDefault="008237BB" w:rsidP="009340CE">
      <w:pPr>
        <w:pStyle w:val="Heading1"/>
      </w:pPr>
      <w:bookmarkStart w:id="1653" w:name="_Toc346261467"/>
      <w:bookmarkStart w:id="1654" w:name="_Toc346632765"/>
      <w:bookmarkStart w:id="1655" w:name="_Toc346632877"/>
      <w:bookmarkStart w:id="1656" w:name="_Toc346632989"/>
      <w:bookmarkStart w:id="1657" w:name="_Toc346633101"/>
      <w:bookmarkStart w:id="1658" w:name="_Toc346633213"/>
      <w:bookmarkStart w:id="1659" w:name="_Toc347401646"/>
      <w:bookmarkStart w:id="1660" w:name="_Toc347401758"/>
      <w:bookmarkStart w:id="1661" w:name="_Toc347401870"/>
      <w:bookmarkStart w:id="1662" w:name="_Toc347401982"/>
      <w:bookmarkStart w:id="1663" w:name="_Toc347402094"/>
      <w:bookmarkStart w:id="1664" w:name="_Toc349055274"/>
      <w:bookmarkStart w:id="1665" w:name="_Toc349055387"/>
      <w:bookmarkStart w:id="1666" w:name="_Toc349055500"/>
      <w:bookmarkStart w:id="1667" w:name="_Toc349055613"/>
      <w:bookmarkStart w:id="1668" w:name="_Toc349055726"/>
      <w:bookmarkStart w:id="1669" w:name="_Toc349116943"/>
      <w:bookmarkStart w:id="1670" w:name="_Toc350330043"/>
      <w:bookmarkStart w:id="1671" w:name="_Toc350344021"/>
      <w:bookmarkStart w:id="1672" w:name="_Toc354404060"/>
      <w:bookmarkStart w:id="1673" w:name="_Toc354492728"/>
      <w:bookmarkStart w:id="1674" w:name="_Toc354492869"/>
      <w:bookmarkStart w:id="1675" w:name="_Toc354492975"/>
      <w:bookmarkStart w:id="1676" w:name="_Toc354493105"/>
      <w:bookmarkStart w:id="1677" w:name="_Toc354493266"/>
      <w:bookmarkStart w:id="1678" w:name="_Toc354493735"/>
      <w:bookmarkStart w:id="1679" w:name="_Toc354494270"/>
      <w:bookmarkStart w:id="1680" w:name="_Toc354494488"/>
      <w:bookmarkStart w:id="1681" w:name="_Toc354494699"/>
      <w:bookmarkStart w:id="1682" w:name="_Toc354494993"/>
      <w:bookmarkStart w:id="1683" w:name="_Toc354497875"/>
      <w:bookmarkStart w:id="1684" w:name="_Toc354561288"/>
      <w:bookmarkStart w:id="1685" w:name="_Toc355249628"/>
      <w:bookmarkStart w:id="1686" w:name="_Toc357586095"/>
      <w:r w:rsidRPr="009340CE">
        <w:lastRenderedPageBreak/>
        <w:t>References</w:t>
      </w:r>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p>
    <w:p w:rsidR="008237BB" w:rsidRDefault="008237BB" w:rsidP="004911EB">
      <w:pPr>
        <w:pStyle w:val="References"/>
      </w:pPr>
      <w:r w:rsidRPr="002A634B">
        <w:t>Abbs</w:t>
      </w:r>
      <w:r>
        <w:t>,</w:t>
      </w:r>
      <w:r w:rsidRPr="002A634B">
        <w:t xml:space="preserve"> D</w:t>
      </w:r>
      <w:r>
        <w:t>.</w:t>
      </w:r>
      <w:r w:rsidRPr="002A634B">
        <w:t>, Aryal</w:t>
      </w:r>
      <w:r>
        <w:t>,</w:t>
      </w:r>
      <w:r w:rsidRPr="002A634B">
        <w:t xml:space="preserve"> S</w:t>
      </w:r>
      <w:r>
        <w:t>.</w:t>
      </w:r>
      <w:r w:rsidRPr="002A634B">
        <w:t>, Campbell</w:t>
      </w:r>
      <w:r>
        <w:t>,</w:t>
      </w:r>
      <w:r w:rsidRPr="002A634B">
        <w:t xml:space="preserve"> E</w:t>
      </w:r>
      <w:r>
        <w:t>.</w:t>
      </w:r>
      <w:r w:rsidRPr="002A634B">
        <w:t>, McGregor</w:t>
      </w:r>
      <w:r>
        <w:t>,</w:t>
      </w:r>
      <w:r w:rsidRPr="002A634B">
        <w:t xml:space="preserve"> J</w:t>
      </w:r>
      <w:r>
        <w:t>.</w:t>
      </w:r>
      <w:r w:rsidRPr="002A634B">
        <w:t>, Nguyen</w:t>
      </w:r>
      <w:r>
        <w:t>,</w:t>
      </w:r>
      <w:r w:rsidRPr="002A634B">
        <w:t xml:space="preserve"> K</w:t>
      </w:r>
      <w:r>
        <w:t>.</w:t>
      </w:r>
      <w:r w:rsidRPr="002A634B">
        <w:t>, Palmer</w:t>
      </w:r>
      <w:r>
        <w:t>,</w:t>
      </w:r>
      <w:r w:rsidRPr="002A634B">
        <w:t xml:space="preserve"> M</w:t>
      </w:r>
      <w:r>
        <w:t>.</w:t>
      </w:r>
      <w:r w:rsidRPr="002A634B">
        <w:t>, Rafter</w:t>
      </w:r>
      <w:r>
        <w:t>,</w:t>
      </w:r>
      <w:r w:rsidRPr="002A634B">
        <w:t xml:space="preserve"> A</w:t>
      </w:r>
      <w:r>
        <w:t>.</w:t>
      </w:r>
      <w:r w:rsidRPr="002A634B">
        <w:t>, Watterson</w:t>
      </w:r>
      <w:r>
        <w:t>,</w:t>
      </w:r>
      <w:r w:rsidRPr="002A634B">
        <w:t xml:space="preserve"> I</w:t>
      </w:r>
      <w:r>
        <w:t>.</w:t>
      </w:r>
      <w:r w:rsidRPr="002A634B">
        <w:t xml:space="preserve"> and Bates</w:t>
      </w:r>
      <w:r>
        <w:t>,</w:t>
      </w:r>
      <w:r w:rsidRPr="002A634B">
        <w:t xml:space="preserve"> B</w:t>
      </w:r>
      <w:r>
        <w:t>.,</w:t>
      </w:r>
      <w:r w:rsidRPr="002A634B">
        <w:t xml:space="preserve"> 2006</w:t>
      </w:r>
      <w:r>
        <w:t>.</w:t>
      </w:r>
      <w:r w:rsidRPr="002A634B">
        <w:t xml:space="preserve"> Projections of Extreme Rainfall and Cyclones: Final Report to the Australian Greenhouse Office, </w:t>
      </w:r>
      <w:r w:rsidRPr="004911EB">
        <w:rPr>
          <w:rStyle w:val="Italic"/>
        </w:rPr>
        <w:t>CSIRO Marine and Atmospheric Research</w:t>
      </w:r>
      <w:r w:rsidRPr="002A634B">
        <w:t>, Canberra.</w:t>
      </w:r>
    </w:p>
    <w:p w:rsidR="002F691C" w:rsidRDefault="008237BB" w:rsidP="004911EB">
      <w:pPr>
        <w:pStyle w:val="References"/>
      </w:pPr>
      <w:r w:rsidRPr="002A634B">
        <w:t>Abbs, D</w:t>
      </w:r>
      <w:r>
        <w:t>.,</w:t>
      </w:r>
      <w:r w:rsidRPr="002A634B">
        <w:t xml:space="preserve"> 2012. The impact of climate change on the climatology of tropical cyclones in the Australian region. CSIRO Climate Adaptation Flagship Working paper No. 11</w:t>
      </w:r>
      <w:r w:rsidR="00C3610F">
        <w:t>. Available online:</w:t>
      </w:r>
      <w:r w:rsidRPr="002A634B">
        <w:t xml:space="preserve"> </w:t>
      </w:r>
      <w:hyperlink r:id="rId31" w:tooltip="CSIRO website" w:history="1">
        <w:r w:rsidRPr="00E20911">
          <w:rPr>
            <w:rStyle w:val="Hyperlink"/>
          </w:rPr>
          <w:t>http://www.csiro.au/en/Organisation-Structure/Flagships/Climate-Adaptation-Flagship/CAF-working-papers.aspx</w:t>
        </w:r>
      </w:hyperlink>
    </w:p>
    <w:p w:rsidR="002F691C" w:rsidRDefault="008237BB" w:rsidP="004911EB">
      <w:pPr>
        <w:pStyle w:val="References"/>
      </w:pPr>
      <w:r w:rsidRPr="007E0ECA">
        <w:t xml:space="preserve">ACE CRC (2010). </w:t>
      </w:r>
      <w:r w:rsidRPr="000E2317">
        <w:rPr>
          <w:iCs/>
        </w:rPr>
        <w:t>Climate Futures for Tasmania climate modelling: the summary</w:t>
      </w:r>
      <w:r w:rsidRPr="007E0ECA">
        <w:t xml:space="preserve">, </w:t>
      </w:r>
      <w:r w:rsidRPr="004911EB">
        <w:rPr>
          <w:rStyle w:val="Italic"/>
        </w:rPr>
        <w:t>Antarctic Climate and Ecosystems Cooperative Research Centre</w:t>
      </w:r>
      <w:r w:rsidRPr="007E0ECA">
        <w:t>, Hobart, Tasmania.</w:t>
      </w:r>
      <w:r>
        <w:t xml:space="preserve"> </w:t>
      </w:r>
      <w:r w:rsidRPr="007E0ECA">
        <w:t xml:space="preserve">Project reports and summaries are available </w:t>
      </w:r>
      <w:r w:rsidR="00C3610F">
        <w:t>online</w:t>
      </w:r>
      <w:r w:rsidRPr="007E0ECA">
        <w:t xml:space="preserve">: </w:t>
      </w:r>
      <w:hyperlink r:id="rId32" w:tooltip="ACE CRC website" w:history="1">
        <w:r w:rsidRPr="00045847">
          <w:rPr>
            <w:rStyle w:val="Hyperlink"/>
          </w:rPr>
          <w:t>www.climatechange.tas.gov.au</w:t>
        </w:r>
      </w:hyperlink>
    </w:p>
    <w:p w:rsidR="008237BB" w:rsidRDefault="008237BB" w:rsidP="004911EB">
      <w:pPr>
        <w:pStyle w:val="References"/>
      </w:pPr>
      <w:r w:rsidRPr="007E641B">
        <w:t>Alexand</w:t>
      </w:r>
      <w:r>
        <w:t xml:space="preserve">er, L. V., and </w:t>
      </w:r>
      <w:r w:rsidRPr="007E641B">
        <w:t>Arblaster</w:t>
      </w:r>
      <w:r>
        <w:t>,</w:t>
      </w:r>
      <w:r w:rsidRPr="007E641B">
        <w:t xml:space="preserve"> J</w:t>
      </w:r>
      <w:r>
        <w:t xml:space="preserve">. </w:t>
      </w:r>
      <w:r w:rsidRPr="007E641B">
        <w:t>M.</w:t>
      </w:r>
      <w:r>
        <w:t>,</w:t>
      </w:r>
      <w:r w:rsidRPr="007E641B">
        <w:t xml:space="preserve"> 2009. Assessing trends in observed and modelled climate extremes over Australia in relation to fu</w:t>
      </w:r>
      <w:r>
        <w:t xml:space="preserve">ture projections. </w:t>
      </w:r>
      <w:r w:rsidRPr="004911EB">
        <w:rPr>
          <w:rStyle w:val="Italic"/>
        </w:rPr>
        <w:t>International Journal of Climatology</w:t>
      </w:r>
      <w:r w:rsidRPr="007E641B">
        <w:t xml:space="preserve">. </w:t>
      </w:r>
      <w:r w:rsidRPr="004911EB">
        <w:rPr>
          <w:rStyle w:val="Bold"/>
        </w:rPr>
        <w:t>29</w:t>
      </w:r>
      <w:r w:rsidRPr="007E641B">
        <w:t>, 417–435</w:t>
      </w:r>
    </w:p>
    <w:p w:rsidR="008237BB" w:rsidRDefault="008237BB" w:rsidP="004911EB">
      <w:pPr>
        <w:pStyle w:val="References"/>
      </w:pPr>
      <w:r w:rsidRPr="002A634B">
        <w:t>Amiro, B. D., 2001</w:t>
      </w:r>
      <w:r>
        <w:t>.</w:t>
      </w:r>
      <w:r w:rsidRPr="002A634B">
        <w:t xml:space="preserve"> Paired-tower measurements of carbon and energy fluxes following disturbance in the boreal forest. </w:t>
      </w:r>
      <w:r w:rsidRPr="004911EB">
        <w:rPr>
          <w:rStyle w:val="Italic"/>
        </w:rPr>
        <w:t>Global Change Biology</w:t>
      </w:r>
      <w:r w:rsidRPr="002A634B">
        <w:t xml:space="preserve">. </w:t>
      </w:r>
      <w:r w:rsidRPr="004911EB">
        <w:rPr>
          <w:rStyle w:val="Bold"/>
        </w:rPr>
        <w:t>7</w:t>
      </w:r>
      <w:r w:rsidRPr="002A634B">
        <w:t>, 253–268.</w:t>
      </w:r>
    </w:p>
    <w:p w:rsidR="002F691C" w:rsidRDefault="008237BB" w:rsidP="004911EB">
      <w:pPr>
        <w:pStyle w:val="References"/>
      </w:pPr>
      <w:r w:rsidRPr="002A634B">
        <w:t>Arthur, W.</w:t>
      </w:r>
      <w:r>
        <w:t xml:space="preserve"> </w:t>
      </w:r>
      <w:r w:rsidRPr="002A634B">
        <w:t>C.</w:t>
      </w:r>
      <w:r>
        <w:t>,</w:t>
      </w:r>
      <w:r w:rsidRPr="002A634B">
        <w:t xml:space="preserve"> (In prep). A statistical-parametric model of tropical cyclones for hazard assessment. </w:t>
      </w:r>
      <w:r w:rsidRPr="004911EB">
        <w:rPr>
          <w:rStyle w:val="Italic"/>
        </w:rPr>
        <w:t>Geoscience Australia</w:t>
      </w:r>
      <w:r w:rsidRPr="002A634B">
        <w:t>.</w:t>
      </w:r>
    </w:p>
    <w:p w:rsidR="002F691C" w:rsidRDefault="008237BB" w:rsidP="004911EB">
      <w:pPr>
        <w:pStyle w:val="References"/>
      </w:pPr>
      <w:r>
        <w:t>Arthur, W. C., Cechet,</w:t>
      </w:r>
      <w:r w:rsidRPr="00807BA7">
        <w:t xml:space="preserve"> </w:t>
      </w:r>
      <w:r>
        <w:t xml:space="preserve">R. P., Divi, C. B., Dunford, M., Sanabria, L.A., Thomas, C.M., Wehner, M. and Yang, T., (In prep). National Wind Risk Assessment (NWRA): a preliminary national assessment of wind risk to Australian communities under current and future climates; assessing adaptation options. </w:t>
      </w:r>
      <w:r w:rsidRPr="004911EB">
        <w:rPr>
          <w:rStyle w:val="Italic"/>
        </w:rPr>
        <w:t>Geoscience Australia Professional Opinion,</w:t>
      </w:r>
      <w:r>
        <w:t xml:space="preserve"> </w:t>
      </w:r>
      <w:r w:rsidRPr="004911EB">
        <w:rPr>
          <w:rStyle w:val="Bold"/>
        </w:rPr>
        <w:t>2011/12</w:t>
      </w:r>
      <w:r>
        <w:t>.</w:t>
      </w:r>
    </w:p>
    <w:p w:rsidR="008237BB" w:rsidRDefault="008237BB" w:rsidP="004911EB">
      <w:pPr>
        <w:pStyle w:val="References"/>
      </w:pPr>
      <w:r w:rsidRPr="002A634B">
        <w:t>Australian Hydrographic Service (AHS). 2012.</w:t>
      </w:r>
      <w:hyperlink r:id="rId33" w:tooltip="AHS website" w:history="1">
        <w:r w:rsidRPr="002A634B">
          <w:rPr>
            <w:rStyle w:val="Hyperlink"/>
          </w:rPr>
          <w:t>http://www.hydro.gov.au/aboutus/glossary.htm</w:t>
        </w:r>
      </w:hyperlink>
    </w:p>
    <w:p w:rsidR="008237BB" w:rsidRPr="00C3610F" w:rsidRDefault="008237BB" w:rsidP="00C3610F">
      <w:pPr>
        <w:pStyle w:val="References"/>
      </w:pPr>
      <w:r w:rsidRPr="00C3610F">
        <w:t>Beach Protection Authority 1979. Report on the Capricorn Coast. Beach Protection Authority,</w:t>
      </w:r>
      <w:r w:rsidR="00C3610F">
        <w:t xml:space="preserve"> </w:t>
      </w:r>
      <w:r w:rsidRPr="00C3610F">
        <w:t>Brisbane.</w:t>
      </w:r>
    </w:p>
    <w:p w:rsidR="008237BB" w:rsidRDefault="008237BB" w:rsidP="004911EB">
      <w:pPr>
        <w:pStyle w:val="References"/>
      </w:pPr>
      <w:r w:rsidRPr="002A634B">
        <w:t>Betts, R. A., 2006</w:t>
      </w:r>
      <w:r>
        <w:t>.</w:t>
      </w:r>
      <w:r w:rsidRPr="002A634B">
        <w:t xml:space="preserve"> Forcings and feedbacks by land ecosystem changes on climate change. </w:t>
      </w:r>
      <w:r w:rsidRPr="004911EB">
        <w:rPr>
          <w:rStyle w:val="Italic"/>
        </w:rPr>
        <w:t>Journal of Physics</w:t>
      </w:r>
      <w:r w:rsidRPr="002A634B">
        <w:t xml:space="preserve">., </w:t>
      </w:r>
      <w:r w:rsidRPr="004911EB">
        <w:rPr>
          <w:rStyle w:val="Bold"/>
        </w:rPr>
        <w:t>139</w:t>
      </w:r>
      <w:r w:rsidRPr="002A634B">
        <w:t>, 119–142.</w:t>
      </w:r>
    </w:p>
    <w:p w:rsidR="008237BB" w:rsidRDefault="008237BB" w:rsidP="004911EB">
      <w:pPr>
        <w:pStyle w:val="References"/>
      </w:pPr>
      <w:r w:rsidRPr="002A634B">
        <w:t>Bonfils, C., and D. Lobell</w:t>
      </w:r>
      <w:r>
        <w:t>.,</w:t>
      </w:r>
      <w:r w:rsidRPr="002A634B">
        <w:t xml:space="preserve"> 2007</w:t>
      </w:r>
      <w:r>
        <w:t>.</w:t>
      </w:r>
      <w:r w:rsidRPr="002A634B">
        <w:t xml:space="preserve"> Empirical evidence for a recent slowdown in irrigation-induced cooling. </w:t>
      </w:r>
      <w:r w:rsidRPr="004911EB">
        <w:rPr>
          <w:rStyle w:val="Italic"/>
        </w:rPr>
        <w:t>Proceeds of the National Academy of Science</w:t>
      </w:r>
      <w:r w:rsidRPr="002A634B">
        <w:t xml:space="preserve">. USA, </w:t>
      </w:r>
      <w:r w:rsidRPr="004911EB">
        <w:rPr>
          <w:rStyle w:val="Bold"/>
        </w:rPr>
        <w:t>104</w:t>
      </w:r>
      <w:r w:rsidRPr="002A634B">
        <w:t>, 13 582–13 587.</w:t>
      </w:r>
    </w:p>
    <w:p w:rsidR="008237BB" w:rsidRDefault="008237BB" w:rsidP="004911EB">
      <w:pPr>
        <w:pStyle w:val="References"/>
      </w:pPr>
      <w:r w:rsidRPr="002A634B">
        <w:t>Bowman, D. M. J. S., and Coauthors, 2009</w:t>
      </w:r>
      <w:r>
        <w:t>.</w:t>
      </w:r>
      <w:r w:rsidRPr="002A634B">
        <w:t xml:space="preserve"> Fire in the Earth system. </w:t>
      </w:r>
      <w:r w:rsidRPr="004911EB">
        <w:rPr>
          <w:rStyle w:val="Italic"/>
        </w:rPr>
        <w:t>Science</w:t>
      </w:r>
      <w:r w:rsidRPr="002A634B">
        <w:t>,</w:t>
      </w:r>
      <w:r w:rsidRPr="004911EB">
        <w:rPr>
          <w:rStyle w:val="Bold"/>
        </w:rPr>
        <w:t xml:space="preserve"> 324</w:t>
      </w:r>
      <w:r w:rsidRPr="002A634B">
        <w:t>, 481–484.</w:t>
      </w:r>
    </w:p>
    <w:p w:rsidR="008237BB" w:rsidRDefault="008237BB" w:rsidP="004911EB">
      <w:pPr>
        <w:pStyle w:val="References"/>
      </w:pPr>
      <w:r w:rsidRPr="002A634B">
        <w:t>Brooke, B., Ryan, D., Pietsch, T., Olley, J., Douglas, G., Packett, R., Radke, L. and Flood,</w:t>
      </w:r>
      <w:r>
        <w:t xml:space="preserve"> P.,</w:t>
      </w:r>
      <w:r w:rsidRPr="002A634B">
        <w:t xml:space="preserve"> 2008. Influence of climate fluctuations and changes in land use on Late Holocene and modern beach-ridge sedimentation on a tropical macrotidal coast: Keppel Bay, Queensland. Australia. </w:t>
      </w:r>
      <w:r w:rsidRPr="004911EB">
        <w:rPr>
          <w:rStyle w:val="Italic"/>
        </w:rPr>
        <w:t>. Marine Geology</w:t>
      </w:r>
      <w:r w:rsidRPr="002A634B">
        <w:t xml:space="preserve">, </w:t>
      </w:r>
      <w:r w:rsidRPr="004911EB">
        <w:rPr>
          <w:rStyle w:val="Bold"/>
        </w:rPr>
        <w:t>251</w:t>
      </w:r>
      <w:r w:rsidRPr="002A634B">
        <w:t>, 195-208.</w:t>
      </w:r>
    </w:p>
    <w:p w:rsidR="008237BB" w:rsidRDefault="008237BB" w:rsidP="004911EB">
      <w:pPr>
        <w:pStyle w:val="References"/>
      </w:pPr>
      <w:r>
        <w:t>Cai, M., and</w:t>
      </w:r>
      <w:r w:rsidRPr="002A634B">
        <w:t xml:space="preserve"> Kalnay</w:t>
      </w:r>
      <w:r>
        <w:t>, E.</w:t>
      </w:r>
      <w:r w:rsidRPr="002A634B">
        <w:t>, 2004</w:t>
      </w:r>
      <w:r>
        <w:t>.</w:t>
      </w:r>
      <w:r w:rsidRPr="002A634B">
        <w:t xml:space="preserve"> Response to the comments by Vose </w:t>
      </w:r>
      <w:r>
        <w:t>et al.,</w:t>
      </w:r>
      <w:r w:rsidRPr="002A634B">
        <w:t xml:space="preserve"> and Trenberth. Impact of land-use change on climate. </w:t>
      </w:r>
      <w:r w:rsidRPr="004911EB">
        <w:rPr>
          <w:rStyle w:val="Italic"/>
        </w:rPr>
        <w:t>Nature</w:t>
      </w:r>
      <w:r w:rsidRPr="002A634B">
        <w:t xml:space="preserve">, </w:t>
      </w:r>
      <w:r w:rsidRPr="004911EB">
        <w:rPr>
          <w:rStyle w:val="Bold"/>
        </w:rPr>
        <w:t>427</w:t>
      </w:r>
      <w:r w:rsidRPr="002A634B">
        <w:t>, 214.</w:t>
      </w:r>
    </w:p>
    <w:p w:rsidR="008237BB" w:rsidRDefault="008237BB" w:rsidP="004911EB">
      <w:pPr>
        <w:pStyle w:val="References"/>
      </w:pPr>
      <w:r w:rsidRPr="002A634B">
        <w:t>Carleton, A. M., Arnold,</w:t>
      </w:r>
      <w:r>
        <w:t xml:space="preserve"> </w:t>
      </w:r>
      <w:r w:rsidRPr="002A634B">
        <w:t>D. L.</w:t>
      </w:r>
      <w:r>
        <w:t>,</w:t>
      </w:r>
      <w:r w:rsidRPr="002A634B">
        <w:t xml:space="preserve"> Travis,</w:t>
      </w:r>
      <w:r>
        <w:t xml:space="preserve"> </w:t>
      </w:r>
      <w:r w:rsidRPr="002A634B">
        <w:t>D. J</w:t>
      </w:r>
      <w:r>
        <w:t>,</w:t>
      </w:r>
      <w:r w:rsidRPr="002A634B">
        <w:t xml:space="preserve"> Curran,</w:t>
      </w:r>
      <w:r>
        <w:t xml:space="preserve"> </w:t>
      </w:r>
      <w:r w:rsidRPr="002A634B">
        <w:t>S. and Adegoke,</w:t>
      </w:r>
      <w:r>
        <w:t xml:space="preserve"> </w:t>
      </w:r>
      <w:r w:rsidRPr="002A634B">
        <w:t>J. O.</w:t>
      </w:r>
      <w:r>
        <w:t>,</w:t>
      </w:r>
      <w:r w:rsidRPr="002A634B">
        <w:t xml:space="preserve"> 2008a</w:t>
      </w:r>
      <w:r>
        <w:t>.</w:t>
      </w:r>
      <w:r w:rsidRPr="002A634B">
        <w:t xml:space="preserve"> Synoptic circulation and land surface influences on convection in the Midwest U.S. “Corn Belt” during the summers of 1999 and 2000. Part I: Composite synoptic environments. </w:t>
      </w:r>
      <w:r w:rsidRPr="004911EB">
        <w:rPr>
          <w:rStyle w:val="Italic"/>
        </w:rPr>
        <w:t>Journal of Climate</w:t>
      </w:r>
      <w:r w:rsidRPr="002A634B">
        <w:t xml:space="preserve">, </w:t>
      </w:r>
      <w:r w:rsidRPr="004911EB">
        <w:rPr>
          <w:rStyle w:val="Bold"/>
        </w:rPr>
        <w:t>21</w:t>
      </w:r>
      <w:r w:rsidRPr="002A634B">
        <w:t>, 3389–3414.</w:t>
      </w:r>
    </w:p>
    <w:p w:rsidR="008237BB" w:rsidRDefault="008237BB" w:rsidP="004911EB">
      <w:pPr>
        <w:pStyle w:val="References"/>
      </w:pPr>
      <w:r w:rsidRPr="002A634B">
        <w:t>Carleton, A.M., Travis,</w:t>
      </w:r>
      <w:r>
        <w:t xml:space="preserve"> </w:t>
      </w:r>
      <w:r w:rsidRPr="002A634B">
        <w:t>D. J.</w:t>
      </w:r>
      <w:r>
        <w:t>,</w:t>
      </w:r>
      <w:r w:rsidRPr="002A634B">
        <w:t xml:space="preserve"> Adegoke,</w:t>
      </w:r>
      <w:r>
        <w:t xml:space="preserve"> </w:t>
      </w:r>
      <w:r w:rsidRPr="002A634B">
        <w:t>J. O.</w:t>
      </w:r>
      <w:r>
        <w:t>,</w:t>
      </w:r>
      <w:r w:rsidRPr="002A634B">
        <w:t xml:space="preserve"> Arnold,</w:t>
      </w:r>
      <w:r>
        <w:t xml:space="preserve"> </w:t>
      </w:r>
      <w:r w:rsidRPr="002A634B">
        <w:t>D. L.</w:t>
      </w:r>
      <w:r>
        <w:t>,</w:t>
      </w:r>
      <w:r w:rsidRPr="002A634B">
        <w:t xml:space="preserve"> and Curran,</w:t>
      </w:r>
      <w:r>
        <w:t xml:space="preserve"> </w:t>
      </w:r>
      <w:r w:rsidRPr="002A634B">
        <w:t>S.</w:t>
      </w:r>
      <w:r>
        <w:t>,</w:t>
      </w:r>
      <w:r w:rsidRPr="002A634B">
        <w:t xml:space="preserve"> 2008b</w:t>
      </w:r>
      <w:r>
        <w:t>.</w:t>
      </w:r>
      <w:r w:rsidRPr="002A634B">
        <w:t xml:space="preserve"> Synoptic circulation and land surface influences on convection in the Midwest U.S. “Corn Belt” during the summers of 1999 and 2000. Part II: Role of vegetation boundaries. </w:t>
      </w:r>
      <w:r w:rsidRPr="004911EB">
        <w:rPr>
          <w:rStyle w:val="Italic"/>
        </w:rPr>
        <w:t>Journal of Climate</w:t>
      </w:r>
      <w:r w:rsidRPr="002A634B">
        <w:t xml:space="preserve">, </w:t>
      </w:r>
      <w:r w:rsidRPr="004911EB">
        <w:rPr>
          <w:rStyle w:val="Bold"/>
        </w:rPr>
        <w:t>21</w:t>
      </w:r>
      <w:r w:rsidRPr="002A634B">
        <w:t>, 3617–3641</w:t>
      </w:r>
    </w:p>
    <w:p w:rsidR="002F691C" w:rsidRDefault="008237BB" w:rsidP="004911EB">
      <w:pPr>
        <w:pStyle w:val="References"/>
      </w:pPr>
      <w:r>
        <w:t xml:space="preserve">Cechet, R., Sanabria, A., Yang, T., Arthur, W. C., Wang, C. H., and Wang, X., 2011. An Assessment of severe wind hazard and risk for Queensland’s Sunshine Coast Region. </w:t>
      </w:r>
      <w:r w:rsidRPr="004911EB">
        <w:rPr>
          <w:rStyle w:val="Italic"/>
        </w:rPr>
        <w:t>19</w:t>
      </w:r>
      <w:r w:rsidRPr="004911EB">
        <w:rPr>
          <w:rStyle w:val="SuperscriptItalic"/>
        </w:rPr>
        <w:t>th</w:t>
      </w:r>
      <w:r w:rsidRPr="004911EB">
        <w:rPr>
          <w:rStyle w:val="Italic"/>
        </w:rPr>
        <w:t xml:space="preserve"> International Congress on Modelling and Simulation</w:t>
      </w:r>
      <w:r>
        <w:t xml:space="preserve">, Perth, Australia, 12-16 December 2011. Available online: </w:t>
      </w:r>
      <w:hyperlink r:id="rId34" w:tooltip="ModSim 2011 conference website" w:history="1">
        <w:r w:rsidRPr="00255AB5">
          <w:rPr>
            <w:rStyle w:val="Hyperlink"/>
          </w:rPr>
          <w:t>http://www.mssanz.org.au/modsim2011/F7/cechet.pdf</w:t>
        </w:r>
      </w:hyperlink>
    </w:p>
    <w:p w:rsidR="002F691C" w:rsidRDefault="008237BB" w:rsidP="004911EB">
      <w:pPr>
        <w:pStyle w:val="References"/>
      </w:pPr>
      <w:r w:rsidRPr="002A634B">
        <w:lastRenderedPageBreak/>
        <w:t>Cechet, R., Hazelwood, M., Skene, D., Griffin, C., Dunford, M., Power, L., Canterford, S., Nadimpalli, K., Taylor, P., Woolf, M. and Anderson, H. 2012</w:t>
      </w:r>
      <w:r>
        <w:t>.</w:t>
      </w:r>
      <w:r w:rsidRPr="002A634B">
        <w:t xml:space="preserve"> Impacts of climate change on human settlements and other nationally significant infrastructure in the coastal zone.</w:t>
      </w:r>
      <w:r w:rsidRPr="005705CE">
        <w:t xml:space="preserve"> </w:t>
      </w:r>
      <w:r w:rsidRPr="004911EB">
        <w:rPr>
          <w:rStyle w:val="Italic"/>
        </w:rPr>
        <w:t>Geoscience Australia Record,</w:t>
      </w:r>
      <w:r w:rsidRPr="002A634B">
        <w:t xml:space="preserve"> </w:t>
      </w:r>
      <w:r w:rsidRPr="004911EB">
        <w:rPr>
          <w:rStyle w:val="Bold"/>
        </w:rPr>
        <w:t>2012/65</w:t>
      </w:r>
      <w:r w:rsidRPr="002A634B">
        <w:t>.</w:t>
      </w:r>
    </w:p>
    <w:p w:rsidR="008237BB" w:rsidRDefault="008237BB" w:rsidP="004911EB">
      <w:pPr>
        <w:pStyle w:val="References"/>
      </w:pPr>
      <w:r w:rsidRPr="002A634B">
        <w:t>Chambers, S. D., and Chapin</w:t>
      </w:r>
      <w:r>
        <w:t xml:space="preserve">, </w:t>
      </w:r>
      <w:r w:rsidRPr="002A634B">
        <w:t>F. S. III, 2003</w:t>
      </w:r>
      <w:r>
        <w:t>.</w:t>
      </w:r>
      <w:r w:rsidRPr="002A634B">
        <w:t xml:space="preserve"> Fire effects on surface-atmosphere energy exchange in Alaskan black spruce ecosystems: Implications for feedbacks to regional climate. </w:t>
      </w:r>
      <w:r w:rsidRPr="004911EB">
        <w:rPr>
          <w:rStyle w:val="Italic"/>
        </w:rPr>
        <w:t>Journal of Geophysical Research: Atmospheres</w:t>
      </w:r>
      <w:r w:rsidRPr="002A634B">
        <w:t xml:space="preserve">, </w:t>
      </w:r>
      <w:r w:rsidRPr="004911EB">
        <w:rPr>
          <w:rStyle w:val="Bold"/>
        </w:rPr>
        <w:t>107</w:t>
      </w:r>
      <w:r w:rsidRPr="002A634B">
        <w:t>, 8145, doi:10.1029/2001JD000530.</w:t>
      </w:r>
    </w:p>
    <w:p w:rsidR="008237BB" w:rsidRDefault="008237BB" w:rsidP="004911EB">
      <w:pPr>
        <w:pStyle w:val="References"/>
      </w:pPr>
      <w:r w:rsidRPr="002A634B">
        <w:t>Chambers, S. D., Beringer,</w:t>
      </w:r>
      <w:r>
        <w:t xml:space="preserve"> </w:t>
      </w:r>
      <w:r w:rsidRPr="002A634B">
        <w:t>J.</w:t>
      </w:r>
      <w:r>
        <w:t>,</w:t>
      </w:r>
      <w:r w:rsidRPr="002A634B">
        <w:t xml:space="preserve"> Randerson,</w:t>
      </w:r>
      <w:r>
        <w:t xml:space="preserve"> </w:t>
      </w:r>
      <w:r w:rsidRPr="002A634B">
        <w:t>J. T.</w:t>
      </w:r>
      <w:r>
        <w:t>,</w:t>
      </w:r>
      <w:r w:rsidRPr="002A634B">
        <w:t xml:space="preserve"> and Chapin</w:t>
      </w:r>
      <w:r>
        <w:t xml:space="preserve">, </w:t>
      </w:r>
      <w:r w:rsidRPr="002A634B">
        <w:t>F. S. III, 2005</w:t>
      </w:r>
      <w:r>
        <w:t>.</w:t>
      </w:r>
      <w:r w:rsidRPr="002A634B">
        <w:t xml:space="preserve"> Fire effects on net radian and energy partitioning: Contrasting responses of tundra and boreal forest ecosystems. </w:t>
      </w:r>
      <w:r w:rsidRPr="004911EB">
        <w:rPr>
          <w:rStyle w:val="Italic"/>
        </w:rPr>
        <w:t>Journal of Geophysical Research: Atmospheres</w:t>
      </w:r>
      <w:r w:rsidRPr="002A634B">
        <w:t xml:space="preserve">. </w:t>
      </w:r>
      <w:r w:rsidRPr="004911EB">
        <w:rPr>
          <w:rStyle w:val="Bold"/>
        </w:rPr>
        <w:t>110</w:t>
      </w:r>
      <w:r w:rsidRPr="002A634B">
        <w:t>, D09106, doi:10.1029/2004JD005299.</w:t>
      </w:r>
    </w:p>
    <w:p w:rsidR="008237BB" w:rsidRDefault="008237BB" w:rsidP="004911EB">
      <w:pPr>
        <w:pStyle w:val="References"/>
      </w:pPr>
      <w:r w:rsidRPr="002A634B">
        <w:t>Chase, T. N., Pielke,</w:t>
      </w:r>
      <w:r>
        <w:t xml:space="preserve"> </w:t>
      </w:r>
      <w:r w:rsidRPr="002A634B">
        <w:t>R. A.</w:t>
      </w:r>
      <w:r>
        <w:t>,</w:t>
      </w:r>
      <w:r w:rsidRPr="002A634B">
        <w:t xml:space="preserve"> Kittel,</w:t>
      </w:r>
      <w:r>
        <w:t xml:space="preserve"> </w:t>
      </w:r>
      <w:r w:rsidRPr="002A634B">
        <w:t>T. G. F.</w:t>
      </w:r>
      <w:r>
        <w:t>,</w:t>
      </w:r>
      <w:r w:rsidRPr="002A634B">
        <w:t xml:space="preserve"> Nemani</w:t>
      </w:r>
      <w:r>
        <w:t xml:space="preserve">, </w:t>
      </w:r>
      <w:r w:rsidRPr="002A634B">
        <w:t>R. R., and Running,</w:t>
      </w:r>
      <w:r>
        <w:t xml:space="preserve"> </w:t>
      </w:r>
      <w:r w:rsidRPr="002A634B">
        <w:t>S. W.</w:t>
      </w:r>
      <w:r>
        <w:t>,</w:t>
      </w:r>
      <w:r w:rsidRPr="002A634B">
        <w:t xml:space="preserve"> 2000</w:t>
      </w:r>
      <w:r>
        <w:t>.</w:t>
      </w:r>
      <w:r w:rsidRPr="002A634B">
        <w:t xml:space="preserve"> Simulated impacts of historical land cover changes on global climate in northern winter. </w:t>
      </w:r>
      <w:r w:rsidRPr="004911EB">
        <w:rPr>
          <w:rStyle w:val="Italic"/>
        </w:rPr>
        <w:t>Climate Dynamics</w:t>
      </w:r>
      <w:r w:rsidRPr="002A634B">
        <w:t xml:space="preserve">., </w:t>
      </w:r>
      <w:r w:rsidRPr="004911EB">
        <w:rPr>
          <w:rStyle w:val="Bold"/>
        </w:rPr>
        <w:t>16</w:t>
      </w:r>
      <w:r w:rsidRPr="002A634B">
        <w:t>, 93–105.</w:t>
      </w:r>
    </w:p>
    <w:p w:rsidR="008237BB" w:rsidRDefault="008237BB" w:rsidP="004911EB">
      <w:pPr>
        <w:pStyle w:val="References"/>
      </w:pPr>
      <w:r w:rsidRPr="002A634B">
        <w:t>Christy, J. R., Norris,</w:t>
      </w:r>
      <w:r>
        <w:t xml:space="preserve"> </w:t>
      </w:r>
      <w:r w:rsidRPr="002A634B">
        <w:t>W. B.</w:t>
      </w:r>
      <w:r>
        <w:t>,</w:t>
      </w:r>
      <w:r w:rsidRPr="002A634B">
        <w:t xml:space="preserve"> Redmond,</w:t>
      </w:r>
      <w:r>
        <w:t xml:space="preserve"> </w:t>
      </w:r>
      <w:r w:rsidRPr="002A634B">
        <w:t>K.</w:t>
      </w:r>
      <w:r>
        <w:t>,</w:t>
      </w:r>
      <w:r w:rsidRPr="002A634B">
        <w:t xml:space="preserve"> and Gallo,</w:t>
      </w:r>
      <w:r>
        <w:t xml:space="preserve"> </w:t>
      </w:r>
      <w:r w:rsidRPr="002A634B">
        <w:t>K. P.</w:t>
      </w:r>
      <w:r>
        <w:t>,</w:t>
      </w:r>
      <w:r w:rsidRPr="002A634B">
        <w:t xml:space="preserve"> 2006</w:t>
      </w:r>
      <w:r>
        <w:t>.</w:t>
      </w:r>
      <w:r w:rsidRPr="002A634B">
        <w:t xml:space="preserve"> Methodology and results of calculating central California surface temperature trends: Evidence of human-induced climate change? </w:t>
      </w:r>
      <w:r w:rsidRPr="004911EB">
        <w:rPr>
          <w:rStyle w:val="Italic"/>
        </w:rPr>
        <w:t>Journal of Climate</w:t>
      </w:r>
      <w:r w:rsidRPr="002A634B">
        <w:t xml:space="preserve">, </w:t>
      </w:r>
      <w:r w:rsidRPr="004911EB">
        <w:rPr>
          <w:rStyle w:val="Bold"/>
        </w:rPr>
        <w:t>19</w:t>
      </w:r>
      <w:r w:rsidRPr="002A634B">
        <w:t>, 548–563.</w:t>
      </w:r>
    </w:p>
    <w:p w:rsidR="008237BB" w:rsidRDefault="008237BB" w:rsidP="004911EB">
      <w:pPr>
        <w:pStyle w:val="References"/>
      </w:pPr>
      <w:r w:rsidRPr="007F7D8F">
        <w:t>Church, J.</w:t>
      </w:r>
      <w:r>
        <w:t xml:space="preserve"> </w:t>
      </w:r>
      <w:r w:rsidRPr="007F7D8F">
        <w:t>A.</w:t>
      </w:r>
      <w:r>
        <w:t>,</w:t>
      </w:r>
      <w:r w:rsidRPr="007F7D8F">
        <w:t xml:space="preserve"> and White, N.</w:t>
      </w:r>
      <w:r>
        <w:t xml:space="preserve"> </w:t>
      </w:r>
      <w:r w:rsidRPr="007F7D8F">
        <w:t>J.</w:t>
      </w:r>
      <w:r>
        <w:t>,</w:t>
      </w:r>
      <w:r w:rsidRPr="007F7D8F">
        <w:t xml:space="preserve"> 2011. Sea-level rise from the late 19th to the early 21st Century. </w:t>
      </w:r>
      <w:r w:rsidRPr="004911EB">
        <w:rPr>
          <w:rStyle w:val="Italic"/>
        </w:rPr>
        <w:t>Surveys in Geophysics</w:t>
      </w:r>
      <w:r>
        <w:t>,</w:t>
      </w:r>
      <w:r w:rsidRPr="007F7D8F">
        <w:t xml:space="preserve"> </w:t>
      </w:r>
      <w:r w:rsidRPr="004911EB">
        <w:rPr>
          <w:rStyle w:val="Bold"/>
        </w:rPr>
        <w:t>32</w:t>
      </w:r>
      <w:r w:rsidRPr="007F7D8F">
        <w:t>, 585-602, DOI:10.1007/s10712-011-9119-1.</w:t>
      </w:r>
    </w:p>
    <w:p w:rsidR="008237BB" w:rsidRDefault="008237BB" w:rsidP="004911EB">
      <w:pPr>
        <w:pStyle w:val="References"/>
      </w:pPr>
      <w:r>
        <w:t xml:space="preserve">Clarke H. G., Smith P. L. and Pitman A. J., 2011. Regional signatures of future fire weather over eastern Australia from global climate models, </w:t>
      </w:r>
      <w:r w:rsidRPr="004911EB">
        <w:rPr>
          <w:rStyle w:val="Italic"/>
        </w:rPr>
        <w:t>International Journal of Wildland Fire</w:t>
      </w:r>
      <w:r>
        <w:t xml:space="preserve">, </w:t>
      </w:r>
      <w:r w:rsidRPr="004911EB">
        <w:rPr>
          <w:rStyle w:val="Bold"/>
        </w:rPr>
        <w:t>20</w:t>
      </w:r>
      <w:r>
        <w:t>, 550-562</w:t>
      </w:r>
    </w:p>
    <w:p w:rsidR="008237BB" w:rsidRDefault="008237BB" w:rsidP="004911EB">
      <w:pPr>
        <w:pStyle w:val="References"/>
      </w:pPr>
      <w:r w:rsidRPr="002A634B">
        <w:t xml:space="preserve">Commonwealth Scientific and Industrial Research Organisation, 2003. </w:t>
      </w:r>
      <w:hyperlink r:id="rId35" w:tooltip="BoM website" w:history="1">
        <w:r w:rsidRPr="002A634B">
          <w:rPr>
            <w:rStyle w:val="Hyperlink"/>
          </w:rPr>
          <w:t>http://reg.bom.gov.au/info/cyclone/stormsurge.pdf</w:t>
        </w:r>
      </w:hyperlink>
    </w:p>
    <w:p w:rsidR="002F691C" w:rsidRDefault="008237BB" w:rsidP="004911EB">
      <w:pPr>
        <w:pStyle w:val="References"/>
      </w:pPr>
      <w:r w:rsidRPr="002A634B">
        <w:t>Commonwealth Scientific and Industrial Research Organisation. 2008</w:t>
      </w:r>
      <w:r w:rsidR="00C3610F">
        <w:t xml:space="preserve">. </w:t>
      </w:r>
      <w:hyperlink r:id="rId36" w:tooltip="CSIRO website" w:history="1">
        <w:r w:rsidRPr="002A634B">
          <w:rPr>
            <w:rStyle w:val="Hyperlink"/>
          </w:rPr>
          <w:t>http://www.cmar.csiro.au/sealevel/sl_drives_longer.html</w:t>
        </w:r>
      </w:hyperlink>
    </w:p>
    <w:p w:rsidR="008237BB" w:rsidRDefault="008237BB" w:rsidP="004911EB">
      <w:pPr>
        <w:pStyle w:val="References"/>
        <w:rPr>
          <w:rStyle w:val="Hyperlink"/>
        </w:rPr>
      </w:pPr>
      <w:r w:rsidRPr="002A634B">
        <w:t>Commonwealth Scientific and Industrial Research Organisation and the Bureau of Meterology. 2012</w:t>
      </w:r>
      <w:r>
        <w:t>.</w:t>
      </w:r>
      <w:r w:rsidRPr="002A634B">
        <w:t xml:space="preserve"> State of the Climate 2012. Published by CSIRO and the Australian Bureau of Meteorology</w:t>
      </w:r>
      <w:r w:rsidR="00C3610F">
        <w:t xml:space="preserve">. Available online: </w:t>
      </w:r>
      <w:hyperlink r:id="rId37" w:tooltip="CSIRO website" w:history="1">
        <w:r w:rsidRPr="002A634B">
          <w:rPr>
            <w:rStyle w:val="Hyperlink"/>
          </w:rPr>
          <w:t>http://www.csiro.au/Outcomes/Climate/Understanding/State-of-the-Climate-2012.aspx</w:t>
        </w:r>
      </w:hyperlink>
    </w:p>
    <w:p w:rsidR="008237BB" w:rsidRDefault="008237BB" w:rsidP="004911EB">
      <w:pPr>
        <w:pStyle w:val="References"/>
      </w:pPr>
      <w:r w:rsidRPr="002A634B">
        <w:t>Corney</w:t>
      </w:r>
      <w:r>
        <w:t>,</w:t>
      </w:r>
      <w:r w:rsidRPr="002A634B">
        <w:t xml:space="preserve"> S</w:t>
      </w:r>
      <w:r>
        <w:t xml:space="preserve">. </w:t>
      </w:r>
      <w:r w:rsidRPr="002A634B">
        <w:t>P</w:t>
      </w:r>
      <w:r>
        <w:t>.</w:t>
      </w:r>
      <w:r w:rsidRPr="002A634B">
        <w:t>, Katzfey</w:t>
      </w:r>
      <w:r>
        <w:t>,</w:t>
      </w:r>
      <w:r w:rsidRPr="002A634B">
        <w:t xml:space="preserve"> J</w:t>
      </w:r>
      <w:r>
        <w:t xml:space="preserve">. </w:t>
      </w:r>
      <w:r w:rsidRPr="002A634B">
        <w:t>J</w:t>
      </w:r>
      <w:r>
        <w:t>.</w:t>
      </w:r>
      <w:r w:rsidRPr="002A634B">
        <w:t>, McGregor</w:t>
      </w:r>
      <w:r>
        <w:t>,</w:t>
      </w:r>
      <w:r w:rsidRPr="002A634B">
        <w:t xml:space="preserve"> J</w:t>
      </w:r>
      <w:r>
        <w:t xml:space="preserve">. </w:t>
      </w:r>
      <w:r w:rsidRPr="002A634B">
        <w:t>L</w:t>
      </w:r>
      <w:r>
        <w:t>.</w:t>
      </w:r>
      <w:r w:rsidRPr="002A634B">
        <w:t>, Grose</w:t>
      </w:r>
      <w:r>
        <w:t>,</w:t>
      </w:r>
      <w:r w:rsidRPr="002A634B">
        <w:t xml:space="preserve"> M</w:t>
      </w:r>
      <w:r>
        <w:t xml:space="preserve">. </w:t>
      </w:r>
      <w:r w:rsidRPr="002A634B">
        <w:t>R</w:t>
      </w:r>
      <w:r>
        <w:t>.</w:t>
      </w:r>
      <w:r w:rsidRPr="002A634B">
        <w:t>, Bennett</w:t>
      </w:r>
      <w:r>
        <w:t>,</w:t>
      </w:r>
      <w:r w:rsidRPr="002A634B">
        <w:t xml:space="preserve"> J</w:t>
      </w:r>
      <w:r>
        <w:t xml:space="preserve">. </w:t>
      </w:r>
      <w:r w:rsidRPr="002A634B">
        <w:t>C</w:t>
      </w:r>
      <w:r>
        <w:t>.</w:t>
      </w:r>
      <w:r w:rsidRPr="002A634B">
        <w:t>, White</w:t>
      </w:r>
      <w:r>
        <w:t>,</w:t>
      </w:r>
      <w:r w:rsidRPr="002A634B">
        <w:t xml:space="preserve"> C</w:t>
      </w:r>
      <w:r>
        <w:t xml:space="preserve">. </w:t>
      </w:r>
      <w:r w:rsidRPr="002A634B">
        <w:t>J</w:t>
      </w:r>
      <w:r>
        <w:t>.</w:t>
      </w:r>
      <w:r w:rsidRPr="002A634B">
        <w:t>, Holz</w:t>
      </w:r>
      <w:r>
        <w:t>,</w:t>
      </w:r>
      <w:r w:rsidRPr="002A634B">
        <w:t xml:space="preserve"> G</w:t>
      </w:r>
      <w:r>
        <w:t xml:space="preserve">. </w:t>
      </w:r>
      <w:r w:rsidRPr="002A634B">
        <w:t>K</w:t>
      </w:r>
      <w:r>
        <w:t>.</w:t>
      </w:r>
      <w:r w:rsidRPr="002A634B">
        <w:t>, Gaynor</w:t>
      </w:r>
      <w:r>
        <w:t>,</w:t>
      </w:r>
      <w:r w:rsidRPr="002A634B">
        <w:t xml:space="preserve"> S</w:t>
      </w:r>
      <w:r>
        <w:t xml:space="preserve">. </w:t>
      </w:r>
      <w:r w:rsidRPr="002A634B">
        <w:t>M</w:t>
      </w:r>
      <w:r>
        <w:t>.,</w:t>
      </w:r>
      <w:r w:rsidRPr="002A634B">
        <w:t xml:space="preserve"> and Bindoff</w:t>
      </w:r>
      <w:r>
        <w:t>,</w:t>
      </w:r>
      <w:r w:rsidRPr="002A634B">
        <w:t xml:space="preserve"> N</w:t>
      </w:r>
      <w:r>
        <w:t xml:space="preserve">. </w:t>
      </w:r>
      <w:r w:rsidRPr="002A634B">
        <w:t>L</w:t>
      </w:r>
      <w:r>
        <w:t>.,</w:t>
      </w:r>
      <w:r w:rsidRPr="002A634B">
        <w:t xml:space="preserve"> 2010</w:t>
      </w:r>
      <w:r>
        <w:t>.</w:t>
      </w:r>
      <w:r w:rsidRPr="002A634B">
        <w:t xml:space="preserve"> Climate Futures for Tasmania: climate modelling technical report</w:t>
      </w:r>
      <w:r>
        <w:t>.</w:t>
      </w:r>
      <w:r w:rsidRPr="002A634B">
        <w:t xml:space="preserve"> </w:t>
      </w:r>
      <w:r w:rsidRPr="004911EB">
        <w:rPr>
          <w:rStyle w:val="Italic"/>
        </w:rPr>
        <w:t>Antarctic Climate and Ecosystems Cooperative Research Centre</w:t>
      </w:r>
      <w:r w:rsidRPr="002A634B">
        <w:t>, Hobart, Tasmania.</w:t>
      </w:r>
    </w:p>
    <w:p w:rsidR="008237BB" w:rsidRDefault="008237BB" w:rsidP="004911EB">
      <w:pPr>
        <w:pStyle w:val="References"/>
      </w:pPr>
      <w:r w:rsidRPr="002A634B">
        <w:t>Cotton, W. R., and Pielke</w:t>
      </w:r>
      <w:r>
        <w:t xml:space="preserve">, </w:t>
      </w:r>
      <w:r w:rsidRPr="002A634B">
        <w:t>R. A. Sr., 2007</w:t>
      </w:r>
      <w:r>
        <w:t>.</w:t>
      </w:r>
      <w:r w:rsidRPr="002A634B">
        <w:t xml:space="preserve"> Human Impacts on Weather and Climate. 2nd ed. Cambridge University Press, 308 pp.</w:t>
      </w:r>
    </w:p>
    <w:p w:rsidR="008237BB" w:rsidRDefault="008237BB" w:rsidP="004911EB">
      <w:pPr>
        <w:pStyle w:val="References"/>
      </w:pPr>
      <w:r>
        <w:t xml:space="preserve">CSIRO 2012. South East Queensland Climate Adaptation Research Initiative (SEQCARI): Climate Change Projections. Information available </w:t>
      </w:r>
      <w:r w:rsidR="00C3610F">
        <w:t>online:</w:t>
      </w:r>
      <w:r>
        <w:t xml:space="preserve"> </w:t>
      </w:r>
      <w:hyperlink r:id="rId38" w:tooltip="CSIRO website" w:history="1">
        <w:r w:rsidRPr="00D2380D">
          <w:rPr>
            <w:rStyle w:val="Hyperlink"/>
          </w:rPr>
          <w:t>http://www.csiro.au/en/Organisation-Structure/Flagships/Climate-Adaptation-Flagship/seqcari/Multi-sector-study.aspx</w:t>
        </w:r>
      </w:hyperlink>
    </w:p>
    <w:p w:rsidR="008237BB" w:rsidRDefault="008237BB" w:rsidP="004911EB">
      <w:pPr>
        <w:pStyle w:val="References"/>
      </w:pPr>
      <w:r w:rsidRPr="002A634B">
        <w:t>Davey, C. A., and Pielke</w:t>
      </w:r>
      <w:r>
        <w:t xml:space="preserve">, </w:t>
      </w:r>
      <w:r w:rsidRPr="002A634B">
        <w:t>R. A. Sr., 2005</w:t>
      </w:r>
      <w:r>
        <w:t>.</w:t>
      </w:r>
      <w:r w:rsidRPr="002A634B">
        <w:t xml:space="preserve"> Microclimate exposures of surface-based weather stations— Implications for the assessment of long-term temperature trends. </w:t>
      </w:r>
      <w:r w:rsidRPr="004911EB">
        <w:rPr>
          <w:rStyle w:val="Italic"/>
        </w:rPr>
        <w:t>Bulletin of the American Meteorology Society</w:t>
      </w:r>
      <w:r w:rsidRPr="002A634B">
        <w:t xml:space="preserve">, </w:t>
      </w:r>
      <w:r w:rsidRPr="004911EB">
        <w:rPr>
          <w:rStyle w:val="Bold"/>
        </w:rPr>
        <w:t>86</w:t>
      </w:r>
      <w:r w:rsidRPr="002A634B">
        <w:t>, 497–504.</w:t>
      </w:r>
    </w:p>
    <w:p w:rsidR="008237BB" w:rsidRDefault="008237BB" w:rsidP="004911EB">
      <w:pPr>
        <w:pStyle w:val="References"/>
      </w:pPr>
      <w:r>
        <w:t xml:space="preserve">DCCEE 2012. Climate Change in Australia: Australia’s future climate. Available </w:t>
      </w:r>
      <w:r w:rsidR="00C3610F">
        <w:t>online:</w:t>
      </w:r>
      <w:r>
        <w:t xml:space="preserve"> </w:t>
      </w:r>
      <w:hyperlink r:id="rId39" w:tooltip="Climate Change in Australia website" w:history="1">
        <w:r w:rsidR="00C3610F" w:rsidRPr="004C3FAF">
          <w:rPr>
            <w:rStyle w:val="Hyperlink"/>
          </w:rPr>
          <w:t>http://www.climatechangeinaustralia.gov.au/futureclimate.php</w:t>
        </w:r>
      </w:hyperlink>
    </w:p>
    <w:p w:rsidR="008237BB" w:rsidRDefault="008237BB" w:rsidP="004911EB">
      <w:pPr>
        <w:pStyle w:val="References"/>
      </w:pPr>
      <w:r>
        <w:t xml:space="preserve">Della Pozza, R., 2012. Queensland </w:t>
      </w:r>
      <w:r w:rsidRPr="002A634B">
        <w:t>Department of Environment and Heritage Protection</w:t>
      </w:r>
      <w:r>
        <w:t>. Personal Communication.</w:t>
      </w:r>
    </w:p>
    <w:p w:rsidR="002F691C" w:rsidRDefault="008237BB" w:rsidP="004911EB">
      <w:pPr>
        <w:pStyle w:val="References"/>
      </w:pPr>
      <w:r w:rsidRPr="002A634B">
        <w:t xml:space="preserve">Department of Climate Change. 2009. Climate Change Risks to Australia’s Coast. Available online: </w:t>
      </w:r>
      <w:hyperlink r:id="rId40" w:tooltip="DCCEE website" w:history="1">
        <w:r w:rsidRPr="002A634B">
          <w:rPr>
            <w:rStyle w:val="Hyperlink"/>
          </w:rPr>
          <w:t>http://www.climatechange.gov.au/publications/coastline/climate-change-risks-to-australias-coasts.aspx</w:t>
        </w:r>
      </w:hyperlink>
    </w:p>
    <w:p w:rsidR="002F691C" w:rsidRDefault="008237BB" w:rsidP="004911EB">
      <w:pPr>
        <w:pStyle w:val="References"/>
      </w:pPr>
      <w:r w:rsidRPr="002A634B">
        <w:t>Department of Environment and Heritage Protection. 2012a. Erosion prone area mapping. State of Queensland report. 16pp.</w:t>
      </w:r>
      <w:r w:rsidR="00C3610F">
        <w:t xml:space="preserve"> Available online: </w:t>
      </w:r>
      <w:hyperlink r:id="rId41" w:tooltip="QLD EHP website" w:history="1">
        <w:r w:rsidRPr="002A634B">
          <w:rPr>
            <w:rStyle w:val="Hyperlink"/>
          </w:rPr>
          <w:t>http://www.ehp.qld.gov.au/coastal/development/assessment/erosion_prone_areas.html</w:t>
        </w:r>
      </w:hyperlink>
    </w:p>
    <w:p w:rsidR="002F691C" w:rsidRDefault="008237BB" w:rsidP="004911EB">
      <w:pPr>
        <w:pStyle w:val="References"/>
      </w:pPr>
      <w:r w:rsidRPr="00E02E2E">
        <w:t>Department of Environment and Heritage Protection. Climate change in the Central Queensland Region: Queensland Government. Available online:</w:t>
      </w:r>
      <w:r w:rsidRPr="002A634B">
        <w:t xml:space="preserve"> </w:t>
      </w:r>
      <w:hyperlink r:id="rId42" w:tooltip="QLD EHP website" w:history="1">
        <w:r w:rsidRPr="002A634B">
          <w:rPr>
            <w:rStyle w:val="Hyperlink"/>
          </w:rPr>
          <w:t>http://www.ehp.qld.gov.au/climatechange/pdf/regionsummary-cq.pdf</w:t>
        </w:r>
      </w:hyperlink>
    </w:p>
    <w:p w:rsidR="008237BB" w:rsidRDefault="008237BB" w:rsidP="004911EB">
      <w:pPr>
        <w:pStyle w:val="References"/>
        <w:rPr>
          <w:rStyle w:val="Hyperlink"/>
        </w:rPr>
      </w:pPr>
      <w:r w:rsidRPr="002A634B">
        <w:lastRenderedPageBreak/>
        <w:t>Department of Environment and Resource Management 2009</w:t>
      </w:r>
      <w:r>
        <w:t>.</w:t>
      </w:r>
      <w:r w:rsidRPr="002A634B">
        <w:t xml:space="preserve"> ClimateQ: towards a greener Queensland, Department of Environment and Resource Management, Queensland Government. Available </w:t>
      </w:r>
      <w:r w:rsidR="00C3610F">
        <w:t xml:space="preserve">online: </w:t>
      </w:r>
      <w:hyperlink r:id="rId43" w:tooltip="QLD Cabinet and Ministerial Directory website" w:history="1">
        <w:r w:rsidRPr="002A634B">
          <w:rPr>
            <w:rStyle w:val="Hyperlink"/>
          </w:rPr>
          <w:t>http://rti.cabinet.qld.gov.au/documents/2009/May/ClimateQ%20toward%20a%20greener%20Qld/Attachments/ClimateQ_Report_web_FINAL_20090715.pdf</w:t>
        </w:r>
      </w:hyperlink>
    </w:p>
    <w:p w:rsidR="008237BB" w:rsidRDefault="008237BB" w:rsidP="004911EB">
      <w:pPr>
        <w:pStyle w:val="References"/>
      </w:pPr>
      <w:r w:rsidRPr="002A634B">
        <w:t>Department of Environment and Resource Management. 2012a</w:t>
      </w:r>
      <w:r>
        <w:t xml:space="preserve">. </w:t>
      </w:r>
      <w:r w:rsidRPr="002A634B">
        <w:t xml:space="preserve">Queensland Coastal Hazard Guideline. State of Queensland report. pp21. </w:t>
      </w:r>
      <w:r w:rsidR="00C3610F">
        <w:t xml:space="preserve">Available online: </w:t>
      </w:r>
      <w:hyperlink r:id="rId44" w:tooltip="QLD EHP website" w:history="1">
        <w:r w:rsidRPr="002A634B">
          <w:rPr>
            <w:rStyle w:val="Hyperlink"/>
          </w:rPr>
          <w:t>http://www.ehp.qld.gov.au/coastalplan/pdf/hazards-guideline.pdf</w:t>
        </w:r>
      </w:hyperlink>
    </w:p>
    <w:p w:rsidR="008237BB" w:rsidRPr="004911EB" w:rsidRDefault="008237BB" w:rsidP="004911EB">
      <w:pPr>
        <w:pStyle w:val="References"/>
      </w:pPr>
      <w:r w:rsidRPr="002A634B">
        <w:t>Devlin, M., Waterhouse, J., Taylor, J., and Brodie, J.</w:t>
      </w:r>
      <w:r>
        <w:t>,</w:t>
      </w:r>
      <w:r w:rsidRPr="002A634B">
        <w:t xml:space="preserve"> 2001</w:t>
      </w:r>
      <w:r>
        <w:t>.</w:t>
      </w:r>
      <w:r w:rsidRPr="004911EB">
        <w:t xml:space="preserve"> Flood plumes in the Great Barrier</w:t>
      </w:r>
      <w:r w:rsidR="00C3610F">
        <w:t xml:space="preserve"> </w:t>
      </w:r>
      <w:r w:rsidRPr="004911EB">
        <w:t xml:space="preserve">Reef: spatial and temporal patterns in composition and distribution. </w:t>
      </w:r>
      <w:r w:rsidRPr="004911EB">
        <w:rPr>
          <w:rStyle w:val="Italic"/>
        </w:rPr>
        <w:t>Great Barrier Reef Marine Park Authority</w:t>
      </w:r>
      <w:r w:rsidRPr="002A634B">
        <w:t>, Research Publication</w:t>
      </w:r>
      <w:r w:rsidRPr="004911EB">
        <w:rPr>
          <w:rStyle w:val="Italic"/>
        </w:rPr>
        <w:t xml:space="preserve"> </w:t>
      </w:r>
      <w:r w:rsidRPr="004911EB">
        <w:t xml:space="preserve">No. </w:t>
      </w:r>
      <w:r w:rsidRPr="003776CC">
        <w:rPr>
          <w:rStyle w:val="Bold"/>
        </w:rPr>
        <w:t>68</w:t>
      </w:r>
      <w:r w:rsidRPr="004911EB">
        <w:t>, 113 pp.</w:t>
      </w:r>
    </w:p>
    <w:p w:rsidR="008237BB" w:rsidRPr="004911EB" w:rsidRDefault="008237BB" w:rsidP="004911EB">
      <w:pPr>
        <w:pStyle w:val="References"/>
      </w:pPr>
      <w:r w:rsidRPr="002A634B">
        <w:t>Douglas, G., Ford, P., Palmer, M.</w:t>
      </w:r>
      <w:r>
        <w:t xml:space="preserve"> </w:t>
      </w:r>
      <w:r w:rsidRPr="002A634B">
        <w:t>J., and Noble, R.</w:t>
      </w:r>
      <w:r>
        <w:t>,</w:t>
      </w:r>
      <w:r w:rsidRPr="002A634B">
        <w:t xml:space="preserve"> 2005</w:t>
      </w:r>
      <w:r>
        <w:t>.</w:t>
      </w:r>
      <w:r w:rsidRPr="004911EB">
        <w:t xml:space="preserve"> Identification of sediment sources in the</w:t>
      </w:r>
      <w:r w:rsidR="00940791">
        <w:t xml:space="preserve"> </w:t>
      </w:r>
      <w:r w:rsidRPr="004911EB">
        <w:t xml:space="preserve">Fitzroy River Basin and Estuary, Queensland, Australia. </w:t>
      </w:r>
      <w:r w:rsidRPr="004911EB">
        <w:rPr>
          <w:rStyle w:val="Italic"/>
        </w:rPr>
        <w:t>CRC for Coastal Zone, Estuary and Waterway Management</w:t>
      </w:r>
      <w:r w:rsidRPr="002A634B">
        <w:t>, Technical Report</w:t>
      </w:r>
      <w:r w:rsidRPr="004911EB">
        <w:rPr>
          <w:rStyle w:val="Italic"/>
        </w:rPr>
        <w:t xml:space="preserve">, </w:t>
      </w:r>
      <w:r w:rsidRPr="006D6449">
        <w:rPr>
          <w:iCs/>
          <w:szCs w:val="21"/>
        </w:rPr>
        <w:t xml:space="preserve">No. </w:t>
      </w:r>
      <w:r w:rsidRPr="004911EB">
        <w:rPr>
          <w:rStyle w:val="Bold"/>
        </w:rPr>
        <w:t>13</w:t>
      </w:r>
      <w:r w:rsidRPr="004911EB">
        <w:t>.</w:t>
      </w:r>
    </w:p>
    <w:p w:rsidR="008237BB" w:rsidRDefault="008237BB" w:rsidP="004911EB">
      <w:pPr>
        <w:pStyle w:val="References"/>
      </w:pPr>
      <w:r w:rsidRPr="00673514">
        <w:t>Eastman,</w:t>
      </w:r>
      <w:r w:rsidRPr="002A634B">
        <w:t xml:space="preserve"> J.</w:t>
      </w:r>
      <w:r>
        <w:t xml:space="preserve"> R</w:t>
      </w:r>
      <w:r w:rsidRPr="002A634B">
        <w:t>., Kyem, P.</w:t>
      </w:r>
      <w:r>
        <w:t xml:space="preserve"> </w:t>
      </w:r>
      <w:r w:rsidRPr="002A634B">
        <w:t>A.</w:t>
      </w:r>
      <w:r>
        <w:t xml:space="preserve"> </w:t>
      </w:r>
      <w:r w:rsidRPr="002A634B">
        <w:t>K., Toledano, J., and Jin, W.</w:t>
      </w:r>
      <w:r>
        <w:t>,</w:t>
      </w:r>
      <w:r w:rsidRPr="002A634B">
        <w:t xml:space="preserve"> 1993</w:t>
      </w:r>
      <w:r>
        <w:t>.</w:t>
      </w:r>
      <w:r w:rsidRPr="002A634B">
        <w:t xml:space="preserve"> GIS and decision making. Explorations in Geographic Information Systems Technology, Vol. 4. Geneva: United Nations Institute for Training and Research (UNITAR).</w:t>
      </w:r>
    </w:p>
    <w:p w:rsidR="008237BB" w:rsidRDefault="008237BB" w:rsidP="004911EB">
      <w:pPr>
        <w:pStyle w:val="References"/>
      </w:pPr>
      <w:r w:rsidRPr="002A634B">
        <w:t>Ezber, Y., Sen</w:t>
      </w:r>
      <w:r>
        <w:t xml:space="preserve">, </w:t>
      </w:r>
      <w:r w:rsidRPr="002A634B">
        <w:t>O. L., Kindap,</w:t>
      </w:r>
      <w:r>
        <w:t xml:space="preserve"> </w:t>
      </w:r>
      <w:r w:rsidRPr="002A634B">
        <w:t>T.</w:t>
      </w:r>
      <w:r>
        <w:t>,</w:t>
      </w:r>
      <w:r w:rsidRPr="002A634B">
        <w:t xml:space="preserve"> and Karaca, M.</w:t>
      </w:r>
      <w:r>
        <w:t xml:space="preserve">, </w:t>
      </w:r>
      <w:r w:rsidRPr="002A634B">
        <w:t>2007</w:t>
      </w:r>
      <w:r>
        <w:t>.</w:t>
      </w:r>
      <w:r w:rsidRPr="002A634B">
        <w:t xml:space="preserve"> Climatic effects of urbanization in Istanbul: A statist</w:t>
      </w:r>
      <w:r>
        <w:t xml:space="preserve">ical and modeling analysis. </w:t>
      </w:r>
      <w:r w:rsidRPr="004911EB">
        <w:rPr>
          <w:rStyle w:val="Italic"/>
        </w:rPr>
        <w:t>International Journal of Climatology,</w:t>
      </w:r>
      <w:r w:rsidRPr="002A634B">
        <w:t xml:space="preserve"> </w:t>
      </w:r>
      <w:r w:rsidRPr="004911EB">
        <w:rPr>
          <w:rStyle w:val="Bold"/>
        </w:rPr>
        <w:t>27</w:t>
      </w:r>
      <w:r w:rsidRPr="002A634B">
        <w:t>, 667–679.</w:t>
      </w:r>
    </w:p>
    <w:p w:rsidR="008237BB" w:rsidRDefault="008237BB" w:rsidP="004911EB">
      <w:pPr>
        <w:pStyle w:val="References"/>
      </w:pPr>
      <w:r w:rsidRPr="002A634B">
        <w:t>Feddema, J. J., Oleson,</w:t>
      </w:r>
      <w:r>
        <w:t xml:space="preserve"> </w:t>
      </w:r>
      <w:r w:rsidRPr="002A634B">
        <w:t>K. W.</w:t>
      </w:r>
      <w:r>
        <w:t>,</w:t>
      </w:r>
      <w:r w:rsidRPr="002A634B">
        <w:t xml:space="preserve"> Bonan,</w:t>
      </w:r>
      <w:r>
        <w:t xml:space="preserve"> </w:t>
      </w:r>
      <w:r w:rsidRPr="002A634B">
        <w:t>G. B.</w:t>
      </w:r>
      <w:r>
        <w:t>,</w:t>
      </w:r>
      <w:r w:rsidRPr="002A634B">
        <w:t xml:space="preserve"> Mearns,</w:t>
      </w:r>
      <w:r>
        <w:t xml:space="preserve"> </w:t>
      </w:r>
      <w:r w:rsidRPr="002A634B">
        <w:t>L. O.</w:t>
      </w:r>
      <w:r>
        <w:t>,</w:t>
      </w:r>
      <w:r w:rsidRPr="002A634B">
        <w:t xml:space="preserve"> Buja,</w:t>
      </w:r>
      <w:r>
        <w:t xml:space="preserve"> </w:t>
      </w:r>
      <w:r w:rsidRPr="002A634B">
        <w:t>L. E.</w:t>
      </w:r>
      <w:r>
        <w:t>,</w:t>
      </w:r>
      <w:r w:rsidRPr="002A634B">
        <w:t xml:space="preserve"> Meehl,</w:t>
      </w:r>
      <w:r>
        <w:t xml:space="preserve"> </w:t>
      </w:r>
      <w:r w:rsidRPr="002A634B">
        <w:t>G. A.</w:t>
      </w:r>
      <w:r>
        <w:t>,</w:t>
      </w:r>
      <w:r w:rsidRPr="002A634B">
        <w:t xml:space="preserve"> and Washington,</w:t>
      </w:r>
      <w:r>
        <w:t xml:space="preserve"> </w:t>
      </w:r>
      <w:r w:rsidRPr="002A634B">
        <w:t>W. M.</w:t>
      </w:r>
      <w:r>
        <w:t>,</w:t>
      </w:r>
      <w:r w:rsidRPr="002A634B">
        <w:t xml:space="preserve"> 2005</w:t>
      </w:r>
      <w:r>
        <w:t>.</w:t>
      </w:r>
      <w:r w:rsidRPr="002A634B">
        <w:t xml:space="preserve"> The importance of land-cover change in simulating future climates. </w:t>
      </w:r>
      <w:r w:rsidRPr="004911EB">
        <w:rPr>
          <w:rStyle w:val="Italic"/>
        </w:rPr>
        <w:t>Science</w:t>
      </w:r>
      <w:r w:rsidRPr="002A634B">
        <w:t xml:space="preserve">, </w:t>
      </w:r>
      <w:r w:rsidRPr="004911EB">
        <w:rPr>
          <w:rStyle w:val="Bold"/>
        </w:rPr>
        <w:t>310</w:t>
      </w:r>
      <w:r w:rsidRPr="002A634B">
        <w:t>, 1674–1678.</w:t>
      </w:r>
    </w:p>
    <w:p w:rsidR="008237BB" w:rsidRPr="004911EB" w:rsidRDefault="008237BB" w:rsidP="004911EB">
      <w:pPr>
        <w:pStyle w:val="References"/>
      </w:pPr>
      <w:r w:rsidRPr="002A634B">
        <w:t>Flood, P.</w:t>
      </w:r>
      <w:r>
        <w:t xml:space="preserve"> </w:t>
      </w:r>
      <w:r w:rsidRPr="002A634B">
        <w:t>G., and Walbran, P.</w:t>
      </w:r>
      <w:r>
        <w:t xml:space="preserve"> </w:t>
      </w:r>
      <w:r w:rsidRPr="002A634B">
        <w:t>D. 1986</w:t>
      </w:r>
      <w:r>
        <w:t>.</w:t>
      </w:r>
      <w:r w:rsidRPr="004911EB">
        <w:t xml:space="preserve"> A siliciclastic coastal sabkha, Capricorn Coast,</w:t>
      </w:r>
      <w:r w:rsidR="00C3610F">
        <w:t xml:space="preserve"> </w:t>
      </w:r>
      <w:r w:rsidRPr="004911EB">
        <w:t xml:space="preserve">Queensland, </w:t>
      </w:r>
      <w:r w:rsidRPr="002A634B">
        <w:t>Australia</w:t>
      </w:r>
      <w:r w:rsidRPr="004911EB">
        <w:t xml:space="preserve">. </w:t>
      </w:r>
      <w:r w:rsidRPr="004911EB">
        <w:rPr>
          <w:rStyle w:val="Italic"/>
        </w:rPr>
        <w:t>Sedimentary Geology</w:t>
      </w:r>
      <w:r w:rsidRPr="002A634B">
        <w:t>,</w:t>
      </w:r>
      <w:r w:rsidRPr="004911EB">
        <w:t xml:space="preserve"> </w:t>
      </w:r>
      <w:r w:rsidRPr="003776CC">
        <w:rPr>
          <w:rStyle w:val="Bold"/>
        </w:rPr>
        <w:t>48</w:t>
      </w:r>
      <w:r w:rsidRPr="004911EB">
        <w:t>, 169-181.</w:t>
      </w:r>
    </w:p>
    <w:p w:rsidR="008237BB" w:rsidRDefault="008237BB" w:rsidP="004911EB">
      <w:pPr>
        <w:pStyle w:val="References"/>
      </w:pPr>
      <w:r w:rsidRPr="002A634B">
        <w:t>Foley, J. A., Costa,</w:t>
      </w:r>
      <w:r>
        <w:t xml:space="preserve"> </w:t>
      </w:r>
      <w:r w:rsidRPr="002A634B">
        <w:t>M. H.</w:t>
      </w:r>
      <w:r>
        <w:t>,</w:t>
      </w:r>
      <w:r w:rsidRPr="002A634B">
        <w:t xml:space="preserve"> Delire,</w:t>
      </w:r>
      <w:r>
        <w:t xml:space="preserve"> </w:t>
      </w:r>
      <w:r w:rsidRPr="002A634B">
        <w:t>C.</w:t>
      </w:r>
      <w:r>
        <w:t>,</w:t>
      </w:r>
      <w:r w:rsidRPr="002A634B">
        <w:t xml:space="preserve"> Ramankutty,</w:t>
      </w:r>
      <w:r>
        <w:t xml:space="preserve"> </w:t>
      </w:r>
      <w:r w:rsidRPr="002A634B">
        <w:t>N.</w:t>
      </w:r>
      <w:r>
        <w:t>,</w:t>
      </w:r>
      <w:r w:rsidRPr="002A634B">
        <w:t xml:space="preserve"> and Snyder,</w:t>
      </w:r>
      <w:r>
        <w:t xml:space="preserve"> </w:t>
      </w:r>
      <w:r w:rsidRPr="002A634B">
        <w:t>P.</w:t>
      </w:r>
      <w:r>
        <w:t>,</w:t>
      </w:r>
      <w:r w:rsidRPr="002A634B">
        <w:t xml:space="preserve"> 2003: Green surprise? How terrestrial ecosystems could affect Earth’s climate. </w:t>
      </w:r>
      <w:r w:rsidRPr="004911EB">
        <w:rPr>
          <w:rStyle w:val="Italic"/>
        </w:rPr>
        <w:t>Frontiers in Ecology and the Environment</w:t>
      </w:r>
      <w:r w:rsidRPr="002A634B">
        <w:t xml:space="preserve">, </w:t>
      </w:r>
      <w:r w:rsidRPr="004911EB">
        <w:rPr>
          <w:rStyle w:val="Bold"/>
        </w:rPr>
        <w:t>1</w:t>
      </w:r>
      <w:r w:rsidRPr="002A634B">
        <w:t>, 38–44.</w:t>
      </w:r>
    </w:p>
    <w:p w:rsidR="002F691C" w:rsidRDefault="008237BB" w:rsidP="004911EB">
      <w:pPr>
        <w:pStyle w:val="References"/>
        <w:rPr>
          <w:lang w:val="en-US"/>
        </w:rPr>
      </w:pPr>
      <w:r w:rsidRPr="002A634B">
        <w:t>Ge, J.</w:t>
      </w:r>
      <w:r>
        <w:t>,</w:t>
      </w:r>
      <w:r w:rsidRPr="002A634B">
        <w:t xml:space="preserve"> 2011: Satellite-Observed Surface Temperature Changes after the 2004 Taylor Complex Fire in Alaska. </w:t>
      </w:r>
      <w:r w:rsidRPr="004911EB">
        <w:rPr>
          <w:rStyle w:val="Italic"/>
        </w:rPr>
        <w:t>Earth Interactions</w:t>
      </w:r>
      <w:r w:rsidRPr="002A634B">
        <w:t xml:space="preserve">., </w:t>
      </w:r>
      <w:r w:rsidRPr="004911EB">
        <w:rPr>
          <w:rStyle w:val="Bold"/>
        </w:rPr>
        <w:t>15</w:t>
      </w:r>
      <w:r w:rsidRPr="002A634B">
        <w:t>, 1–14. doi:</w:t>
      </w:r>
      <w:r w:rsidRPr="002A634B">
        <w:rPr>
          <w:lang w:val="en-US"/>
        </w:rPr>
        <w:t xml:space="preserve"> </w:t>
      </w:r>
      <w:hyperlink r:id="rId45" w:tooltip="AMS Journal website" w:history="1">
        <w:r w:rsidRPr="002A634B">
          <w:rPr>
            <w:rStyle w:val="Hyperlink"/>
            <w:lang w:val="en-US"/>
          </w:rPr>
          <w:t>http://dx.doi.org/10.1175/2010EI361.1</w:t>
        </w:r>
      </w:hyperlink>
    </w:p>
    <w:p w:rsidR="008237BB" w:rsidRDefault="008237BB" w:rsidP="004911EB">
      <w:pPr>
        <w:pStyle w:val="References"/>
      </w:pPr>
      <w:r w:rsidRPr="002A634B">
        <w:t>Ge, J., Qi,</w:t>
      </w:r>
      <w:r>
        <w:t xml:space="preserve"> </w:t>
      </w:r>
      <w:r w:rsidRPr="002A634B">
        <w:t>J.</w:t>
      </w:r>
      <w:r>
        <w:t>,</w:t>
      </w:r>
      <w:r w:rsidRPr="002A634B">
        <w:t xml:space="preserve"> Lofgren,</w:t>
      </w:r>
      <w:r>
        <w:t xml:space="preserve"> </w:t>
      </w:r>
      <w:r w:rsidRPr="002A634B">
        <w:t>B. M.</w:t>
      </w:r>
      <w:r>
        <w:t>,</w:t>
      </w:r>
      <w:r w:rsidRPr="002A634B">
        <w:t xml:space="preserve"> Moore, N.</w:t>
      </w:r>
      <w:r>
        <w:t xml:space="preserve">, </w:t>
      </w:r>
      <w:r w:rsidRPr="002A634B">
        <w:t>Torbick,</w:t>
      </w:r>
      <w:r>
        <w:t xml:space="preserve"> </w:t>
      </w:r>
      <w:r w:rsidRPr="002A634B">
        <w:t>N.</w:t>
      </w:r>
      <w:r>
        <w:t>,</w:t>
      </w:r>
      <w:r w:rsidRPr="002A634B">
        <w:t xml:space="preserve"> and Olson,</w:t>
      </w:r>
      <w:r>
        <w:t xml:space="preserve"> </w:t>
      </w:r>
      <w:r w:rsidRPr="002A634B">
        <w:t>J. M.</w:t>
      </w:r>
      <w:r>
        <w:t>,</w:t>
      </w:r>
      <w:r w:rsidRPr="002A634B">
        <w:t xml:space="preserve"> 2007: Impact of land use/cover classification accuracy on regional climate simulations. </w:t>
      </w:r>
      <w:r w:rsidRPr="004911EB">
        <w:rPr>
          <w:rStyle w:val="Italic"/>
        </w:rPr>
        <w:t>Journal of Geophysical . Research</w:t>
      </w:r>
      <w:r w:rsidRPr="002A634B">
        <w:t xml:space="preserve">, </w:t>
      </w:r>
      <w:r w:rsidRPr="004911EB">
        <w:rPr>
          <w:rStyle w:val="Bold"/>
        </w:rPr>
        <w:t>112</w:t>
      </w:r>
      <w:r w:rsidRPr="002A634B">
        <w:t>, D05107, doi:10.1029/2006JD007404</w:t>
      </w:r>
    </w:p>
    <w:p w:rsidR="002F691C" w:rsidRDefault="008237BB" w:rsidP="004911EB">
      <w:pPr>
        <w:pStyle w:val="References"/>
      </w:pPr>
      <w:r w:rsidRPr="002A634B">
        <w:t>Haigh</w:t>
      </w:r>
      <w:r>
        <w:t>,</w:t>
      </w:r>
      <w:r w:rsidRPr="002A634B">
        <w:t xml:space="preserve"> I</w:t>
      </w:r>
      <w:r>
        <w:t xml:space="preserve">. </w:t>
      </w:r>
      <w:r w:rsidRPr="002A634B">
        <w:t>D</w:t>
      </w:r>
      <w:r>
        <w:t>.</w:t>
      </w:r>
      <w:r w:rsidRPr="002A634B">
        <w:t>, Wijeratne</w:t>
      </w:r>
      <w:r>
        <w:t xml:space="preserve">, </w:t>
      </w:r>
      <w:r w:rsidRPr="002A634B">
        <w:t>E</w:t>
      </w:r>
      <w:r>
        <w:t xml:space="preserve">. </w:t>
      </w:r>
      <w:r w:rsidRPr="002A634B">
        <w:t>M</w:t>
      </w:r>
      <w:r>
        <w:t xml:space="preserve">. </w:t>
      </w:r>
      <w:r w:rsidRPr="002A634B">
        <w:t>S, MacPherson</w:t>
      </w:r>
      <w:r>
        <w:t>,</w:t>
      </w:r>
      <w:r w:rsidRPr="002A634B">
        <w:t xml:space="preserve"> L</w:t>
      </w:r>
      <w:r>
        <w:t xml:space="preserve">. </w:t>
      </w:r>
      <w:r w:rsidRPr="002A634B">
        <w:t>R</w:t>
      </w:r>
      <w:r>
        <w:t>.</w:t>
      </w:r>
      <w:r w:rsidRPr="002A634B">
        <w:t>, Mason</w:t>
      </w:r>
      <w:r>
        <w:t xml:space="preserve">, </w:t>
      </w:r>
      <w:r w:rsidRPr="002A634B">
        <w:t>M</w:t>
      </w:r>
      <w:r>
        <w:t>. S.,</w:t>
      </w:r>
      <w:r w:rsidRPr="002A634B">
        <w:t xml:space="preserve"> Pattiaratchi</w:t>
      </w:r>
      <w:r>
        <w:t xml:space="preserve">, </w:t>
      </w:r>
      <w:r w:rsidRPr="002A634B">
        <w:t>C</w:t>
      </w:r>
      <w:r>
        <w:t xml:space="preserve">. </w:t>
      </w:r>
      <w:r w:rsidRPr="002A634B">
        <w:t>B</w:t>
      </w:r>
      <w:r>
        <w:t>.</w:t>
      </w:r>
      <w:r w:rsidRPr="002A634B">
        <w:t>, Crompton</w:t>
      </w:r>
      <w:r>
        <w:t>,</w:t>
      </w:r>
      <w:r w:rsidRPr="002A634B">
        <w:t xml:space="preserve"> R</w:t>
      </w:r>
      <w:r>
        <w:t xml:space="preserve">. </w:t>
      </w:r>
      <w:r w:rsidRPr="002A634B">
        <w:t>P</w:t>
      </w:r>
      <w:r>
        <w:t>.</w:t>
      </w:r>
      <w:r w:rsidRPr="002A634B">
        <w:t xml:space="preserve"> &amp; George</w:t>
      </w:r>
      <w:r>
        <w:t xml:space="preserve">, </w:t>
      </w:r>
      <w:r w:rsidRPr="002A634B">
        <w:t>S</w:t>
      </w:r>
      <w:r>
        <w:t>.,</w:t>
      </w:r>
      <w:r w:rsidRPr="002A634B">
        <w:t xml:space="preserve"> 2012, Estimating Present Day Extreme Total Water Level Exceedance Probabilities Around the Coastline of Australia, </w:t>
      </w:r>
      <w:r w:rsidRPr="004911EB">
        <w:rPr>
          <w:rStyle w:val="Italic"/>
        </w:rPr>
        <w:t>Antarctic Climate &amp; Ecosystems Cooperative Research Centre,</w:t>
      </w:r>
      <w:r w:rsidRPr="002A634B">
        <w:t xml:space="preserve"> Hobart, Tasmania. Available online: </w:t>
      </w:r>
      <w:hyperlink r:id="rId46" w:tooltip="ACE CRC website" w:history="1">
        <w:r w:rsidRPr="002A634B">
          <w:rPr>
            <w:rStyle w:val="Hyperlink"/>
          </w:rPr>
          <w:t>http://www.acecrc.org.au/access/repository/resource/e8af5cd2-3bb8-1030-998b-40404adc5e91</w:t>
        </w:r>
      </w:hyperlink>
      <w:r w:rsidRPr="002A634B">
        <w:t>.</w:t>
      </w:r>
    </w:p>
    <w:p w:rsidR="008237BB" w:rsidRPr="004911EB" w:rsidRDefault="008237BB" w:rsidP="004911EB">
      <w:pPr>
        <w:pStyle w:val="References"/>
      </w:pPr>
      <w:r w:rsidRPr="002A634B">
        <w:t>Hall, T. M., and Jewson,</w:t>
      </w:r>
      <w:r>
        <w:t xml:space="preserve"> </w:t>
      </w:r>
      <w:r w:rsidRPr="002A634B">
        <w:t>S.</w:t>
      </w:r>
      <w:r>
        <w:t>,</w:t>
      </w:r>
      <w:r w:rsidRPr="002A634B">
        <w:t xml:space="preserve"> 2007</w:t>
      </w:r>
      <w:r w:rsidRPr="004911EB">
        <w:t>: Statistical modelling of North Atlantic tropical cyclone tracks.</w:t>
      </w:r>
      <w:r w:rsidR="00C3610F">
        <w:t xml:space="preserve"> </w:t>
      </w:r>
      <w:r w:rsidRPr="003776CC">
        <w:rPr>
          <w:rStyle w:val="ReferencesItalic"/>
        </w:rPr>
        <w:t>Tellus A</w:t>
      </w:r>
      <w:r w:rsidRPr="004911EB">
        <w:t xml:space="preserve">, </w:t>
      </w:r>
      <w:r w:rsidRPr="003776CC">
        <w:rPr>
          <w:rStyle w:val="Bold"/>
        </w:rPr>
        <w:t>59</w:t>
      </w:r>
      <w:r w:rsidRPr="004911EB">
        <w:t>, 486-498.</w:t>
      </w:r>
    </w:p>
    <w:p w:rsidR="008237BB" w:rsidRPr="004911EB" w:rsidRDefault="008237BB" w:rsidP="004911EB">
      <w:pPr>
        <w:pStyle w:val="References"/>
      </w:pPr>
      <w:r w:rsidRPr="002A634B">
        <w:t>Harper, B. A., Kepert,</w:t>
      </w:r>
      <w:r>
        <w:t xml:space="preserve"> </w:t>
      </w:r>
      <w:r w:rsidRPr="002A634B">
        <w:t>J. D.</w:t>
      </w:r>
      <w:r>
        <w:t>,</w:t>
      </w:r>
      <w:r w:rsidRPr="002A634B">
        <w:t xml:space="preserve"> and Ginger,</w:t>
      </w:r>
      <w:r>
        <w:t xml:space="preserve"> </w:t>
      </w:r>
      <w:r w:rsidRPr="002A634B">
        <w:t>J. D.</w:t>
      </w:r>
      <w:r>
        <w:t>,</w:t>
      </w:r>
      <w:r w:rsidRPr="002A634B">
        <w:t xml:space="preserve"> 2010</w:t>
      </w:r>
      <w:r w:rsidRPr="004911EB">
        <w:t xml:space="preserve">: Guidelines for converting between various wind averaging periods in tropical cyclone conditions. </w:t>
      </w:r>
      <w:r w:rsidRPr="003776CC">
        <w:rPr>
          <w:rStyle w:val="ReferencesItalic"/>
        </w:rPr>
        <w:t>World Meteorological Organization</w:t>
      </w:r>
      <w:r w:rsidRPr="004911EB">
        <w:t>.WMO/TD-No.1555, Available online</w:t>
      </w:r>
      <w:r w:rsidR="00C3610F">
        <w:t>:</w:t>
      </w:r>
      <w:r w:rsidRPr="004911EB">
        <w:t xml:space="preserve"> </w:t>
      </w:r>
      <w:hyperlink r:id="rId47" w:tooltip="WMO website" w:history="1">
        <w:r w:rsidRPr="002A634B">
          <w:rPr>
            <w:rStyle w:val="Hyperlink"/>
          </w:rPr>
          <w:t>http://www.wmo.int/pages/prog/www/tcp/documents/WMO_TD_1555_en.pdf</w:t>
        </w:r>
      </w:hyperlink>
    </w:p>
    <w:p w:rsidR="008237BB" w:rsidRDefault="008237BB" w:rsidP="004911EB">
      <w:pPr>
        <w:pStyle w:val="References"/>
      </w:pPr>
      <w:r>
        <w:t xml:space="preserve">Hazelwood, M., and Moore, D., 2012. Regional climate change impact modelling for Mandurah, Western Australia. </w:t>
      </w:r>
      <w:r w:rsidRPr="004911EB">
        <w:rPr>
          <w:rStyle w:val="Italic"/>
        </w:rPr>
        <w:t>Geoscience Australia Record</w:t>
      </w:r>
      <w:r>
        <w:t xml:space="preserve">. </w:t>
      </w:r>
      <w:r w:rsidRPr="004911EB">
        <w:rPr>
          <w:rStyle w:val="Bold"/>
        </w:rPr>
        <w:t>2012/62</w:t>
      </w:r>
      <w:r>
        <w:t>. Geoscience Australia: Canberra.</w:t>
      </w:r>
    </w:p>
    <w:p w:rsidR="008237BB" w:rsidRPr="004911EB" w:rsidRDefault="008237BB" w:rsidP="004911EB">
      <w:pPr>
        <w:pStyle w:val="References"/>
      </w:pPr>
      <w:r w:rsidRPr="002A634B">
        <w:t>Hekel, H.</w:t>
      </w:r>
      <w:r>
        <w:t>,</w:t>
      </w:r>
      <w:r w:rsidRPr="002A634B">
        <w:t xml:space="preserve"> 1980</w:t>
      </w:r>
      <w:r>
        <w:t>.</w:t>
      </w:r>
      <w:r w:rsidRPr="004911EB">
        <w:t xml:space="preserve"> Quaternary and marine geology of the Capricorn Coast. </w:t>
      </w:r>
      <w:r w:rsidRPr="004911EB">
        <w:rPr>
          <w:rStyle w:val="Italic"/>
        </w:rPr>
        <w:t xml:space="preserve">In </w:t>
      </w:r>
      <w:r w:rsidRPr="004911EB">
        <w:t>Hofmann, G. W. (Ed)</w:t>
      </w:r>
      <w:r w:rsidR="00940791">
        <w:t xml:space="preserve"> </w:t>
      </w:r>
      <w:r w:rsidRPr="002A634B">
        <w:t xml:space="preserve">Mount Morgan Rundle Range Yeppoon Area, 1980 Field Conference. </w:t>
      </w:r>
      <w:r w:rsidRPr="003776CC">
        <w:rPr>
          <w:rStyle w:val="ReferencesItalic"/>
        </w:rPr>
        <w:t>Geological Society of</w:t>
      </w:r>
      <w:r w:rsidR="00C3610F">
        <w:rPr>
          <w:rStyle w:val="ReferencesItalic"/>
        </w:rPr>
        <w:t xml:space="preserve"> </w:t>
      </w:r>
      <w:r w:rsidRPr="003776CC">
        <w:rPr>
          <w:rStyle w:val="ReferencesItalic"/>
        </w:rPr>
        <w:t>Australia,</w:t>
      </w:r>
      <w:r w:rsidRPr="004911EB">
        <w:t xml:space="preserve"> Inc., Queensland Division. pp. 66-71.</w:t>
      </w:r>
    </w:p>
    <w:p w:rsidR="008237BB" w:rsidRDefault="008237BB" w:rsidP="004911EB">
      <w:pPr>
        <w:pStyle w:val="References"/>
      </w:pPr>
      <w:r w:rsidRPr="002A634B">
        <w:t>Hennessy</w:t>
      </w:r>
      <w:r>
        <w:t>,</w:t>
      </w:r>
      <w:r w:rsidRPr="002A634B">
        <w:t xml:space="preserve"> K., Fitzharris</w:t>
      </w:r>
      <w:r>
        <w:t>,</w:t>
      </w:r>
      <w:r w:rsidRPr="002A634B">
        <w:t xml:space="preserve"> B., Bates,</w:t>
      </w:r>
      <w:r>
        <w:t xml:space="preserve"> </w:t>
      </w:r>
      <w:r w:rsidRPr="002A634B">
        <w:t>B.</w:t>
      </w:r>
      <w:r>
        <w:t xml:space="preserve"> </w:t>
      </w:r>
      <w:r w:rsidRPr="002A634B">
        <w:t>C.</w:t>
      </w:r>
      <w:r>
        <w:t>,</w:t>
      </w:r>
      <w:r w:rsidRPr="002A634B">
        <w:t xml:space="preserve"> Harvey</w:t>
      </w:r>
      <w:r>
        <w:t>,</w:t>
      </w:r>
      <w:r w:rsidRPr="002A634B">
        <w:t xml:space="preserve"> N., Howden</w:t>
      </w:r>
      <w:r>
        <w:t>,</w:t>
      </w:r>
      <w:r w:rsidRPr="002A634B">
        <w:t xml:space="preserve"> S. M., Hughes</w:t>
      </w:r>
      <w:r>
        <w:t>,</w:t>
      </w:r>
      <w:r w:rsidRPr="002A634B">
        <w:t xml:space="preserve"> L., Salinger</w:t>
      </w:r>
      <w:r>
        <w:t>,</w:t>
      </w:r>
      <w:r w:rsidRPr="002A634B">
        <w:t xml:space="preserve"> J. &amp; Warrick</w:t>
      </w:r>
      <w:r>
        <w:t>,</w:t>
      </w:r>
      <w:r w:rsidRPr="002A634B">
        <w:t xml:space="preserve"> R.</w:t>
      </w:r>
      <w:r>
        <w:t>,</w:t>
      </w:r>
      <w:r w:rsidRPr="002A634B">
        <w:t xml:space="preserve"> 2007</w:t>
      </w:r>
      <w:r>
        <w:t>.</w:t>
      </w:r>
      <w:r w:rsidRPr="002A634B">
        <w:t xml:space="preserve"> Australia and New Zealand. </w:t>
      </w:r>
      <w:r w:rsidRPr="004911EB">
        <w:rPr>
          <w:rStyle w:val="Italic"/>
        </w:rPr>
        <w:t>Climate Change 2007: Impacts, Adaptation and Vulnerability. Contribution of Working Group II to the Fourth Assessment Report of the Intergovernmental Panel on Climate Change</w:t>
      </w:r>
      <w:r w:rsidRPr="002A634B">
        <w:t xml:space="preserve"> (eds Parry,</w:t>
      </w:r>
      <w:r>
        <w:t xml:space="preserve"> </w:t>
      </w:r>
      <w:r w:rsidRPr="002A634B">
        <w:t>M. L.</w:t>
      </w:r>
      <w:r>
        <w:t>,</w:t>
      </w:r>
      <w:r w:rsidRPr="002A634B">
        <w:t xml:space="preserve"> Canziani,</w:t>
      </w:r>
      <w:r>
        <w:t xml:space="preserve"> </w:t>
      </w:r>
      <w:r w:rsidRPr="002A634B">
        <w:t>O. F.</w:t>
      </w:r>
      <w:r>
        <w:t>,</w:t>
      </w:r>
      <w:r w:rsidRPr="002A634B">
        <w:t xml:space="preserve"> Palutikof, J. P.</w:t>
      </w:r>
      <w:r>
        <w:t>,</w:t>
      </w:r>
      <w:r w:rsidRPr="002A634B">
        <w:t xml:space="preserve"> </w:t>
      </w:r>
      <w:r>
        <w:t xml:space="preserve">van der </w:t>
      </w:r>
      <w:r w:rsidRPr="002A634B">
        <w:t>Linden</w:t>
      </w:r>
      <w:r>
        <w:t xml:space="preserve">, </w:t>
      </w:r>
      <w:r w:rsidRPr="002A634B">
        <w:t>P. J. and Hanson</w:t>
      </w:r>
      <w:r>
        <w:t>,</w:t>
      </w:r>
      <w:r w:rsidRPr="002F414F">
        <w:t xml:space="preserve"> </w:t>
      </w:r>
      <w:r w:rsidRPr="002A634B">
        <w:t>C. E.) pp. 507-40. Cambridge University Press, Cambridge.</w:t>
      </w:r>
    </w:p>
    <w:p w:rsidR="008237BB" w:rsidRDefault="008237BB" w:rsidP="004911EB">
      <w:pPr>
        <w:pStyle w:val="References"/>
      </w:pPr>
      <w:r w:rsidRPr="00492360">
        <w:lastRenderedPageBreak/>
        <w:t>Hill, K. A. and Lackmann, G. M.</w:t>
      </w:r>
      <w:r>
        <w:t xml:space="preserve">, 2011. </w:t>
      </w:r>
      <w:r w:rsidRPr="00492360">
        <w:t>The Impact of Future Climate Change on TC Intensity and Structure: A Downscaling Approach</w:t>
      </w:r>
      <w:r>
        <w:t>.</w:t>
      </w:r>
      <w:r w:rsidRPr="00492360">
        <w:t xml:space="preserve"> </w:t>
      </w:r>
      <w:r w:rsidRPr="004911EB">
        <w:rPr>
          <w:rStyle w:val="Italic"/>
        </w:rPr>
        <w:t>Journal of Climate</w:t>
      </w:r>
      <w:r w:rsidRPr="00492360">
        <w:t xml:space="preserve">, </w:t>
      </w:r>
      <w:r w:rsidRPr="004911EB">
        <w:rPr>
          <w:rStyle w:val="Bold"/>
        </w:rPr>
        <w:t>24</w:t>
      </w:r>
      <w:r w:rsidRPr="00492360">
        <w:t xml:space="preserve">, 4644 </w:t>
      </w:r>
      <w:r>
        <w:t>–</w:t>
      </w:r>
      <w:r w:rsidRPr="00492360">
        <w:t xml:space="preserve"> 4661</w:t>
      </w:r>
      <w:r>
        <w:t>.</w:t>
      </w:r>
    </w:p>
    <w:p w:rsidR="008237BB" w:rsidRPr="004911EB" w:rsidRDefault="008237BB" w:rsidP="004911EB">
      <w:pPr>
        <w:pStyle w:val="References"/>
      </w:pPr>
      <w:r w:rsidRPr="002A634B">
        <w:t>Holland, G. J., 1980</w:t>
      </w:r>
      <w:r>
        <w:t>.</w:t>
      </w:r>
      <w:r w:rsidRPr="004911EB">
        <w:t xml:space="preserve"> An Analytic Model of the Wind and Pressure Profiles in Hurricanes. </w:t>
      </w:r>
      <w:r w:rsidRPr="003776CC">
        <w:rPr>
          <w:rStyle w:val="ReferencesItalic"/>
        </w:rPr>
        <w:t>Monthly Weather Review</w:t>
      </w:r>
      <w:r w:rsidRPr="004911EB">
        <w:t xml:space="preserve">, </w:t>
      </w:r>
      <w:r w:rsidRPr="003776CC">
        <w:rPr>
          <w:rStyle w:val="Bold"/>
        </w:rPr>
        <w:t>108</w:t>
      </w:r>
      <w:r w:rsidRPr="004911EB">
        <w:t>, 1212-1218.</w:t>
      </w:r>
    </w:p>
    <w:p w:rsidR="008237BB" w:rsidRPr="004911EB" w:rsidRDefault="008237BB" w:rsidP="004911EB">
      <w:pPr>
        <w:pStyle w:val="References"/>
      </w:pPr>
      <w:r w:rsidRPr="002A634B">
        <w:t>Hosking, J. R. M., 1990</w:t>
      </w:r>
      <w:r>
        <w:t>.</w:t>
      </w:r>
      <w:r w:rsidRPr="004911EB">
        <w:t xml:space="preserve"> L-moments: Analysis and Estimation of Distributions using Linear Combinations of Order Statistics.</w:t>
      </w:r>
      <w:r w:rsidRPr="003776CC">
        <w:rPr>
          <w:rStyle w:val="ReferencesItalic"/>
        </w:rPr>
        <w:t xml:space="preserve"> Journal of the Royal Statistical Society</w:t>
      </w:r>
      <w:r w:rsidRPr="004911EB">
        <w:t xml:space="preserve">, </w:t>
      </w:r>
      <w:r w:rsidRPr="003776CC">
        <w:rPr>
          <w:rStyle w:val="Bold"/>
        </w:rPr>
        <w:t>52</w:t>
      </w:r>
      <w:r w:rsidRPr="004911EB">
        <w:t>, 105-124.</w:t>
      </w:r>
    </w:p>
    <w:p w:rsidR="008237BB" w:rsidRDefault="008237BB" w:rsidP="004911EB">
      <w:pPr>
        <w:pStyle w:val="References"/>
      </w:pPr>
      <w:r w:rsidRPr="002A634B">
        <w:t xml:space="preserve">IPCC 2001: Climate Change 2001: The Scientific Basis. </w:t>
      </w:r>
      <w:r w:rsidRPr="004911EB">
        <w:rPr>
          <w:rStyle w:val="Italic"/>
        </w:rPr>
        <w:t>Contribution of Working Group I to the Third Assessment Report of the Intergovernmental Panel on Climate Change</w:t>
      </w:r>
      <w:r w:rsidRPr="002A634B">
        <w:t xml:space="preserve"> [Houghton, J.T., Ding, Y., Griggs, D.J., Noguer, M., van der Linden, P.J., Dai, X., Maskell, K. and C.A. Johnson (eds.)]. Cambridge University Press, Cambridge, United Kingdom and New York, NY, USA. 881 pp.</w:t>
      </w:r>
    </w:p>
    <w:p w:rsidR="008237BB" w:rsidRDefault="008237BB" w:rsidP="004911EB">
      <w:pPr>
        <w:pStyle w:val="References"/>
      </w:pPr>
      <w:r w:rsidRPr="002A634B">
        <w:t>IPCC, 2007 Summary f</w:t>
      </w:r>
      <w:r>
        <w:t>or Policymakers.</w:t>
      </w:r>
      <w:r w:rsidRPr="002A634B">
        <w:t xml:space="preserve"> Climate Change 2007: The Physical Science Basis. Contribution of Working Group I to the Fourth Assessment Report of the Intergovernmental Panel on Climate Change [Solomon, S., Qin,</w:t>
      </w:r>
      <w:r>
        <w:t xml:space="preserve"> </w:t>
      </w:r>
      <w:r w:rsidRPr="002A634B">
        <w:t>D.</w:t>
      </w:r>
      <w:r>
        <w:t>,</w:t>
      </w:r>
      <w:r w:rsidRPr="002A634B">
        <w:t xml:space="preserve"> Manning</w:t>
      </w:r>
      <w:r>
        <w:t xml:space="preserve">, </w:t>
      </w:r>
      <w:r w:rsidRPr="002A634B">
        <w:t>M., Chen,</w:t>
      </w:r>
      <w:r>
        <w:t xml:space="preserve"> </w:t>
      </w:r>
      <w:r w:rsidRPr="002A634B">
        <w:t>Z.</w:t>
      </w:r>
      <w:r>
        <w:t xml:space="preserve">, </w:t>
      </w:r>
      <w:r w:rsidRPr="002A634B">
        <w:t>Marquis,</w:t>
      </w:r>
      <w:r>
        <w:t xml:space="preserve"> </w:t>
      </w:r>
      <w:r w:rsidRPr="002A634B">
        <w:t>M.</w:t>
      </w:r>
      <w:r>
        <w:t xml:space="preserve">, </w:t>
      </w:r>
      <w:r w:rsidRPr="002A634B">
        <w:t>Averyt,</w:t>
      </w:r>
      <w:r>
        <w:t xml:space="preserve"> </w:t>
      </w:r>
      <w:r w:rsidRPr="002A634B">
        <w:t>K.</w:t>
      </w:r>
      <w:r>
        <w:t xml:space="preserve"> </w:t>
      </w:r>
      <w:r w:rsidRPr="002A634B">
        <w:t>B.</w:t>
      </w:r>
      <w:r>
        <w:t xml:space="preserve">, </w:t>
      </w:r>
      <w:r w:rsidRPr="002A634B">
        <w:t>Tignor</w:t>
      </w:r>
      <w:r>
        <w:t xml:space="preserve">, </w:t>
      </w:r>
      <w:r w:rsidRPr="002A634B">
        <w:t>M.</w:t>
      </w:r>
      <w:r>
        <w:t>,</w:t>
      </w:r>
      <w:r w:rsidRPr="002A634B">
        <w:t xml:space="preserve"> and Miller</w:t>
      </w:r>
      <w:r>
        <w:t xml:space="preserve">, </w:t>
      </w:r>
      <w:r w:rsidRPr="002A634B">
        <w:t>H</w:t>
      </w:r>
      <w:r>
        <w:t xml:space="preserve"> </w:t>
      </w:r>
      <w:r w:rsidRPr="002A634B">
        <w:t xml:space="preserve">.L. (eds.)]. Cambridge University Press, Cambridge, United Kingdom and New York, NY, USA. p14. Available online: </w:t>
      </w:r>
      <w:hyperlink r:id="rId48" w:tooltip="IPCC website" w:history="1">
        <w:r w:rsidRPr="002A634B">
          <w:rPr>
            <w:rStyle w:val="Hyperlink"/>
          </w:rPr>
          <w:t>http://www.ipcc.ch/pdf/assessment-report/ar4/wg1/ar4-wg1-spm.pdf</w:t>
        </w:r>
      </w:hyperlink>
    </w:p>
    <w:p w:rsidR="008237BB" w:rsidRDefault="008237BB" w:rsidP="004911EB">
      <w:pPr>
        <w:pStyle w:val="References"/>
      </w:pPr>
      <w:r w:rsidRPr="00A54060">
        <w:t xml:space="preserve">IPCC, 2007a. </w:t>
      </w:r>
      <w:r>
        <w:t xml:space="preserve">Contributions of Working Group 1 to the IPCC </w:t>
      </w:r>
      <w:r w:rsidRPr="002A634B">
        <w:t>Fourth Assessment Report</w:t>
      </w:r>
      <w:r>
        <w:t xml:space="preserve">; Chapter 10, Global emissions scenarios. </w:t>
      </w:r>
      <w:r w:rsidRPr="004911EB">
        <w:rPr>
          <w:rStyle w:val="Italic"/>
        </w:rPr>
        <w:t>Intergovernmental Panel on Climate Change.</w:t>
      </w:r>
      <w:r>
        <w:t xml:space="preserve"> Available online: </w:t>
      </w:r>
      <w:hyperlink r:id="rId49" w:tooltip="IPCC website" w:history="1">
        <w:r w:rsidRPr="00B710F5">
          <w:rPr>
            <w:rStyle w:val="Hyperlink"/>
          </w:rPr>
          <w:t>http://www.ipcc.ch/pdf/assessment-</w:t>
        </w:r>
        <w:r w:rsidRPr="005E2EE3">
          <w:rPr>
            <w:rStyle w:val="Hyperlink"/>
          </w:rPr>
          <w:t>report</w:t>
        </w:r>
        <w:r w:rsidRPr="00B710F5">
          <w:rPr>
            <w:rStyle w:val="Hyperlink"/>
          </w:rPr>
          <w:t>/ar4/wg1/ar4-wg1-chapter10.pdf</w:t>
        </w:r>
      </w:hyperlink>
    </w:p>
    <w:p w:rsidR="008237BB" w:rsidRDefault="008237BB" w:rsidP="004911EB">
      <w:pPr>
        <w:pStyle w:val="References"/>
      </w:pPr>
      <w:r w:rsidRPr="004A70FC">
        <w:t>Jones</w:t>
      </w:r>
      <w:r>
        <w:t xml:space="preserve">, T., Middelmann, M., and Corby, N., 2005. Natural Hazard Risk in Perth, Western Australia. </w:t>
      </w:r>
      <w:r w:rsidRPr="004911EB">
        <w:rPr>
          <w:rStyle w:val="Italic"/>
        </w:rPr>
        <w:t>Geoscience Australia</w:t>
      </w:r>
      <w:r>
        <w:t>: Canberra.</w:t>
      </w:r>
    </w:p>
    <w:p w:rsidR="008237BB" w:rsidRDefault="008237BB" w:rsidP="004911EB">
      <w:pPr>
        <w:pStyle w:val="References"/>
      </w:pPr>
      <w:r w:rsidRPr="002A634B">
        <w:t>Kalnay, E., and Cai,</w:t>
      </w:r>
      <w:r>
        <w:t xml:space="preserve"> </w:t>
      </w:r>
      <w:r w:rsidRPr="002A634B">
        <w:t>M.</w:t>
      </w:r>
      <w:r>
        <w:t>,</w:t>
      </w:r>
      <w:r w:rsidRPr="002A634B">
        <w:t xml:space="preserve"> 2003</w:t>
      </w:r>
      <w:r>
        <w:t>.</w:t>
      </w:r>
      <w:r w:rsidRPr="002A634B">
        <w:t xml:space="preserve"> Impact of urbanization and land use on climate change. </w:t>
      </w:r>
      <w:r w:rsidRPr="004911EB">
        <w:rPr>
          <w:rStyle w:val="Italic"/>
        </w:rPr>
        <w:t>Nature</w:t>
      </w:r>
      <w:r w:rsidRPr="002A634B">
        <w:t xml:space="preserve">, </w:t>
      </w:r>
      <w:r w:rsidRPr="004911EB">
        <w:rPr>
          <w:rStyle w:val="Bold"/>
        </w:rPr>
        <w:t>423</w:t>
      </w:r>
      <w:r w:rsidRPr="002A634B">
        <w:t>, 528–531.</w:t>
      </w:r>
    </w:p>
    <w:p w:rsidR="008237BB" w:rsidRDefault="008237BB" w:rsidP="004911EB">
      <w:pPr>
        <w:pStyle w:val="References"/>
      </w:pPr>
      <w:r w:rsidRPr="002A634B">
        <w:t>Katzfey, J.</w:t>
      </w:r>
      <w:r>
        <w:t xml:space="preserve"> </w:t>
      </w:r>
      <w:r w:rsidRPr="002A634B">
        <w:t>J., McGregor,</w:t>
      </w:r>
      <w:r w:rsidRPr="007C702A">
        <w:t xml:space="preserve"> </w:t>
      </w:r>
      <w:r w:rsidRPr="002A634B">
        <w:t>J.</w:t>
      </w:r>
      <w:r>
        <w:t xml:space="preserve"> </w:t>
      </w:r>
      <w:r w:rsidRPr="002A634B">
        <w:t>L.</w:t>
      </w:r>
      <w:r>
        <w:t>,</w:t>
      </w:r>
      <w:r w:rsidRPr="002A634B">
        <w:t xml:space="preserve"> Nguyen</w:t>
      </w:r>
      <w:r>
        <w:t xml:space="preserve">, </w:t>
      </w:r>
      <w:r w:rsidRPr="002A634B">
        <w:t>K.</w:t>
      </w:r>
      <w:r>
        <w:t xml:space="preserve"> </w:t>
      </w:r>
      <w:r w:rsidRPr="002A634B">
        <w:t>C. and Thatcher</w:t>
      </w:r>
      <w:r>
        <w:t xml:space="preserve">, </w:t>
      </w:r>
      <w:r w:rsidRPr="002A634B">
        <w:t>M.</w:t>
      </w:r>
      <w:r>
        <w:t>,</w:t>
      </w:r>
      <w:r w:rsidRPr="002A634B">
        <w:t xml:space="preserve"> 2009</w:t>
      </w:r>
      <w:r>
        <w:t>.</w:t>
      </w:r>
      <w:r w:rsidRPr="002A634B">
        <w:t xml:space="preserve"> Dynamical downscaling techniques: Impacts on regional climate change signals, </w:t>
      </w:r>
      <w:r w:rsidRPr="004911EB">
        <w:rPr>
          <w:rStyle w:val="Italic"/>
        </w:rPr>
        <w:t>World IMACS/MODSIM Congress</w:t>
      </w:r>
      <w:r w:rsidRPr="002A634B">
        <w:t>, Cairns</w:t>
      </w:r>
    </w:p>
    <w:p w:rsidR="008237BB" w:rsidRPr="004911EB" w:rsidRDefault="008237BB" w:rsidP="004911EB">
      <w:pPr>
        <w:pStyle w:val="References"/>
      </w:pPr>
      <w:r w:rsidRPr="002A634B">
        <w:t>Kelly, J.N. and Wong, W. T.</w:t>
      </w:r>
      <w:r>
        <w:t>,</w:t>
      </w:r>
      <w:r w:rsidRPr="002A634B">
        <w:t xml:space="preserve"> 1996</w:t>
      </w:r>
      <w:r>
        <w:t>.</w:t>
      </w:r>
      <w:r w:rsidRPr="004911EB">
        <w:t xml:space="preserve"> Sediment transport in the Fitzroy River during flood events.</w:t>
      </w:r>
      <w:r w:rsidR="00C3610F">
        <w:t xml:space="preserve"> </w:t>
      </w:r>
      <w:r w:rsidRPr="004911EB">
        <w:t xml:space="preserve">In: I. Rutherford and M. Walker, (Eds) </w:t>
      </w:r>
      <w:r w:rsidRPr="003776CC">
        <w:rPr>
          <w:rStyle w:val="ReferencesItalic"/>
        </w:rPr>
        <w:t>Proceedings of the 1st National Conference of Stream Management in Australia</w:t>
      </w:r>
      <w:r w:rsidRPr="004911EB">
        <w:t xml:space="preserve"> ( pp. 19-21). Merrijig: IEA.</w:t>
      </w:r>
    </w:p>
    <w:p w:rsidR="008237BB" w:rsidRPr="004911EB" w:rsidRDefault="008237BB" w:rsidP="004911EB">
      <w:pPr>
        <w:pStyle w:val="References"/>
      </w:pPr>
      <w:r w:rsidRPr="002A634B">
        <w:t>Kepert, J. D., 2001</w:t>
      </w:r>
      <w:r w:rsidRPr="004911EB">
        <w:t xml:space="preserve">: The Dynamics of Boundary Layer Jets within the Tropical Cyclone Core. Part I: Linear Theory. </w:t>
      </w:r>
      <w:r w:rsidRPr="003776CC">
        <w:rPr>
          <w:rStyle w:val="ReferencesItalic"/>
        </w:rPr>
        <w:t>Journal of Atmospheric Sciences</w:t>
      </w:r>
      <w:r w:rsidRPr="004911EB">
        <w:t xml:space="preserve">, </w:t>
      </w:r>
      <w:r w:rsidRPr="003776CC">
        <w:rPr>
          <w:rStyle w:val="Bold"/>
        </w:rPr>
        <w:t>58</w:t>
      </w:r>
      <w:r w:rsidRPr="004911EB">
        <w:t>, 2469-2484.</w:t>
      </w:r>
    </w:p>
    <w:p w:rsidR="008237BB" w:rsidRPr="004911EB" w:rsidRDefault="008237BB" w:rsidP="004911EB">
      <w:pPr>
        <w:pStyle w:val="References"/>
      </w:pPr>
      <w:r w:rsidRPr="002A634B">
        <w:t>Kleypas, J.</w:t>
      </w:r>
      <w:r>
        <w:t xml:space="preserve"> </w:t>
      </w:r>
      <w:r w:rsidRPr="002A634B">
        <w:t>A. and Burrage, D.</w:t>
      </w:r>
      <w:r>
        <w:t xml:space="preserve"> </w:t>
      </w:r>
      <w:r w:rsidRPr="002A634B">
        <w:t>M.</w:t>
      </w:r>
      <w:r>
        <w:t>,</w:t>
      </w:r>
      <w:r w:rsidRPr="002A634B">
        <w:t xml:space="preserve"> 1994</w:t>
      </w:r>
      <w:r>
        <w:t>.</w:t>
      </w:r>
      <w:r w:rsidRPr="004911EB">
        <w:t xml:space="preserve"> Satellite observations of circulation in the southern Great</w:t>
      </w:r>
      <w:r w:rsidR="00C3610F">
        <w:t xml:space="preserve"> </w:t>
      </w:r>
      <w:r w:rsidRPr="004911EB">
        <w:t xml:space="preserve">Barrier Reef, </w:t>
      </w:r>
      <w:r w:rsidRPr="002A634B">
        <w:t>Australia.</w:t>
      </w:r>
      <w:r w:rsidRPr="004911EB">
        <w:rPr>
          <w:rStyle w:val="Italic"/>
        </w:rPr>
        <w:t xml:space="preserve"> International Journal of Remote Sensing</w:t>
      </w:r>
      <w:r w:rsidRPr="002A634B">
        <w:t>,</w:t>
      </w:r>
      <w:r w:rsidRPr="004911EB">
        <w:t xml:space="preserve"> </w:t>
      </w:r>
      <w:r w:rsidRPr="003776CC">
        <w:rPr>
          <w:rStyle w:val="Bold"/>
        </w:rPr>
        <w:t>15</w:t>
      </w:r>
      <w:r w:rsidRPr="004911EB">
        <w:t>, 2051-2063.</w:t>
      </w:r>
    </w:p>
    <w:p w:rsidR="008237BB" w:rsidRPr="004911EB" w:rsidRDefault="008237BB" w:rsidP="004911EB">
      <w:pPr>
        <w:pStyle w:val="References"/>
      </w:pPr>
      <w:r w:rsidRPr="004911EB">
        <w:t xml:space="preserve">Kuleshov, Y., Qi, L., Fawcett, R., and Jones, D., 2008. On tropical cyclone activity in the Southern Hemisphere: Trends and the ENSO connection. </w:t>
      </w:r>
      <w:r w:rsidRPr="003776CC">
        <w:rPr>
          <w:rStyle w:val="ReferencesItalic"/>
        </w:rPr>
        <w:t>Geophysical Research Letters</w:t>
      </w:r>
      <w:r w:rsidRPr="004911EB">
        <w:t xml:space="preserve">, </w:t>
      </w:r>
      <w:r w:rsidRPr="003776CC">
        <w:rPr>
          <w:rStyle w:val="Bold"/>
        </w:rPr>
        <w:t>35</w:t>
      </w:r>
      <w:r w:rsidRPr="004911EB">
        <w:t>, 5.</w:t>
      </w:r>
    </w:p>
    <w:p w:rsidR="008237BB" w:rsidRPr="004911EB" w:rsidRDefault="008237BB" w:rsidP="004911EB">
      <w:pPr>
        <w:pStyle w:val="References"/>
      </w:pPr>
      <w:r w:rsidRPr="002A634B">
        <w:t>Lavender, S., Walsh,</w:t>
      </w:r>
      <w:r w:rsidRPr="007C702A">
        <w:t xml:space="preserve"> </w:t>
      </w:r>
      <w:r w:rsidRPr="002A634B">
        <w:t>K.</w:t>
      </w:r>
      <w:r>
        <w:t>,</w:t>
      </w:r>
      <w:r w:rsidRPr="002A634B">
        <w:t xml:space="preserve"> Abbs,</w:t>
      </w:r>
      <w:r>
        <w:t xml:space="preserve"> </w:t>
      </w:r>
      <w:r w:rsidRPr="002A634B">
        <w:t>D.</w:t>
      </w:r>
      <w:r>
        <w:t>,</w:t>
      </w:r>
      <w:r w:rsidRPr="002A634B">
        <w:t xml:space="preserve"> Thatcher,</w:t>
      </w:r>
      <w:r>
        <w:t xml:space="preserve"> </w:t>
      </w:r>
      <w:r w:rsidRPr="002A634B">
        <w:t>M.</w:t>
      </w:r>
      <w:r>
        <w:t>,</w:t>
      </w:r>
      <w:r w:rsidRPr="002A634B">
        <w:t xml:space="preserve"> Arthur</w:t>
      </w:r>
      <w:r>
        <w:t xml:space="preserve">, </w:t>
      </w:r>
      <w:r w:rsidRPr="002A634B">
        <w:t>C., and Cechet,</w:t>
      </w:r>
      <w:r>
        <w:t xml:space="preserve"> </w:t>
      </w:r>
      <w:r w:rsidRPr="002A634B">
        <w:t>B.</w:t>
      </w:r>
      <w:r>
        <w:t>,</w:t>
      </w:r>
      <w:r w:rsidRPr="002A634B">
        <w:t xml:space="preserve"> 2011</w:t>
      </w:r>
      <w:r>
        <w:t>.</w:t>
      </w:r>
      <w:r w:rsidRPr="004911EB">
        <w:t xml:space="preserve"> Regional Tropical Cyclone Hazard for Infrastructure Adaptation to Climate Change. National Research Flagships, </w:t>
      </w:r>
      <w:r w:rsidRPr="003776CC">
        <w:rPr>
          <w:rStyle w:val="ReferencesItalic"/>
        </w:rPr>
        <w:t>CSIRO</w:t>
      </w:r>
      <w:r w:rsidRPr="004911EB">
        <w:t>.</w:t>
      </w:r>
    </w:p>
    <w:p w:rsidR="008237BB" w:rsidRPr="004911EB" w:rsidRDefault="008237BB" w:rsidP="004911EB">
      <w:pPr>
        <w:pStyle w:val="References"/>
      </w:pPr>
      <w:r w:rsidRPr="002A634B">
        <w:t>Laycock, J.</w:t>
      </w:r>
      <w:r>
        <w:t xml:space="preserve"> </w:t>
      </w:r>
      <w:r w:rsidRPr="002A634B">
        <w:t>W. 1980</w:t>
      </w:r>
      <w:r>
        <w:t>.</w:t>
      </w:r>
      <w:r w:rsidRPr="004911EB">
        <w:t xml:space="preserve"> The brine-field at Port Alma. </w:t>
      </w:r>
      <w:r w:rsidRPr="004911EB">
        <w:rPr>
          <w:rStyle w:val="Italic"/>
        </w:rPr>
        <w:t xml:space="preserve">In </w:t>
      </w:r>
      <w:r w:rsidRPr="004911EB">
        <w:t xml:space="preserve">Hofmann, G. W. (Ed) </w:t>
      </w:r>
      <w:r w:rsidRPr="002A634B">
        <w:t>Mount Morgan</w:t>
      </w:r>
      <w:r w:rsidR="00C3610F">
        <w:t xml:space="preserve"> </w:t>
      </w:r>
      <w:r w:rsidRPr="002A634B">
        <w:t xml:space="preserve">Rundle Range Yeppoon Area, 1980 Field Conference. </w:t>
      </w:r>
      <w:r w:rsidRPr="003776CC">
        <w:rPr>
          <w:rStyle w:val="ReferencesItalic"/>
        </w:rPr>
        <w:t>Geological Society of Australia</w:t>
      </w:r>
      <w:r w:rsidRPr="004911EB">
        <w:t>, Inc.,</w:t>
      </w:r>
      <w:r w:rsidR="00C3610F">
        <w:t xml:space="preserve"> </w:t>
      </w:r>
      <w:r w:rsidRPr="004911EB">
        <w:t xml:space="preserve">Queensland </w:t>
      </w:r>
      <w:r w:rsidRPr="002A634B">
        <w:t>Division</w:t>
      </w:r>
      <w:r w:rsidRPr="004911EB">
        <w:t>. pp. 79-84.</w:t>
      </w:r>
    </w:p>
    <w:p w:rsidR="008237BB" w:rsidRDefault="008237BB" w:rsidP="004911EB">
      <w:pPr>
        <w:pStyle w:val="References"/>
      </w:pPr>
      <w:r w:rsidRPr="002A634B">
        <w:t>Lawrence, P. J., and Chase,</w:t>
      </w:r>
      <w:r w:rsidRPr="007C702A">
        <w:t xml:space="preserve"> </w:t>
      </w:r>
      <w:r w:rsidRPr="002A634B">
        <w:t>T. N.</w:t>
      </w:r>
      <w:r>
        <w:t>,</w:t>
      </w:r>
      <w:r w:rsidRPr="002A634B">
        <w:t xml:space="preserve"> 2007</w:t>
      </w:r>
      <w:r>
        <w:t>.</w:t>
      </w:r>
      <w:r w:rsidRPr="002A634B">
        <w:t xml:space="preserve"> Representing new MODIS consistent land surface in the Community Land Model (CLM 3.0). </w:t>
      </w:r>
      <w:r w:rsidRPr="004911EB">
        <w:rPr>
          <w:rStyle w:val="Italic"/>
        </w:rPr>
        <w:t>Journal of Geophysical Research</w:t>
      </w:r>
      <w:r w:rsidRPr="002A634B">
        <w:t xml:space="preserve">., </w:t>
      </w:r>
      <w:r w:rsidRPr="004911EB">
        <w:rPr>
          <w:rStyle w:val="Bold"/>
        </w:rPr>
        <w:t>112</w:t>
      </w:r>
      <w:r w:rsidRPr="002A634B">
        <w:t>, G01023, doi 10.1029/2006JG000168.</w:t>
      </w:r>
    </w:p>
    <w:p w:rsidR="002F691C" w:rsidRDefault="008237BB" w:rsidP="004911EB">
      <w:pPr>
        <w:pStyle w:val="References"/>
      </w:pPr>
      <w:r w:rsidRPr="002A634B">
        <w:t>Leslie</w:t>
      </w:r>
      <w:r>
        <w:t>,</w:t>
      </w:r>
      <w:r w:rsidRPr="002A634B">
        <w:t xml:space="preserve"> L</w:t>
      </w:r>
      <w:r>
        <w:t xml:space="preserve">. </w:t>
      </w:r>
      <w:r w:rsidRPr="002A634B">
        <w:t>M</w:t>
      </w:r>
      <w:r>
        <w:t>.</w:t>
      </w:r>
      <w:r w:rsidRPr="002A634B">
        <w:t>, Karoly</w:t>
      </w:r>
      <w:r>
        <w:t>,</w:t>
      </w:r>
      <w:r w:rsidRPr="002A634B">
        <w:t xml:space="preserve"> D</w:t>
      </w:r>
      <w:r>
        <w:t xml:space="preserve">. </w:t>
      </w:r>
      <w:r w:rsidRPr="002A634B">
        <w:t>J</w:t>
      </w:r>
      <w:r>
        <w:t>.</w:t>
      </w:r>
      <w:r w:rsidRPr="002A634B">
        <w:t>, Leplastrier</w:t>
      </w:r>
      <w:r>
        <w:t>,</w:t>
      </w:r>
      <w:r w:rsidRPr="002A634B">
        <w:t xml:space="preserve"> M</w:t>
      </w:r>
      <w:r>
        <w:t>.</w:t>
      </w:r>
      <w:r w:rsidRPr="002A634B">
        <w:t xml:space="preserve"> and Buckley</w:t>
      </w:r>
      <w:r>
        <w:t>,</w:t>
      </w:r>
      <w:r w:rsidRPr="002A634B">
        <w:t xml:space="preserve"> B</w:t>
      </w:r>
      <w:r>
        <w:t xml:space="preserve">. </w:t>
      </w:r>
      <w:r w:rsidRPr="002A634B">
        <w:t>W</w:t>
      </w:r>
      <w:r>
        <w:t>.</w:t>
      </w:r>
      <w:r w:rsidRPr="002A634B">
        <w:t xml:space="preserve"> 2007</w:t>
      </w:r>
      <w:r>
        <w:t>.</w:t>
      </w:r>
      <w:r w:rsidRPr="002A634B">
        <w:t xml:space="preserve"> Variability of Tropical Cyclones over the Southwest Pacific Ocean using High Resolution Climate Model, </w:t>
      </w:r>
      <w:r w:rsidRPr="004911EB">
        <w:rPr>
          <w:rStyle w:val="Italic"/>
        </w:rPr>
        <w:t>Meteorology and Atmospheric Physics</w:t>
      </w:r>
      <w:r>
        <w:t>.</w:t>
      </w:r>
      <w:r w:rsidRPr="002A634B">
        <w:t xml:space="preserve"> </w:t>
      </w:r>
      <w:r w:rsidRPr="004911EB">
        <w:rPr>
          <w:rStyle w:val="Bold"/>
        </w:rPr>
        <w:t>97</w:t>
      </w:r>
      <w:r w:rsidRPr="002A634B">
        <w:t xml:space="preserve"> (Special Issue on Tropical Cyclones), Available online: </w:t>
      </w:r>
      <w:hyperlink r:id="rId50" w:tooltip="NOAA website" w:history="1">
        <w:r w:rsidRPr="002A634B">
          <w:rPr>
            <w:rStyle w:val="Hyperlink"/>
          </w:rPr>
          <w:t>ftp://ftp.gfdl.noaa.gov/pub/rt/Leslieetal97.pdf</w:t>
        </w:r>
      </w:hyperlink>
    </w:p>
    <w:p w:rsidR="008237BB" w:rsidRPr="004911EB" w:rsidRDefault="008237BB" w:rsidP="004911EB">
      <w:pPr>
        <w:pStyle w:val="References"/>
      </w:pPr>
      <w:r w:rsidRPr="004911EB">
        <w:t xml:space="preserve">Lucas, C., Hennessy, K., Mills, G. and Bathols, J., 2007. Bushfire weather in southeast Australia: recent trends and projected climate change impacts. </w:t>
      </w:r>
      <w:r w:rsidRPr="003776CC">
        <w:rPr>
          <w:rStyle w:val="ReferencesItalic"/>
        </w:rPr>
        <w:t>Bushfire Cooperative Research Centre and CSIRO Marine and Atmospheric Research</w:t>
      </w:r>
      <w:r w:rsidRPr="004911EB">
        <w:t>. Consultancy Report prepared for The Climate Institute of Australia</w:t>
      </w:r>
    </w:p>
    <w:p w:rsidR="008237BB" w:rsidRDefault="008237BB" w:rsidP="004911EB">
      <w:pPr>
        <w:pStyle w:val="References"/>
      </w:pPr>
      <w:r w:rsidRPr="007E0ECA">
        <w:lastRenderedPageBreak/>
        <w:t>Lucas</w:t>
      </w:r>
      <w:r>
        <w:t>,</w:t>
      </w:r>
      <w:r w:rsidRPr="007E0ECA">
        <w:t xml:space="preserve"> C</w:t>
      </w:r>
      <w:r>
        <w:t>.,</w:t>
      </w:r>
      <w:r w:rsidRPr="007E0ECA">
        <w:t xml:space="preserve"> 2010</w:t>
      </w:r>
      <w:r>
        <w:t>.</w:t>
      </w:r>
      <w:r w:rsidRPr="007E0ECA">
        <w:t xml:space="preserve"> A historical fire weather dataset for Australia. </w:t>
      </w:r>
      <w:r w:rsidRPr="004911EB">
        <w:rPr>
          <w:rStyle w:val="Italic"/>
        </w:rPr>
        <w:t>Australian Meteorological and Oceanographic Journal</w:t>
      </w:r>
      <w:r w:rsidRPr="007E0ECA">
        <w:t xml:space="preserve"> </w:t>
      </w:r>
      <w:r w:rsidRPr="004911EB">
        <w:rPr>
          <w:rStyle w:val="Bold"/>
        </w:rPr>
        <w:t>60</w:t>
      </w:r>
      <w:r w:rsidRPr="007E0ECA">
        <w:t>, 1–14.</w:t>
      </w:r>
    </w:p>
    <w:p w:rsidR="008237BB" w:rsidRDefault="008237BB" w:rsidP="004911EB">
      <w:pPr>
        <w:pStyle w:val="References"/>
      </w:pPr>
      <w:r w:rsidRPr="002A634B">
        <w:t>Luke, R.</w:t>
      </w:r>
      <w:r>
        <w:t xml:space="preserve"> </w:t>
      </w:r>
      <w:r w:rsidRPr="002A634B">
        <w:t>H. and McArthur, A.</w:t>
      </w:r>
      <w:r>
        <w:t xml:space="preserve"> </w:t>
      </w:r>
      <w:r w:rsidRPr="002A634B">
        <w:t>G., 1978</w:t>
      </w:r>
      <w:r>
        <w:t>.</w:t>
      </w:r>
      <w:r w:rsidRPr="002A634B">
        <w:t xml:space="preserve"> Bushfires in Australia. A</w:t>
      </w:r>
      <w:r w:rsidRPr="004911EB">
        <w:rPr>
          <w:rStyle w:val="Italic"/>
        </w:rPr>
        <w:t>ustralian Government Publishing Service,</w:t>
      </w:r>
      <w:r w:rsidRPr="002A634B">
        <w:t xml:space="preserve"> Canberra. 359pp</w:t>
      </w:r>
    </w:p>
    <w:p w:rsidR="008237BB" w:rsidRDefault="008237BB" w:rsidP="004911EB">
      <w:pPr>
        <w:pStyle w:val="References"/>
      </w:pPr>
      <w:r w:rsidRPr="002A634B">
        <w:t>McGregor, J., and Dix,</w:t>
      </w:r>
      <w:r>
        <w:t xml:space="preserve"> </w:t>
      </w:r>
      <w:r w:rsidRPr="002A634B">
        <w:t>M. R.</w:t>
      </w:r>
      <w:r>
        <w:t>,</w:t>
      </w:r>
      <w:r w:rsidRPr="002A634B">
        <w:t xml:space="preserve"> 2008</w:t>
      </w:r>
      <w:r>
        <w:t>.</w:t>
      </w:r>
      <w:r w:rsidRPr="002A634B">
        <w:t xml:space="preserve"> An Updated Description of the Conformal-Cubic Atmospheric Model</w:t>
      </w:r>
      <w:r>
        <w:t>.</w:t>
      </w:r>
      <w:r w:rsidRPr="002A634B">
        <w:t xml:space="preserve"> </w:t>
      </w:r>
      <w:r w:rsidRPr="004911EB">
        <w:rPr>
          <w:rStyle w:val="Italic"/>
        </w:rPr>
        <w:t>High Resolution Numerical Modelling of the Atmosphere and Ocean</w:t>
      </w:r>
      <w:r w:rsidRPr="002A634B">
        <w:t xml:space="preserve"> K. Hamilton, and W. Ohfuchi, Eds., Springer 51-75.</w:t>
      </w:r>
    </w:p>
    <w:p w:rsidR="008237BB" w:rsidRDefault="008237BB" w:rsidP="004911EB">
      <w:pPr>
        <w:pStyle w:val="References"/>
      </w:pPr>
      <w:r w:rsidRPr="002A634B">
        <w:t>McGregor, J.L., 2005</w:t>
      </w:r>
      <w:r>
        <w:t>.</w:t>
      </w:r>
      <w:r w:rsidRPr="002A634B">
        <w:t xml:space="preserve"> CCAM: geometric aspects and dynamical formulation, CSIRO Marine and Atmospheric Research report, Melbourne, Victoria</w:t>
      </w:r>
    </w:p>
    <w:p w:rsidR="008237BB" w:rsidRDefault="008237BB" w:rsidP="004911EB">
      <w:pPr>
        <w:pStyle w:val="References"/>
      </w:pPr>
      <w:r w:rsidRPr="002A634B">
        <w:t>McNider, R. T., A. J. Song, D. Casey, P. J. Wetzel, W. Crosson, and R. M. Rabin, 1995</w:t>
      </w:r>
      <w:r>
        <w:t>.</w:t>
      </w:r>
      <w:r w:rsidRPr="002A634B">
        <w:t xml:space="preserve"> Toward a dynamic– thermodynamic assimilation of satellite surface temperature in numerical atmospheric models. </w:t>
      </w:r>
      <w:r w:rsidRPr="004911EB">
        <w:rPr>
          <w:rStyle w:val="Italic"/>
        </w:rPr>
        <w:t>Monthly Weather. Review</w:t>
      </w:r>
      <w:r w:rsidRPr="002A634B">
        <w:t xml:space="preserve">, </w:t>
      </w:r>
      <w:r w:rsidRPr="004911EB">
        <w:rPr>
          <w:rStyle w:val="Bold"/>
        </w:rPr>
        <w:t>122</w:t>
      </w:r>
      <w:r w:rsidRPr="002A634B">
        <w:t>, 2784–2803.</w:t>
      </w:r>
    </w:p>
    <w:p w:rsidR="008237BB" w:rsidRDefault="008237BB" w:rsidP="004911EB">
      <w:pPr>
        <w:pStyle w:val="References"/>
      </w:pPr>
      <w:r w:rsidRPr="002A634B">
        <w:t>Mahmood, R., Foster,</w:t>
      </w:r>
      <w:r>
        <w:t xml:space="preserve"> </w:t>
      </w:r>
      <w:r w:rsidRPr="002A634B">
        <w:t>S. A.</w:t>
      </w:r>
      <w:r>
        <w:t>,</w:t>
      </w:r>
      <w:r w:rsidRPr="002A634B">
        <w:t xml:space="preserve"> and Logan,</w:t>
      </w:r>
      <w:r>
        <w:t xml:space="preserve"> </w:t>
      </w:r>
      <w:r w:rsidRPr="002A634B">
        <w:t>D.</w:t>
      </w:r>
      <w:r>
        <w:t>,</w:t>
      </w:r>
      <w:r w:rsidRPr="002A634B">
        <w:t xml:space="preserve"> 2006a</w:t>
      </w:r>
      <w:r>
        <w:t>.</w:t>
      </w:r>
      <w:r w:rsidRPr="002A634B">
        <w:t xml:space="preserve"> The GeoProfile metadata, exposure of instruments, and measurement bias in climatic record revisited. </w:t>
      </w:r>
      <w:r w:rsidRPr="004911EB">
        <w:rPr>
          <w:rStyle w:val="Italic"/>
        </w:rPr>
        <w:t>International Journal of Climatology,</w:t>
      </w:r>
      <w:r w:rsidRPr="002A634B">
        <w:t xml:space="preserve"> </w:t>
      </w:r>
      <w:r w:rsidRPr="004911EB">
        <w:rPr>
          <w:rStyle w:val="Bold"/>
        </w:rPr>
        <w:t>26</w:t>
      </w:r>
      <w:r w:rsidRPr="002A634B">
        <w:t>, 1091–1124.</w:t>
      </w:r>
    </w:p>
    <w:p w:rsidR="008237BB" w:rsidRDefault="008237BB" w:rsidP="004911EB">
      <w:pPr>
        <w:pStyle w:val="References"/>
      </w:pPr>
      <w:r w:rsidRPr="002A634B">
        <w:t>Mahmood, R., Foster, A., Keeling,</w:t>
      </w:r>
      <w:r>
        <w:t xml:space="preserve"> </w:t>
      </w:r>
      <w:r w:rsidRPr="002A634B">
        <w:t>T.</w:t>
      </w:r>
      <w:r>
        <w:t>,</w:t>
      </w:r>
      <w:r w:rsidRPr="002A634B">
        <w:t xml:space="preserve"> Hubbard,</w:t>
      </w:r>
      <w:r>
        <w:t xml:space="preserve"> </w:t>
      </w:r>
      <w:r w:rsidRPr="002A634B">
        <w:t>K.G.</w:t>
      </w:r>
      <w:r>
        <w:t>,</w:t>
      </w:r>
      <w:r w:rsidRPr="002A634B">
        <w:t xml:space="preserve"> Carlson,</w:t>
      </w:r>
      <w:r>
        <w:t xml:space="preserve"> </w:t>
      </w:r>
      <w:r w:rsidRPr="002A634B">
        <w:t>C.</w:t>
      </w:r>
      <w:r>
        <w:t>,</w:t>
      </w:r>
      <w:r w:rsidRPr="002A634B">
        <w:t xml:space="preserve"> and Leeper,</w:t>
      </w:r>
      <w:r>
        <w:t xml:space="preserve"> </w:t>
      </w:r>
      <w:r w:rsidRPr="002A634B">
        <w:t>R.</w:t>
      </w:r>
      <w:r>
        <w:t>,</w:t>
      </w:r>
      <w:r w:rsidRPr="002A634B">
        <w:t xml:space="preserve"> 2006b</w:t>
      </w:r>
      <w:r>
        <w:t>.</w:t>
      </w:r>
      <w:r w:rsidRPr="002A634B">
        <w:t xml:space="preserve"> Impacts of irrigation on 20th century temperatures in the Northern Great Plains. </w:t>
      </w:r>
      <w:r w:rsidRPr="004911EB">
        <w:rPr>
          <w:rStyle w:val="Italic"/>
        </w:rPr>
        <w:t>Global Planetary. Change</w:t>
      </w:r>
      <w:r w:rsidRPr="002A634B">
        <w:t xml:space="preserve">, </w:t>
      </w:r>
      <w:r w:rsidRPr="004911EB">
        <w:rPr>
          <w:rStyle w:val="Bold"/>
        </w:rPr>
        <w:t>54</w:t>
      </w:r>
      <w:r w:rsidRPr="002A634B">
        <w:t>, 1–18.</w:t>
      </w:r>
    </w:p>
    <w:p w:rsidR="002F691C" w:rsidRDefault="008237BB" w:rsidP="004911EB">
      <w:pPr>
        <w:pStyle w:val="References"/>
        <w:rPr>
          <w:lang w:val="en-US"/>
        </w:rPr>
      </w:pPr>
      <w:r w:rsidRPr="002A634B">
        <w:t>Mahmood, R., and Co-authors, 2010</w:t>
      </w:r>
      <w:r>
        <w:t>.</w:t>
      </w:r>
      <w:r w:rsidRPr="002A634B">
        <w:t xml:space="preserve"> Impacts of land use/land cover change on climate and future research priorities. </w:t>
      </w:r>
      <w:r w:rsidRPr="004911EB">
        <w:rPr>
          <w:rStyle w:val="Italic"/>
        </w:rPr>
        <w:t>Bulletin of the American Meteorological Society</w:t>
      </w:r>
      <w:r w:rsidRPr="002A634B">
        <w:t xml:space="preserve">, </w:t>
      </w:r>
      <w:r w:rsidRPr="004911EB">
        <w:rPr>
          <w:rStyle w:val="Bold"/>
        </w:rPr>
        <w:t>91</w:t>
      </w:r>
      <w:r w:rsidRPr="002A634B">
        <w:t>, 37–46, doi:</w:t>
      </w:r>
      <w:r w:rsidRPr="002A634B">
        <w:rPr>
          <w:lang w:val="en-US"/>
        </w:rPr>
        <w:t xml:space="preserve"> </w:t>
      </w:r>
      <w:hyperlink r:id="rId51" w:tooltip="AMS website" w:history="1">
        <w:r w:rsidRPr="002A634B">
          <w:rPr>
            <w:rStyle w:val="Hyperlink"/>
            <w:lang w:val="en-US"/>
          </w:rPr>
          <w:t>http://dx.doi.org/10.1175/2009BAMS2769.1</w:t>
        </w:r>
      </w:hyperlink>
    </w:p>
    <w:p w:rsidR="002F691C" w:rsidRDefault="008237BB" w:rsidP="004911EB">
      <w:pPr>
        <w:pStyle w:val="References"/>
        <w:rPr>
          <w:rStyle w:val="Hyperlink"/>
        </w:rPr>
      </w:pPr>
      <w:r w:rsidRPr="004911EB">
        <w:t>Maritime Safety Queensland (MSQ). 2011.</w:t>
      </w:r>
      <w:r w:rsidR="005E2EE3">
        <w:t xml:space="preserve"> </w:t>
      </w:r>
      <w:hyperlink r:id="rId52" w:tooltip="QLD MSQ website" w:history="1">
        <w:r w:rsidRPr="005E2EE3">
          <w:rPr>
            <w:rStyle w:val="Hyperlink"/>
          </w:rPr>
          <w:t>http://www.msq.qld.gov.au/~/media/msqinternet/msqfiles/home/tides/tidal%20planes/semidiurnal_planes_2012.pdf</w:t>
        </w:r>
      </w:hyperlink>
    </w:p>
    <w:p w:rsidR="008237BB" w:rsidRDefault="008237BB" w:rsidP="004911EB">
      <w:pPr>
        <w:pStyle w:val="References"/>
      </w:pPr>
      <w:r w:rsidRPr="002A634B">
        <w:t>Marshall, J.</w:t>
      </w:r>
      <w:r>
        <w:t xml:space="preserve"> </w:t>
      </w:r>
      <w:r w:rsidRPr="002A634B">
        <w:t>F.</w:t>
      </w:r>
      <w:r>
        <w:t>,</w:t>
      </w:r>
      <w:r w:rsidRPr="002A634B">
        <w:t xml:space="preserve"> 1977</w:t>
      </w:r>
      <w:r>
        <w:t>.</w:t>
      </w:r>
      <w:r w:rsidRPr="004911EB">
        <w:t xml:space="preserve"> Marine geology of the Capricorn Channel area. </w:t>
      </w:r>
      <w:r w:rsidRPr="002A634B">
        <w:t>Bureau of Mineral</w:t>
      </w:r>
      <w:r w:rsidR="00C3610F">
        <w:t xml:space="preserve"> </w:t>
      </w:r>
      <w:r w:rsidRPr="002A634B">
        <w:t xml:space="preserve">Resources, </w:t>
      </w:r>
      <w:r w:rsidRPr="004911EB">
        <w:rPr>
          <w:rStyle w:val="Italic"/>
        </w:rPr>
        <w:t>Geology and Geophysics Bulletin</w:t>
      </w:r>
      <w:r>
        <w:t>,</w:t>
      </w:r>
      <w:r w:rsidRPr="002A634B">
        <w:t xml:space="preserve"> </w:t>
      </w:r>
      <w:r w:rsidRPr="004911EB">
        <w:rPr>
          <w:rStyle w:val="Bold"/>
        </w:rPr>
        <w:t>163</w:t>
      </w:r>
      <w:r w:rsidRPr="002A634B">
        <w:t>, 81 pp.</w:t>
      </w:r>
    </w:p>
    <w:p w:rsidR="008237BB" w:rsidRDefault="008237BB" w:rsidP="004911EB">
      <w:pPr>
        <w:pStyle w:val="References"/>
      </w:pPr>
      <w:r w:rsidRPr="004911EB">
        <w:t>Marshall, J.F. and Davies, P.J. 1975. High-magnesium calcite ooids from the Great Barrier Reef.</w:t>
      </w:r>
      <w:r w:rsidR="00C3610F">
        <w:t xml:space="preserve"> </w:t>
      </w:r>
      <w:r w:rsidRPr="004911EB">
        <w:rPr>
          <w:rStyle w:val="Italic"/>
        </w:rPr>
        <w:t>Journal of Sedimentary Petrology</w:t>
      </w:r>
      <w:r w:rsidRPr="004911EB">
        <w:t xml:space="preserve">, </w:t>
      </w:r>
      <w:r w:rsidRPr="003776CC">
        <w:rPr>
          <w:rStyle w:val="Bold"/>
        </w:rPr>
        <w:t>45</w:t>
      </w:r>
      <w:r w:rsidRPr="004911EB">
        <w:t>, 285-291.</w:t>
      </w:r>
    </w:p>
    <w:p w:rsidR="008237BB" w:rsidRDefault="008237BB" w:rsidP="004911EB">
      <w:pPr>
        <w:pStyle w:val="References"/>
      </w:pPr>
      <w:r w:rsidRPr="002A634B">
        <w:t xml:space="preserve">Masselink, G., 1993. Simulating the effects of tides on beach morphodynamics. </w:t>
      </w:r>
      <w:r w:rsidRPr="004911EB">
        <w:rPr>
          <w:rStyle w:val="Italic"/>
        </w:rPr>
        <w:t>Journal of Coastal Research,</w:t>
      </w:r>
      <w:r w:rsidRPr="002A634B">
        <w:t xml:space="preserve"> </w:t>
      </w:r>
      <w:r w:rsidRPr="004911EB">
        <w:rPr>
          <w:rStyle w:val="Bold"/>
        </w:rPr>
        <w:t>8</w:t>
      </w:r>
      <w:r w:rsidRPr="002A634B">
        <w:t>, 180-197.</w:t>
      </w:r>
    </w:p>
    <w:p w:rsidR="008237BB" w:rsidRDefault="008237BB" w:rsidP="004911EB">
      <w:pPr>
        <w:pStyle w:val="References"/>
      </w:pPr>
      <w:r w:rsidRPr="002A634B">
        <w:t xml:space="preserve">Masselink, G., Short, A.D., 1993. The effect of tide range on beach morphodynamics and morphology: a conceptual beach model. </w:t>
      </w:r>
      <w:r w:rsidRPr="004911EB">
        <w:rPr>
          <w:rStyle w:val="Italic"/>
        </w:rPr>
        <w:t>Journal of Coastal Research,</w:t>
      </w:r>
      <w:r w:rsidRPr="002A634B">
        <w:t xml:space="preserve"> </w:t>
      </w:r>
      <w:r w:rsidRPr="004911EB">
        <w:rPr>
          <w:rStyle w:val="Bold"/>
        </w:rPr>
        <w:t>9</w:t>
      </w:r>
      <w:r w:rsidRPr="002A634B">
        <w:t>, 785-800.</w:t>
      </w:r>
    </w:p>
    <w:p w:rsidR="008237BB" w:rsidRDefault="008237BB" w:rsidP="004911EB">
      <w:pPr>
        <w:pStyle w:val="References"/>
      </w:pPr>
      <w:r w:rsidRPr="002A634B">
        <w:t xml:space="preserve">Masselink, G., Hegge, B., 1995. Morphodynamics of meso and macrotidal beaches: examples from central Queensland, Australia. </w:t>
      </w:r>
      <w:r w:rsidRPr="004911EB">
        <w:rPr>
          <w:rStyle w:val="Italic"/>
        </w:rPr>
        <w:t>Marine Geology</w:t>
      </w:r>
      <w:r>
        <w:t>,</w:t>
      </w:r>
      <w:r w:rsidRPr="002A634B">
        <w:t xml:space="preserve"> </w:t>
      </w:r>
      <w:r w:rsidRPr="004911EB">
        <w:rPr>
          <w:rStyle w:val="Bold"/>
        </w:rPr>
        <w:t>129</w:t>
      </w:r>
      <w:r w:rsidRPr="002A634B">
        <w:t>, 1-23.</w:t>
      </w:r>
    </w:p>
    <w:p w:rsidR="002F691C" w:rsidRDefault="008237BB" w:rsidP="004911EB">
      <w:pPr>
        <w:pStyle w:val="References"/>
        <w:rPr>
          <w:lang w:val="en"/>
        </w:rPr>
      </w:pPr>
      <w:r w:rsidRPr="000E7D33">
        <w:t>Middelmann</w:t>
      </w:r>
      <w:r>
        <w:rPr>
          <w:lang w:val="en"/>
        </w:rPr>
        <w:t xml:space="preserve">-Fernandes, M. H., 2010. Flood damage estimation beyond stage–damage functions: an Australian example. </w:t>
      </w:r>
      <w:r w:rsidRPr="004911EB">
        <w:rPr>
          <w:rStyle w:val="Italic"/>
        </w:rPr>
        <w:t>Journal of Flood Risk Management</w:t>
      </w:r>
      <w:r>
        <w:rPr>
          <w:lang w:val="en"/>
        </w:rPr>
        <w:t xml:space="preserve">, </w:t>
      </w:r>
      <w:r w:rsidRPr="004911EB">
        <w:rPr>
          <w:rStyle w:val="Bold"/>
        </w:rPr>
        <w:t>3</w:t>
      </w:r>
      <w:r>
        <w:rPr>
          <w:lang w:val="en"/>
        </w:rPr>
        <w:t xml:space="preserve">: 88–96. doi: 10.1111/j.1753-318X.2009.01058.x. Available online: </w:t>
      </w:r>
      <w:hyperlink r:id="rId53" w:tooltip="Wiley website" w:history="1">
        <w:r w:rsidRPr="00255AB5">
          <w:rPr>
            <w:rStyle w:val="Hyperlink"/>
            <w:lang w:val="en"/>
          </w:rPr>
          <w:t>http://onlinelibrary.wiley.com/doi/10.1111/j.1753-318X.2009.01058.x/full</w:t>
        </w:r>
      </w:hyperlink>
    </w:p>
    <w:p w:rsidR="008237BB" w:rsidRPr="004911EB" w:rsidRDefault="008237BB" w:rsidP="004911EB">
      <w:pPr>
        <w:pStyle w:val="References"/>
      </w:pPr>
      <w:r w:rsidRPr="002A634B">
        <w:t>Murray, C.G.</w:t>
      </w:r>
      <w:r>
        <w:t>,</w:t>
      </w:r>
      <w:r w:rsidRPr="002A634B">
        <w:t xml:space="preserve"> 1980</w:t>
      </w:r>
      <w:r>
        <w:t>.</w:t>
      </w:r>
      <w:r w:rsidRPr="002A634B">
        <w:t xml:space="preserve"> </w:t>
      </w:r>
      <w:r w:rsidRPr="004911EB">
        <w:t xml:space="preserve">General geology of the Rockhampton area. </w:t>
      </w:r>
      <w:r w:rsidRPr="004911EB">
        <w:rPr>
          <w:rStyle w:val="Italic"/>
        </w:rPr>
        <w:t xml:space="preserve">In </w:t>
      </w:r>
      <w:r w:rsidRPr="004911EB">
        <w:t>Hofmann, G. W. (E</w:t>
      </w:r>
      <w:r w:rsidRPr="002A634B">
        <w:t>d) Mount</w:t>
      </w:r>
      <w:r w:rsidR="00C3610F">
        <w:t xml:space="preserve"> </w:t>
      </w:r>
      <w:r w:rsidRPr="002A634B">
        <w:t xml:space="preserve">Morgan Rundle Range Yeppoon Area, 1980 Field Conference. </w:t>
      </w:r>
      <w:r w:rsidRPr="003776CC">
        <w:rPr>
          <w:rStyle w:val="ReferencesItalic"/>
        </w:rPr>
        <w:t>Geological Society of Australia</w:t>
      </w:r>
      <w:r w:rsidRPr="004911EB">
        <w:t>, Inc., Queensland Division. pp. 4-24.</w:t>
      </w:r>
    </w:p>
    <w:p w:rsidR="008237BB" w:rsidRDefault="008237BB" w:rsidP="004911EB">
      <w:pPr>
        <w:pStyle w:val="References"/>
      </w:pPr>
      <w:r w:rsidRPr="002A634B">
        <w:t>Nakicenovic, N. and Swart,</w:t>
      </w:r>
      <w:r>
        <w:t xml:space="preserve"> </w:t>
      </w:r>
      <w:r w:rsidRPr="002A634B">
        <w:t>R.</w:t>
      </w:r>
      <w:r>
        <w:t>,</w:t>
      </w:r>
      <w:r w:rsidRPr="002A634B">
        <w:t xml:space="preserve"> Eds. 2000. Special Report on Emissions Scenarios. </w:t>
      </w:r>
      <w:r w:rsidRPr="004911EB">
        <w:rPr>
          <w:rStyle w:val="Italic"/>
        </w:rPr>
        <w:t>IPCC Special Reports</w:t>
      </w:r>
      <w:r w:rsidRPr="002A634B">
        <w:t>. Cambridge, England, Cambridge University Press, 608pp.</w:t>
      </w:r>
    </w:p>
    <w:p w:rsidR="008237BB" w:rsidRDefault="008237BB" w:rsidP="004911EB">
      <w:pPr>
        <w:pStyle w:val="References"/>
      </w:pPr>
      <w:r w:rsidRPr="002A634B">
        <w:t>National Research Council, 2005</w:t>
      </w:r>
      <w:r>
        <w:t>.</w:t>
      </w:r>
      <w:r w:rsidRPr="002A634B">
        <w:t xml:space="preserve"> Radiative Forcing of Climate Change: Expanding the Concept and Addressing Uncertainties. </w:t>
      </w:r>
      <w:r w:rsidRPr="004911EB">
        <w:rPr>
          <w:rStyle w:val="Italic"/>
        </w:rPr>
        <w:t>National Research Council</w:t>
      </w:r>
      <w:r w:rsidRPr="002A634B">
        <w:t>, 208 pp.</w:t>
      </w:r>
    </w:p>
    <w:p w:rsidR="008237BB" w:rsidRDefault="008237BB" w:rsidP="004911EB">
      <w:pPr>
        <w:pStyle w:val="References"/>
      </w:pPr>
      <w:r w:rsidRPr="002A634B">
        <w:t>Nuñez, M. N</w:t>
      </w:r>
      <w:r>
        <w:t>.</w:t>
      </w:r>
      <w:r w:rsidRPr="002A634B">
        <w:t>, Ciapessoni,</w:t>
      </w:r>
      <w:r>
        <w:t xml:space="preserve"> </w:t>
      </w:r>
      <w:r w:rsidRPr="002A634B">
        <w:t>H. H.</w:t>
      </w:r>
      <w:r>
        <w:t>,</w:t>
      </w:r>
      <w:r w:rsidRPr="002A634B">
        <w:t xml:space="preserve"> Rolla,</w:t>
      </w:r>
      <w:r>
        <w:t xml:space="preserve"> </w:t>
      </w:r>
      <w:r w:rsidRPr="002A634B">
        <w:t>A.</w:t>
      </w:r>
      <w:r>
        <w:t>,</w:t>
      </w:r>
      <w:r w:rsidRPr="002A634B">
        <w:t xml:space="preserve"> Kalnay,</w:t>
      </w:r>
      <w:r>
        <w:t xml:space="preserve"> </w:t>
      </w:r>
      <w:r w:rsidRPr="002A634B">
        <w:t>E.</w:t>
      </w:r>
      <w:r>
        <w:t>,</w:t>
      </w:r>
      <w:r w:rsidRPr="002A634B">
        <w:t xml:space="preserve"> and Cai,</w:t>
      </w:r>
      <w:r>
        <w:t xml:space="preserve"> </w:t>
      </w:r>
      <w:r w:rsidRPr="002A634B">
        <w:t>M.</w:t>
      </w:r>
      <w:r>
        <w:t>,</w:t>
      </w:r>
      <w:r w:rsidRPr="002A634B">
        <w:t xml:space="preserve"> 2008</w:t>
      </w:r>
      <w:r>
        <w:t>.</w:t>
      </w:r>
      <w:r w:rsidRPr="002A634B">
        <w:t xml:space="preserve"> Impact of land use and precipitation changes on surface temperature trends in Argentina. </w:t>
      </w:r>
      <w:r w:rsidRPr="004911EB">
        <w:rPr>
          <w:rStyle w:val="Italic"/>
        </w:rPr>
        <w:t>Journal of Geophysical Research</w:t>
      </w:r>
      <w:r w:rsidRPr="002A634B">
        <w:t xml:space="preserve">, </w:t>
      </w:r>
      <w:r w:rsidRPr="004911EB">
        <w:rPr>
          <w:rStyle w:val="Bold"/>
        </w:rPr>
        <w:t>113</w:t>
      </w:r>
      <w:r w:rsidRPr="002A634B">
        <w:t>, D06111, doi:10.1029/2007JD008638.</w:t>
      </w:r>
    </w:p>
    <w:p w:rsidR="002F691C" w:rsidRDefault="008237BB" w:rsidP="004911EB">
      <w:pPr>
        <w:pStyle w:val="References"/>
      </w:pPr>
      <w:r w:rsidRPr="002A634B">
        <w:t xml:space="preserve">Office of Economic and Statistical Research, Qld Department of Treasury and Trade. 2012. Population and Dwelling Profile Rockhampton Regional Council. Available Online: </w:t>
      </w:r>
      <w:hyperlink r:id="rId54" w:tooltip="QLD OESR website" w:history="1">
        <w:r w:rsidRPr="002A634B">
          <w:rPr>
            <w:rStyle w:val="Hyperlink"/>
          </w:rPr>
          <w:t>http://www.oesr.qld.gov.au/products/profiles/pop-housing-profiles-lga/pop-housing-profile-rockhampton.pdf</w:t>
        </w:r>
      </w:hyperlink>
    </w:p>
    <w:p w:rsidR="008237BB" w:rsidRDefault="008237BB" w:rsidP="004911EB">
      <w:pPr>
        <w:pStyle w:val="References"/>
      </w:pPr>
      <w:r w:rsidRPr="002A634B">
        <w:lastRenderedPageBreak/>
        <w:t>OzCoasts. 2012.</w:t>
      </w:r>
      <w:hyperlink r:id="rId55" w:tooltip="OzCoasts website" w:history="1">
        <w:r w:rsidRPr="002A634B">
          <w:rPr>
            <w:rStyle w:val="Hyperlink"/>
          </w:rPr>
          <w:t>http://www.ozcoasts.gov.au/climate/sd_visual.jsp</w:t>
        </w:r>
      </w:hyperlink>
    </w:p>
    <w:p w:rsidR="002F691C" w:rsidRDefault="008237BB" w:rsidP="004911EB">
      <w:pPr>
        <w:pStyle w:val="References"/>
      </w:pPr>
      <w:r w:rsidRPr="002A634B">
        <w:t>Peters, G. P., Andrew,</w:t>
      </w:r>
      <w:r>
        <w:t xml:space="preserve"> </w:t>
      </w:r>
      <w:r w:rsidRPr="002A634B">
        <w:t>R. M.</w:t>
      </w:r>
      <w:r>
        <w:t>,</w:t>
      </w:r>
      <w:r w:rsidRPr="002A634B">
        <w:t xml:space="preserve"> </w:t>
      </w:r>
      <w:r>
        <w:t>et al.,</w:t>
      </w:r>
      <w:r w:rsidRPr="002A634B">
        <w:t xml:space="preserve"> 2012. The challenge to keep </w:t>
      </w:r>
      <w:r>
        <w:t xml:space="preserve">global warming below 2 [deg]C. </w:t>
      </w:r>
      <w:r w:rsidRPr="004911EB">
        <w:rPr>
          <w:rStyle w:val="Italic"/>
        </w:rPr>
        <w:t>Nature Climate Change</w:t>
      </w:r>
      <w:r w:rsidRPr="004911EB">
        <w:t xml:space="preserve"> (</w:t>
      </w:r>
      <w:r w:rsidRPr="002A634B">
        <w:t xml:space="preserve">advance online publication). Available Online: </w:t>
      </w:r>
      <w:hyperlink r:id="rId56" w:tooltip="Nature Climate Change Journal website" w:history="1">
        <w:r w:rsidRPr="002A634B">
          <w:rPr>
            <w:rStyle w:val="Hyperlink"/>
          </w:rPr>
          <w:t>http://www.nature.com/nclimate/journal/v3/n1/full/nclimate1783.html</w:t>
        </w:r>
      </w:hyperlink>
      <w:r w:rsidRPr="004911EB">
        <w:t>.</w:t>
      </w:r>
    </w:p>
    <w:p w:rsidR="008237BB" w:rsidRDefault="008237BB" w:rsidP="004911EB">
      <w:pPr>
        <w:pStyle w:val="References"/>
      </w:pPr>
      <w:r w:rsidRPr="002A634B">
        <w:t>Pielke, R. A., Sr., Adegoke,</w:t>
      </w:r>
      <w:r>
        <w:t xml:space="preserve"> </w:t>
      </w:r>
      <w:r w:rsidRPr="002A634B">
        <w:t>J.</w:t>
      </w:r>
      <w:r>
        <w:t>,</w:t>
      </w:r>
      <w:r w:rsidRPr="002A634B">
        <w:t xml:space="preserve"> Beltra´n-Przekurat,</w:t>
      </w:r>
      <w:r>
        <w:t xml:space="preserve"> </w:t>
      </w:r>
      <w:r w:rsidRPr="002A634B">
        <w:t>A.</w:t>
      </w:r>
      <w:r>
        <w:t>,</w:t>
      </w:r>
      <w:r w:rsidRPr="002A634B">
        <w:t xml:space="preserve"> Hiemstra,</w:t>
      </w:r>
      <w:r>
        <w:t xml:space="preserve"> </w:t>
      </w:r>
      <w:r w:rsidRPr="002A634B">
        <w:t>C. A.</w:t>
      </w:r>
      <w:r>
        <w:t>,</w:t>
      </w:r>
      <w:r w:rsidRPr="002A634B">
        <w:t xml:space="preserve"> Lin,</w:t>
      </w:r>
      <w:r>
        <w:t xml:space="preserve"> </w:t>
      </w:r>
      <w:r w:rsidRPr="002A634B">
        <w:t>J.</w:t>
      </w:r>
      <w:r>
        <w:t>,</w:t>
      </w:r>
      <w:r w:rsidRPr="002A634B">
        <w:t xml:space="preserve"> Nair</w:t>
      </w:r>
      <w:r>
        <w:t>,</w:t>
      </w:r>
      <w:r w:rsidRPr="00DD425E">
        <w:t xml:space="preserve"> </w:t>
      </w:r>
      <w:r w:rsidRPr="002A634B">
        <w:t>U. S., Niyogi, D.</w:t>
      </w:r>
      <w:r>
        <w:t xml:space="preserve"> </w:t>
      </w:r>
      <w:r w:rsidRPr="002A634B">
        <w:t>and Nobis,</w:t>
      </w:r>
      <w:r>
        <w:t xml:space="preserve"> </w:t>
      </w:r>
      <w:r w:rsidRPr="002A634B">
        <w:t>T. E.</w:t>
      </w:r>
      <w:r>
        <w:t>,</w:t>
      </w:r>
      <w:r w:rsidRPr="002A634B">
        <w:t xml:space="preserve"> 2007</w:t>
      </w:r>
      <w:r>
        <w:t>.</w:t>
      </w:r>
      <w:r w:rsidRPr="002A634B">
        <w:t xml:space="preserve"> An overview of regional land-use and land-cover impacts on rainfall. </w:t>
      </w:r>
      <w:r w:rsidRPr="004911EB">
        <w:rPr>
          <w:rStyle w:val="Italic"/>
        </w:rPr>
        <w:t>Tellus</w:t>
      </w:r>
      <w:r w:rsidRPr="002A634B">
        <w:t xml:space="preserve">, </w:t>
      </w:r>
      <w:r w:rsidRPr="004911EB">
        <w:rPr>
          <w:rStyle w:val="Bold"/>
        </w:rPr>
        <w:t>59B</w:t>
      </w:r>
      <w:r w:rsidRPr="002A634B">
        <w:t>, 587–601.</w:t>
      </w:r>
    </w:p>
    <w:p w:rsidR="008237BB" w:rsidRDefault="008237BB" w:rsidP="004911EB">
      <w:pPr>
        <w:pStyle w:val="References"/>
      </w:pPr>
      <w:r w:rsidRPr="002A634B">
        <w:t>Pielke, R. A., Sr., Davey,</w:t>
      </w:r>
      <w:r>
        <w:t xml:space="preserve"> </w:t>
      </w:r>
      <w:r w:rsidRPr="002A634B">
        <w:t>C. and Coauthors, 2007a</w:t>
      </w:r>
      <w:r>
        <w:t>.</w:t>
      </w:r>
      <w:r w:rsidRPr="002A634B">
        <w:t xml:space="preserve"> Unresolved issues with the assessment of multi-decadal global land surface temperature trends. </w:t>
      </w:r>
      <w:r w:rsidRPr="004911EB">
        <w:rPr>
          <w:rStyle w:val="Italic"/>
        </w:rPr>
        <w:t>Journal of Geophysical. Research</w:t>
      </w:r>
      <w:r w:rsidRPr="002A634B">
        <w:t xml:space="preserve">., </w:t>
      </w:r>
      <w:r w:rsidRPr="004911EB">
        <w:rPr>
          <w:rStyle w:val="Bold"/>
        </w:rPr>
        <w:t>112</w:t>
      </w:r>
      <w:r w:rsidRPr="002A634B">
        <w:t>, D24S08, doi:10.1029/2006JD008229.</w:t>
      </w:r>
    </w:p>
    <w:p w:rsidR="008237BB" w:rsidRDefault="008237BB" w:rsidP="004911EB">
      <w:pPr>
        <w:pStyle w:val="References"/>
      </w:pPr>
      <w:r w:rsidRPr="002A634B">
        <w:t xml:space="preserve">Pielke, R. A., and Coauthors, 2007b: Documentation of uncertainties and biases associated with surface temperature measurement sites for climate change assessment. </w:t>
      </w:r>
      <w:r w:rsidRPr="004911EB">
        <w:rPr>
          <w:rStyle w:val="Italic"/>
        </w:rPr>
        <w:t>Bulletin of the American Meteorological Society</w:t>
      </w:r>
      <w:r w:rsidRPr="002A634B">
        <w:t xml:space="preserve">, </w:t>
      </w:r>
      <w:r w:rsidRPr="004911EB">
        <w:rPr>
          <w:rStyle w:val="Bold"/>
        </w:rPr>
        <w:t>88</w:t>
      </w:r>
      <w:r w:rsidRPr="002A634B">
        <w:t>, 913–928.</w:t>
      </w:r>
    </w:p>
    <w:p w:rsidR="008237BB" w:rsidRDefault="008237BB" w:rsidP="004911EB">
      <w:pPr>
        <w:pStyle w:val="References"/>
      </w:pPr>
      <w:r w:rsidRPr="002A634B">
        <w:t>Pitman, A. J., Narisma,</w:t>
      </w:r>
      <w:r>
        <w:t xml:space="preserve"> </w:t>
      </w:r>
      <w:r w:rsidRPr="002A634B">
        <w:t>G. T.</w:t>
      </w:r>
      <w:r>
        <w:t>,</w:t>
      </w:r>
      <w:r w:rsidRPr="002A634B">
        <w:t xml:space="preserve"> Pielke,</w:t>
      </w:r>
      <w:r>
        <w:t xml:space="preserve"> </w:t>
      </w:r>
      <w:r w:rsidRPr="002A634B">
        <w:t>R. and Holbrook,</w:t>
      </w:r>
      <w:r>
        <w:t xml:space="preserve"> </w:t>
      </w:r>
      <w:r w:rsidRPr="002A634B">
        <w:t>N. J.</w:t>
      </w:r>
      <w:r>
        <w:t>,</w:t>
      </w:r>
      <w:r w:rsidRPr="002A634B">
        <w:t xml:space="preserve"> 2004</w:t>
      </w:r>
      <w:r>
        <w:t>.</w:t>
      </w:r>
      <w:r w:rsidRPr="002A634B">
        <w:t xml:space="preserve"> The impact of land cover change on the climate of southwest Western Australia. </w:t>
      </w:r>
      <w:r w:rsidRPr="004911EB">
        <w:rPr>
          <w:rStyle w:val="Italic"/>
        </w:rPr>
        <w:t>Journal of Geophysical. Research</w:t>
      </w:r>
      <w:r w:rsidRPr="002A634B">
        <w:t xml:space="preserve">, </w:t>
      </w:r>
      <w:r w:rsidRPr="004911EB">
        <w:rPr>
          <w:rStyle w:val="Bold"/>
        </w:rPr>
        <w:t>109</w:t>
      </w:r>
      <w:r w:rsidRPr="002A634B">
        <w:t>, D18109, doi:10.1029/2003JD004347.</w:t>
      </w:r>
    </w:p>
    <w:p w:rsidR="008237BB" w:rsidRPr="004911EB" w:rsidRDefault="008237BB" w:rsidP="004911EB">
      <w:pPr>
        <w:pStyle w:val="References"/>
      </w:pPr>
      <w:r w:rsidRPr="002A634B">
        <w:t>Radke, L.C., Ford, P.W., Webster, I.T., Douglas, G., Oubelkheir, K., Atkinson, I., Robson, B.,</w:t>
      </w:r>
      <w:r w:rsidR="00C3610F">
        <w:t xml:space="preserve"> </w:t>
      </w:r>
      <w:r w:rsidRPr="002A634B">
        <w:t>Verway, P., MacKensie, K., and Clemonson, L.</w:t>
      </w:r>
      <w:r>
        <w:t>,</w:t>
      </w:r>
      <w:r w:rsidRPr="002A634B">
        <w:t xml:space="preserve"> 2005</w:t>
      </w:r>
      <w:r>
        <w:t>.</w:t>
      </w:r>
      <w:r w:rsidRPr="002A634B">
        <w:t xml:space="preserve"> </w:t>
      </w:r>
      <w:r w:rsidRPr="004911EB">
        <w:t>Results of two dry-season surveys of</w:t>
      </w:r>
      <w:r w:rsidR="00C3610F">
        <w:t xml:space="preserve"> </w:t>
      </w:r>
      <w:r w:rsidRPr="004911EB">
        <w:t xml:space="preserve">Keppel Bay and </w:t>
      </w:r>
      <w:r w:rsidRPr="002A634B">
        <w:t>Casuarina</w:t>
      </w:r>
      <w:r w:rsidRPr="004911EB">
        <w:t xml:space="preserve"> Creek: biogeochemical properties of the water column and underlying sediments. </w:t>
      </w:r>
      <w:r w:rsidRPr="003776CC">
        <w:rPr>
          <w:rStyle w:val="ReferencesItalic"/>
        </w:rPr>
        <w:t>Geoscience Australia Record.</w:t>
      </w:r>
      <w:r w:rsidRPr="004911EB">
        <w:t xml:space="preserve"> </w:t>
      </w:r>
      <w:r w:rsidRPr="003776CC">
        <w:rPr>
          <w:rStyle w:val="Bold"/>
        </w:rPr>
        <w:t>2005/18</w:t>
      </w:r>
      <w:r w:rsidRPr="004911EB">
        <w:t>, 121 pp.</w:t>
      </w:r>
    </w:p>
    <w:p w:rsidR="008237BB" w:rsidRDefault="008237BB" w:rsidP="004911EB">
      <w:pPr>
        <w:pStyle w:val="References"/>
      </w:pPr>
      <w:r w:rsidRPr="002A634B">
        <w:t>Ramanathan, V., Crutzen,</w:t>
      </w:r>
      <w:r>
        <w:t xml:space="preserve"> </w:t>
      </w:r>
      <w:r w:rsidRPr="002A634B">
        <w:t>P. J.</w:t>
      </w:r>
      <w:r>
        <w:t>,</w:t>
      </w:r>
      <w:r w:rsidRPr="002A634B">
        <w:t xml:space="preserve"> Kiehl,</w:t>
      </w:r>
      <w:r>
        <w:t xml:space="preserve"> </w:t>
      </w:r>
      <w:r w:rsidRPr="002A634B">
        <w:t>J. T. and Rosenfeld,</w:t>
      </w:r>
      <w:r>
        <w:t xml:space="preserve"> </w:t>
      </w:r>
      <w:r w:rsidRPr="002A634B">
        <w:t>D.</w:t>
      </w:r>
      <w:r>
        <w:t>,</w:t>
      </w:r>
      <w:r w:rsidRPr="002A634B">
        <w:t xml:space="preserve"> 2001</w:t>
      </w:r>
      <w:r>
        <w:t>.</w:t>
      </w:r>
      <w:r w:rsidRPr="002A634B">
        <w:t xml:space="preserve"> Aerosols, climate, and the hydrological cycle. </w:t>
      </w:r>
      <w:r w:rsidRPr="004911EB">
        <w:rPr>
          <w:rStyle w:val="Italic"/>
        </w:rPr>
        <w:t>Science</w:t>
      </w:r>
      <w:r w:rsidRPr="002A634B">
        <w:t xml:space="preserve">, </w:t>
      </w:r>
      <w:r w:rsidRPr="004911EB">
        <w:rPr>
          <w:rStyle w:val="Bold"/>
        </w:rPr>
        <w:t>294</w:t>
      </w:r>
      <w:r w:rsidRPr="002A634B">
        <w:t>, 2119–2124.</w:t>
      </w:r>
    </w:p>
    <w:p w:rsidR="002F691C" w:rsidRDefault="008237BB" w:rsidP="004911EB">
      <w:pPr>
        <w:pStyle w:val="References"/>
      </w:pPr>
      <w:r w:rsidRPr="002A634B">
        <w:t>Running, S. W., 2008</w:t>
      </w:r>
      <w:r>
        <w:t>.</w:t>
      </w:r>
      <w:r w:rsidRPr="002A634B">
        <w:t xml:space="preserve"> Ecosystem disturbance, carbon, and climate. </w:t>
      </w:r>
      <w:r w:rsidRPr="004911EB">
        <w:rPr>
          <w:rStyle w:val="Italic"/>
        </w:rPr>
        <w:t>Science,</w:t>
      </w:r>
      <w:r w:rsidRPr="002A634B">
        <w:t xml:space="preserve"> </w:t>
      </w:r>
      <w:r w:rsidRPr="004911EB">
        <w:rPr>
          <w:rStyle w:val="Bold"/>
        </w:rPr>
        <w:t>321</w:t>
      </w:r>
      <w:r w:rsidRPr="002A634B">
        <w:t>, 652–653.</w:t>
      </w:r>
    </w:p>
    <w:p w:rsidR="008237BB" w:rsidRPr="004911EB" w:rsidRDefault="008237BB" w:rsidP="004911EB">
      <w:pPr>
        <w:pStyle w:val="References"/>
      </w:pPr>
      <w:r w:rsidRPr="002A634B">
        <w:t>Ryan, D.</w:t>
      </w:r>
      <w:r>
        <w:t xml:space="preserve"> </w:t>
      </w:r>
      <w:r w:rsidRPr="002A634B">
        <w:t>A., Bostock, H.</w:t>
      </w:r>
      <w:r>
        <w:t xml:space="preserve"> </w:t>
      </w:r>
      <w:r w:rsidRPr="002A634B">
        <w:t>C., Brooke, B.</w:t>
      </w:r>
      <w:r>
        <w:t xml:space="preserve"> </w:t>
      </w:r>
      <w:r w:rsidRPr="002A634B">
        <w:t>P., Skene, D., 2009.</w:t>
      </w:r>
      <w:r w:rsidRPr="004911EB">
        <w:t xml:space="preserve"> Sedimentology and acoustic stratigraphy of Keppel Bay, south-east Queensland, Australia. </w:t>
      </w:r>
      <w:r w:rsidRPr="003776CC">
        <w:rPr>
          <w:rStyle w:val="ReferencesItalic"/>
        </w:rPr>
        <w:t>Geoscience Australia, Record</w:t>
      </w:r>
      <w:r w:rsidRPr="004911EB">
        <w:t xml:space="preserve">, </w:t>
      </w:r>
      <w:r w:rsidRPr="003776CC">
        <w:rPr>
          <w:rStyle w:val="Bold"/>
        </w:rPr>
        <w:t>2009/14</w:t>
      </w:r>
      <w:r w:rsidRPr="004911EB">
        <w:t>, 107 pp.</w:t>
      </w:r>
    </w:p>
    <w:p w:rsidR="008237BB" w:rsidRPr="004911EB" w:rsidRDefault="008237BB" w:rsidP="004911EB">
      <w:pPr>
        <w:pStyle w:val="References"/>
      </w:pPr>
      <w:r w:rsidRPr="002A634B">
        <w:t>Rümpf, J., Weindl,</w:t>
      </w:r>
      <w:r>
        <w:t xml:space="preserve"> </w:t>
      </w:r>
      <w:r w:rsidRPr="002A634B">
        <w:t>H.</w:t>
      </w:r>
      <w:r>
        <w:t>,</w:t>
      </w:r>
      <w:r w:rsidRPr="002A634B">
        <w:t xml:space="preserve"> Höppe,</w:t>
      </w:r>
      <w:r>
        <w:t xml:space="preserve"> </w:t>
      </w:r>
      <w:r w:rsidRPr="002A634B">
        <w:t>P.</w:t>
      </w:r>
      <w:r>
        <w:t>,</w:t>
      </w:r>
      <w:r w:rsidRPr="002A634B">
        <w:t xml:space="preserve"> Rauch,</w:t>
      </w:r>
      <w:r>
        <w:t xml:space="preserve"> </w:t>
      </w:r>
      <w:r w:rsidRPr="002A634B">
        <w:t>E. and Schmidt,</w:t>
      </w:r>
      <w:r>
        <w:t xml:space="preserve"> </w:t>
      </w:r>
      <w:r w:rsidRPr="002A634B">
        <w:t>V.</w:t>
      </w:r>
      <w:r>
        <w:t>,</w:t>
      </w:r>
      <w:r w:rsidRPr="002A634B">
        <w:t xml:space="preserve"> 2009</w:t>
      </w:r>
      <w:r>
        <w:t>.</w:t>
      </w:r>
      <w:r w:rsidRPr="004911EB">
        <w:t xml:space="preserve"> Tropical cyclone hazard assessment using model-based track simulation. </w:t>
      </w:r>
      <w:r w:rsidRPr="003776CC">
        <w:rPr>
          <w:rStyle w:val="ReferencesItalic"/>
        </w:rPr>
        <w:t>Natural Hazards</w:t>
      </w:r>
      <w:r w:rsidRPr="004911EB">
        <w:t xml:space="preserve">, </w:t>
      </w:r>
      <w:r w:rsidRPr="003776CC">
        <w:rPr>
          <w:rStyle w:val="Bold"/>
        </w:rPr>
        <w:t>48</w:t>
      </w:r>
      <w:r w:rsidRPr="004911EB">
        <w:t>, 383-398.</w:t>
      </w:r>
    </w:p>
    <w:p w:rsidR="008237BB" w:rsidRPr="004911EB" w:rsidRDefault="008237BB" w:rsidP="004911EB">
      <w:pPr>
        <w:pStyle w:val="References"/>
      </w:pPr>
      <w:r w:rsidRPr="002A634B">
        <w:t>Searle, D.</w:t>
      </w:r>
      <w:r>
        <w:t xml:space="preserve"> </w:t>
      </w:r>
      <w:r w:rsidRPr="002A634B">
        <w:t>E.</w:t>
      </w:r>
      <w:r>
        <w:t>,</w:t>
      </w:r>
      <w:r w:rsidRPr="002A634B">
        <w:t xml:space="preserve"> 1978</w:t>
      </w:r>
      <w:r>
        <w:t>.</w:t>
      </w:r>
      <w:r w:rsidRPr="004911EB">
        <w:t xml:space="preserve"> Continuous seismic profiling survey in Keppel Bay. Department of Mines,</w:t>
      </w:r>
      <w:r w:rsidR="00C3610F">
        <w:t xml:space="preserve"> </w:t>
      </w:r>
      <w:r w:rsidRPr="003776CC">
        <w:rPr>
          <w:rStyle w:val="ReferencesItalic"/>
        </w:rPr>
        <w:t>Geological Survey of Queensland Record</w:t>
      </w:r>
      <w:r w:rsidRPr="004911EB">
        <w:t xml:space="preserve"> </w:t>
      </w:r>
      <w:r w:rsidRPr="003776CC">
        <w:rPr>
          <w:rStyle w:val="Bold"/>
        </w:rPr>
        <w:t>1978/20</w:t>
      </w:r>
      <w:r w:rsidRPr="004911EB">
        <w:t>, 21 pp.</w:t>
      </w:r>
    </w:p>
    <w:p w:rsidR="008237BB" w:rsidRPr="004911EB" w:rsidRDefault="008237BB" w:rsidP="004911EB">
      <w:pPr>
        <w:pStyle w:val="References"/>
      </w:pPr>
      <w:r w:rsidRPr="002A634B">
        <w:t>Silverman, B. W., 1986</w:t>
      </w:r>
      <w:r>
        <w:t>.</w:t>
      </w:r>
      <w:r w:rsidRPr="004911EB">
        <w:t xml:space="preserve"> Density Estimation for Statistics and Data Analysis. Monographs on Statistics and Applied Probability, Chapman and Hall, 175.</w:t>
      </w:r>
    </w:p>
    <w:p w:rsidR="002F691C" w:rsidRDefault="008237BB" w:rsidP="004911EB">
      <w:pPr>
        <w:pStyle w:val="References"/>
      </w:pPr>
      <w:r w:rsidRPr="00E27AA2">
        <w:t>Simpson</w:t>
      </w:r>
      <w:r w:rsidRPr="004911EB">
        <w:t xml:space="preserve">, A., Cummins, P., Dhu, T., Griffin, G. and Schneider, J., 2008. Assessing natural disaster risk in the Asia-Pacific region. </w:t>
      </w:r>
      <w:r w:rsidRPr="003776CC">
        <w:rPr>
          <w:rStyle w:val="ReferencesItalic"/>
        </w:rPr>
        <w:t>AusGeo News</w:t>
      </w:r>
      <w:r w:rsidRPr="004911EB">
        <w:t xml:space="preserve">: </w:t>
      </w:r>
      <w:r w:rsidRPr="003776CC">
        <w:rPr>
          <w:rStyle w:val="Bold"/>
        </w:rPr>
        <w:t>Issue No.90</w:t>
      </w:r>
      <w:r w:rsidRPr="004911EB">
        <w:t xml:space="preserve">. Available online: </w:t>
      </w:r>
      <w:hyperlink r:id="rId57" w:tooltip="GA website" w:history="1">
        <w:r w:rsidRPr="005E2EE3">
          <w:rPr>
            <w:rStyle w:val="Hyperlink"/>
          </w:rPr>
          <w:t>http://www.ga.gov.au/ausgeonews/ausgeonews200806/disaster.jsp</w:t>
        </w:r>
      </w:hyperlink>
    </w:p>
    <w:p w:rsidR="008237BB" w:rsidRDefault="008237BB" w:rsidP="004911EB">
      <w:pPr>
        <w:pStyle w:val="References"/>
      </w:pPr>
      <w:r w:rsidRPr="002A634B">
        <w:t>Smith, I. and Chandler</w:t>
      </w:r>
      <w:r>
        <w:t xml:space="preserve">, </w:t>
      </w:r>
      <w:r w:rsidRPr="002A634B">
        <w:t>E.</w:t>
      </w:r>
      <w:r>
        <w:t>,</w:t>
      </w:r>
      <w:r w:rsidRPr="002A634B">
        <w:t xml:space="preserve"> 2009</w:t>
      </w:r>
      <w:r>
        <w:t>.</w:t>
      </w:r>
      <w:r w:rsidRPr="002A634B">
        <w:t xml:space="preserve"> Refining rainfall projections for the Murray Darling Basin of south-east Australia - the effect of sampling model results based on performance</w:t>
      </w:r>
      <w:r>
        <w:t>.</w:t>
      </w:r>
      <w:r w:rsidRPr="002A634B">
        <w:t xml:space="preserve"> </w:t>
      </w:r>
      <w:r w:rsidRPr="004911EB">
        <w:rPr>
          <w:rStyle w:val="Italic"/>
        </w:rPr>
        <w:t>Climatic Change</w:t>
      </w:r>
      <w:r w:rsidRPr="002A634B">
        <w:t>, DOI 10.1007/s10584-009-9757-1</w:t>
      </w:r>
    </w:p>
    <w:p w:rsidR="008237BB" w:rsidRDefault="008237BB" w:rsidP="004911EB">
      <w:pPr>
        <w:pStyle w:val="References"/>
      </w:pPr>
      <w:r w:rsidRPr="002A634B">
        <w:t>Solomon, S., Qin,</w:t>
      </w:r>
      <w:r>
        <w:t xml:space="preserve"> </w:t>
      </w:r>
      <w:r w:rsidRPr="002A634B">
        <w:t>D.</w:t>
      </w:r>
      <w:r>
        <w:t>,</w:t>
      </w:r>
      <w:r w:rsidRPr="002A634B">
        <w:t xml:space="preserve"> Manning,</w:t>
      </w:r>
      <w:r>
        <w:t xml:space="preserve"> </w:t>
      </w:r>
      <w:r w:rsidRPr="002A634B">
        <w:t>M.</w:t>
      </w:r>
      <w:r>
        <w:t>,</w:t>
      </w:r>
      <w:r w:rsidRPr="002A634B">
        <w:t xml:space="preserve"> Marquis,</w:t>
      </w:r>
      <w:r>
        <w:t xml:space="preserve"> </w:t>
      </w:r>
      <w:r w:rsidRPr="002A634B">
        <w:t>M.</w:t>
      </w:r>
      <w:r>
        <w:t>,</w:t>
      </w:r>
      <w:r w:rsidRPr="002A634B">
        <w:t xml:space="preserve"> Averyt,</w:t>
      </w:r>
      <w:r>
        <w:t xml:space="preserve"> </w:t>
      </w:r>
      <w:r w:rsidRPr="002A634B">
        <w:t>K.</w:t>
      </w:r>
      <w:r>
        <w:t xml:space="preserve">, </w:t>
      </w:r>
      <w:r w:rsidRPr="002A634B">
        <w:t>Tignor,</w:t>
      </w:r>
      <w:r>
        <w:t xml:space="preserve"> </w:t>
      </w:r>
      <w:r w:rsidRPr="002A634B">
        <w:t>M.</w:t>
      </w:r>
      <w:r>
        <w:t xml:space="preserve"> </w:t>
      </w:r>
      <w:r w:rsidRPr="002A634B">
        <w:t>M. B.</w:t>
      </w:r>
      <w:r>
        <w:t>,</w:t>
      </w:r>
      <w:r w:rsidRPr="002A634B">
        <w:t xml:space="preserve"> Miller</w:t>
      </w:r>
      <w:r>
        <w:t xml:space="preserve">, </w:t>
      </w:r>
      <w:r w:rsidRPr="002A634B">
        <w:t>H. L. Jr., and Chen,</w:t>
      </w:r>
      <w:r>
        <w:t xml:space="preserve"> </w:t>
      </w:r>
      <w:r w:rsidRPr="002A634B">
        <w:t>Z.</w:t>
      </w:r>
      <w:r>
        <w:t>,</w:t>
      </w:r>
      <w:r w:rsidRPr="002A634B">
        <w:t xml:space="preserve"> Eds., 2007</w:t>
      </w:r>
      <w:r>
        <w:t>.</w:t>
      </w:r>
      <w:r w:rsidRPr="002A634B">
        <w:t xml:space="preserve"> Climate Change 2007: The Physical Science Basis. </w:t>
      </w:r>
      <w:r w:rsidRPr="004911EB">
        <w:rPr>
          <w:rStyle w:val="Italic"/>
        </w:rPr>
        <w:t>Cambridge University Press</w:t>
      </w:r>
      <w:r w:rsidRPr="002A634B">
        <w:t>, 996 pp.</w:t>
      </w:r>
    </w:p>
    <w:p w:rsidR="008237BB" w:rsidRDefault="008237BB" w:rsidP="004911EB">
      <w:pPr>
        <w:pStyle w:val="References"/>
      </w:pPr>
      <w:r w:rsidRPr="002A634B">
        <w:t>Steyaert, L. T., and Knox,</w:t>
      </w:r>
      <w:r>
        <w:t xml:space="preserve"> </w:t>
      </w:r>
      <w:r w:rsidRPr="002A634B">
        <w:t>R. G.</w:t>
      </w:r>
      <w:r>
        <w:t>,</w:t>
      </w:r>
      <w:r w:rsidRPr="002A634B">
        <w:t xml:space="preserve"> 2008</w:t>
      </w:r>
      <w:r>
        <w:t>.</w:t>
      </w:r>
      <w:r w:rsidRPr="002A634B">
        <w:t xml:space="preserve"> Reconstructed historical land cover and biophysical parameters for studies of land–atmosphere interactions within the eastern United States. </w:t>
      </w:r>
      <w:r w:rsidRPr="004911EB">
        <w:rPr>
          <w:rStyle w:val="Italic"/>
        </w:rPr>
        <w:t>Journal of Geophysical Research</w:t>
      </w:r>
      <w:r w:rsidRPr="002A634B">
        <w:t xml:space="preserve">, </w:t>
      </w:r>
      <w:r w:rsidRPr="004911EB">
        <w:rPr>
          <w:rStyle w:val="Bold"/>
        </w:rPr>
        <w:t>113</w:t>
      </w:r>
      <w:r w:rsidRPr="002A634B">
        <w:t>, D02101,doi:10.1029/2006JD008277.</w:t>
      </w:r>
    </w:p>
    <w:p w:rsidR="008237BB" w:rsidRDefault="008237BB" w:rsidP="004911EB">
      <w:pPr>
        <w:pStyle w:val="References"/>
      </w:pPr>
      <w:r w:rsidRPr="002A634B">
        <w:t>Strack, J. E., Pielke</w:t>
      </w:r>
      <w:r>
        <w:t xml:space="preserve">, </w:t>
      </w:r>
      <w:r w:rsidRPr="002A634B">
        <w:t>R. A. Sr., Steyaert,</w:t>
      </w:r>
      <w:r>
        <w:t xml:space="preserve"> </w:t>
      </w:r>
      <w:r w:rsidRPr="002A634B">
        <w:t>L. T.</w:t>
      </w:r>
      <w:r>
        <w:t>,</w:t>
      </w:r>
      <w:r w:rsidRPr="002A634B">
        <w:t xml:space="preserve"> and Knox,</w:t>
      </w:r>
      <w:r>
        <w:t xml:space="preserve"> </w:t>
      </w:r>
      <w:r w:rsidRPr="002A634B">
        <w:t>R. G.</w:t>
      </w:r>
      <w:r>
        <w:t>,</w:t>
      </w:r>
      <w:r w:rsidRPr="002A634B">
        <w:t xml:space="preserve"> 2008</w:t>
      </w:r>
      <w:r>
        <w:t>.</w:t>
      </w:r>
      <w:r w:rsidRPr="002A634B">
        <w:t xml:space="preserve"> Sensitivity of summer near-surface temperatures and precipitation in the eastern United States to historical land cover changes since European settlement. </w:t>
      </w:r>
      <w:r w:rsidRPr="004911EB">
        <w:rPr>
          <w:rStyle w:val="Italic"/>
        </w:rPr>
        <w:t>Water Resources Research</w:t>
      </w:r>
      <w:r w:rsidRPr="002A634B">
        <w:t xml:space="preserve">. </w:t>
      </w:r>
      <w:r w:rsidRPr="004911EB">
        <w:rPr>
          <w:rStyle w:val="Bold"/>
        </w:rPr>
        <w:t>44</w:t>
      </w:r>
      <w:r w:rsidRPr="002A634B">
        <w:t>, W11401, doi:10.1029/2007WR00654.</w:t>
      </w:r>
    </w:p>
    <w:p w:rsidR="002F691C" w:rsidRDefault="008237BB" w:rsidP="004911EB">
      <w:pPr>
        <w:pStyle w:val="References"/>
      </w:pPr>
      <w:r>
        <w:t xml:space="preserve">Thomas, C. and Burbidge, D., 2008. A Probabilistic Tsunami Hazard Assessment of the Southwest Pacific Nations. </w:t>
      </w:r>
      <w:r w:rsidRPr="004911EB">
        <w:rPr>
          <w:rStyle w:val="Italic"/>
        </w:rPr>
        <w:t>Geoscience Australia Record</w:t>
      </w:r>
      <w:r>
        <w:t xml:space="preserve">. </w:t>
      </w:r>
      <w:r w:rsidRPr="004911EB">
        <w:rPr>
          <w:rStyle w:val="Bold"/>
        </w:rPr>
        <w:t>2009/002</w:t>
      </w:r>
      <w:r>
        <w:t>.</w:t>
      </w:r>
    </w:p>
    <w:p w:rsidR="008237BB" w:rsidRDefault="008237BB" w:rsidP="004911EB">
      <w:pPr>
        <w:pStyle w:val="References"/>
      </w:pPr>
      <w:r w:rsidRPr="002A634B">
        <w:t>Trenberth, K. E., 2004</w:t>
      </w:r>
      <w:r>
        <w:t>.</w:t>
      </w:r>
      <w:r w:rsidRPr="002A634B">
        <w:t xml:space="preserve"> Rural land-use change and climate. </w:t>
      </w:r>
      <w:r w:rsidRPr="004911EB">
        <w:rPr>
          <w:rStyle w:val="Italic"/>
        </w:rPr>
        <w:t>Nature,</w:t>
      </w:r>
      <w:r w:rsidRPr="002A634B">
        <w:t xml:space="preserve"> </w:t>
      </w:r>
      <w:r w:rsidRPr="004911EB">
        <w:rPr>
          <w:rStyle w:val="Bold"/>
        </w:rPr>
        <w:t>427</w:t>
      </w:r>
      <w:r w:rsidRPr="002A634B">
        <w:t>, 213.</w:t>
      </w:r>
    </w:p>
    <w:p w:rsidR="008237BB" w:rsidRDefault="008237BB" w:rsidP="004911EB">
      <w:pPr>
        <w:pStyle w:val="References"/>
      </w:pPr>
      <w:r w:rsidRPr="002A634B">
        <w:t>Trenberth</w:t>
      </w:r>
      <w:r>
        <w:t>,</w:t>
      </w:r>
      <w:r w:rsidRPr="002A634B">
        <w:t xml:space="preserve"> K. E., Jones</w:t>
      </w:r>
      <w:r>
        <w:t>,</w:t>
      </w:r>
      <w:r w:rsidRPr="002A634B">
        <w:t xml:space="preserve"> P. D., Ambenje</w:t>
      </w:r>
      <w:r>
        <w:t>,</w:t>
      </w:r>
      <w:r w:rsidRPr="002A634B">
        <w:t xml:space="preserve"> P., Bojariu</w:t>
      </w:r>
      <w:r>
        <w:t>,</w:t>
      </w:r>
      <w:r w:rsidRPr="002A634B">
        <w:t xml:space="preserve"> R., Easterling</w:t>
      </w:r>
      <w:r>
        <w:t>,</w:t>
      </w:r>
      <w:r w:rsidRPr="002A634B">
        <w:t xml:space="preserve"> D., Klein Tank</w:t>
      </w:r>
      <w:r>
        <w:t>,</w:t>
      </w:r>
      <w:r w:rsidRPr="002A634B">
        <w:t xml:space="preserve"> A., Parker</w:t>
      </w:r>
      <w:r>
        <w:t>,</w:t>
      </w:r>
      <w:r w:rsidRPr="002A634B">
        <w:t xml:space="preserve"> D., Rahimzadeh</w:t>
      </w:r>
      <w:r>
        <w:t>,</w:t>
      </w:r>
      <w:r w:rsidRPr="002A634B">
        <w:t xml:space="preserve"> R., Renwick</w:t>
      </w:r>
      <w:r>
        <w:t>,</w:t>
      </w:r>
      <w:r w:rsidRPr="002A634B">
        <w:t xml:space="preserve"> J. A., Rusticucci</w:t>
      </w:r>
      <w:r>
        <w:t>,</w:t>
      </w:r>
      <w:r w:rsidRPr="002A634B">
        <w:t xml:space="preserve"> M., Soden</w:t>
      </w:r>
      <w:r>
        <w:t>,</w:t>
      </w:r>
      <w:r w:rsidRPr="002A634B">
        <w:t xml:space="preserve"> B. &amp; Zhai</w:t>
      </w:r>
      <w:r>
        <w:t>,</w:t>
      </w:r>
      <w:r w:rsidRPr="002A634B">
        <w:t xml:space="preserve"> P., 2007</w:t>
      </w:r>
      <w:r>
        <w:t>.</w:t>
      </w:r>
      <w:r w:rsidRPr="002A634B">
        <w:t xml:space="preserve"> Observations: Surface </w:t>
      </w:r>
      <w:r w:rsidRPr="002A634B">
        <w:lastRenderedPageBreak/>
        <w:t xml:space="preserve">and Atmospheric Climate Change. In: Climate Change 2007: The Physical Science Basis. Contribution of Working Group I to the Fourth Assessment Report of the Intergovernmental Panel on Climate Change (eds. Solomon, S., D. Qin, M. Manning, Z. Chen, M. Marquis, K.B. Averyt, M. Tignor and H.L. Miller). </w:t>
      </w:r>
      <w:r w:rsidRPr="004911EB">
        <w:rPr>
          <w:rStyle w:val="Italic"/>
        </w:rPr>
        <w:t>Cambridge University Press</w:t>
      </w:r>
      <w:r w:rsidRPr="002A634B">
        <w:t>, Cambridge.</w:t>
      </w:r>
    </w:p>
    <w:p w:rsidR="008237BB" w:rsidRPr="004911EB" w:rsidRDefault="008237BB" w:rsidP="004911EB">
      <w:pPr>
        <w:pStyle w:val="References"/>
      </w:pPr>
      <w:r w:rsidRPr="002A634B">
        <w:t>Vickery, P. J., 2005</w:t>
      </w:r>
      <w:r>
        <w:t>.</w:t>
      </w:r>
      <w:r w:rsidRPr="004911EB">
        <w:t xml:space="preserve"> Simple Empirical Models for Estimating the Increase in the Central Pressure </w:t>
      </w:r>
      <w:r w:rsidRPr="002A634B">
        <w:t>of</w:t>
      </w:r>
      <w:r w:rsidRPr="004911EB">
        <w:t xml:space="preserve"> Tropical Cyclones after Landfall along the Coastline of the United States. </w:t>
      </w:r>
      <w:r w:rsidRPr="003776CC">
        <w:rPr>
          <w:rStyle w:val="ReferencesItalic"/>
        </w:rPr>
        <w:t>Journal of Applied Meteorology</w:t>
      </w:r>
      <w:r w:rsidRPr="004911EB">
        <w:t>,</w:t>
      </w:r>
      <w:r w:rsidRPr="003776CC">
        <w:rPr>
          <w:rStyle w:val="Bold"/>
        </w:rPr>
        <w:t xml:space="preserve"> 44</w:t>
      </w:r>
      <w:r w:rsidRPr="004911EB">
        <w:t>, 1807-1826.</w:t>
      </w:r>
    </w:p>
    <w:p w:rsidR="008237BB" w:rsidRDefault="008237BB" w:rsidP="004911EB">
      <w:pPr>
        <w:pStyle w:val="References"/>
      </w:pPr>
      <w:r w:rsidRPr="002A634B">
        <w:t>Vose, R. S., Karl,</w:t>
      </w:r>
      <w:r>
        <w:t xml:space="preserve"> </w:t>
      </w:r>
      <w:r w:rsidRPr="002A634B">
        <w:t>T. R.</w:t>
      </w:r>
      <w:r>
        <w:t>,</w:t>
      </w:r>
      <w:r w:rsidRPr="002A634B">
        <w:t xml:space="preserve"> Easterling,</w:t>
      </w:r>
      <w:r>
        <w:t xml:space="preserve"> </w:t>
      </w:r>
      <w:r w:rsidRPr="002A634B">
        <w:t>D. R.</w:t>
      </w:r>
      <w:r>
        <w:t>,</w:t>
      </w:r>
      <w:r w:rsidRPr="002A634B">
        <w:t xml:space="preserve"> Williams,</w:t>
      </w:r>
      <w:r>
        <w:t xml:space="preserve"> </w:t>
      </w:r>
      <w:r w:rsidRPr="002A634B">
        <w:t>C. N.</w:t>
      </w:r>
      <w:r>
        <w:t>,</w:t>
      </w:r>
      <w:r w:rsidRPr="002A634B">
        <w:t xml:space="preserve"> and Menne,</w:t>
      </w:r>
      <w:r>
        <w:t xml:space="preserve"> </w:t>
      </w:r>
      <w:r w:rsidRPr="002A634B">
        <w:t>M. J.</w:t>
      </w:r>
      <w:r>
        <w:t>,</w:t>
      </w:r>
      <w:r w:rsidRPr="002A634B">
        <w:t xml:space="preserve"> 2004</w:t>
      </w:r>
      <w:r>
        <w:t>.</w:t>
      </w:r>
      <w:r w:rsidRPr="002A634B">
        <w:t xml:space="preserve"> Impact of land-use change on climate. </w:t>
      </w:r>
      <w:r w:rsidRPr="004911EB">
        <w:rPr>
          <w:rStyle w:val="Italic"/>
        </w:rPr>
        <w:t>Nature</w:t>
      </w:r>
      <w:r w:rsidRPr="002A634B">
        <w:t xml:space="preserve">, </w:t>
      </w:r>
      <w:r w:rsidRPr="004911EB">
        <w:rPr>
          <w:rStyle w:val="Bold"/>
        </w:rPr>
        <w:t>427</w:t>
      </w:r>
      <w:r w:rsidRPr="002A634B">
        <w:t>, 213–214.</w:t>
      </w:r>
    </w:p>
    <w:p w:rsidR="002F691C" w:rsidRDefault="008237BB" w:rsidP="004911EB">
      <w:pPr>
        <w:pStyle w:val="References"/>
      </w:pPr>
      <w:r w:rsidRPr="002A634B">
        <w:t>Walsh</w:t>
      </w:r>
      <w:r>
        <w:t>,</w:t>
      </w:r>
      <w:r w:rsidRPr="002A634B">
        <w:t xml:space="preserve"> K</w:t>
      </w:r>
      <w:r>
        <w:t xml:space="preserve">. </w:t>
      </w:r>
      <w:r w:rsidRPr="002A634B">
        <w:t>J</w:t>
      </w:r>
      <w:r>
        <w:t xml:space="preserve">. </w:t>
      </w:r>
      <w:r w:rsidRPr="002A634B">
        <w:t>E</w:t>
      </w:r>
      <w:r>
        <w:t>.</w:t>
      </w:r>
      <w:r w:rsidRPr="002A634B">
        <w:t>, Nguyen</w:t>
      </w:r>
      <w:r>
        <w:t>,</w:t>
      </w:r>
      <w:r w:rsidRPr="002A634B">
        <w:t xml:space="preserve"> K</w:t>
      </w:r>
      <w:r>
        <w:t xml:space="preserve">. </w:t>
      </w:r>
      <w:r w:rsidRPr="002A634B">
        <w:t>C</w:t>
      </w:r>
      <w:r>
        <w:t xml:space="preserve">. </w:t>
      </w:r>
      <w:r w:rsidRPr="002A634B">
        <w:t>and McGregor</w:t>
      </w:r>
      <w:r>
        <w:t>,</w:t>
      </w:r>
      <w:r w:rsidRPr="002A634B">
        <w:t xml:space="preserve"> J</w:t>
      </w:r>
      <w:r>
        <w:t xml:space="preserve">. </w:t>
      </w:r>
      <w:r w:rsidRPr="002A634B">
        <w:t>L</w:t>
      </w:r>
      <w:r>
        <w:t>.,</w:t>
      </w:r>
      <w:r w:rsidRPr="002A634B">
        <w:t xml:space="preserve"> 2004</w:t>
      </w:r>
      <w:r>
        <w:t>.</w:t>
      </w:r>
      <w:r w:rsidRPr="002A634B">
        <w:t xml:space="preserve"> Finer resolution regional climate change on tropical cyclones near Australia</w:t>
      </w:r>
      <w:r>
        <w:t>.</w:t>
      </w:r>
      <w:r w:rsidRPr="002A634B">
        <w:t xml:space="preserve"> </w:t>
      </w:r>
      <w:r w:rsidRPr="004911EB">
        <w:rPr>
          <w:rStyle w:val="Italic"/>
        </w:rPr>
        <w:t>Climate Dynamics</w:t>
      </w:r>
      <w:r w:rsidRPr="002A634B">
        <w:t xml:space="preserve">, </w:t>
      </w:r>
      <w:r w:rsidRPr="004911EB">
        <w:rPr>
          <w:rStyle w:val="Bold"/>
        </w:rPr>
        <w:t>22:1</w:t>
      </w:r>
      <w:r w:rsidRPr="002A634B">
        <w:t xml:space="preserve">, Available online: </w:t>
      </w:r>
      <w:hyperlink r:id="rId58" w:tooltip="SpringerLink website" w:history="1">
        <w:r w:rsidRPr="002A634B">
          <w:rPr>
            <w:rStyle w:val="Hyperlink"/>
          </w:rPr>
          <w:t>http://www.springerlink.com/content/brmpmturdqvxh3vv</w:t>
        </w:r>
      </w:hyperlink>
    </w:p>
    <w:p w:rsidR="008237BB" w:rsidRDefault="008237BB" w:rsidP="004911EB">
      <w:pPr>
        <w:pStyle w:val="References"/>
      </w:pPr>
      <w:r w:rsidRPr="002A634B">
        <w:t>Webster, I.T, and Ford, P.W. 2010</w:t>
      </w:r>
      <w:r>
        <w:t>.</w:t>
      </w:r>
      <w:r w:rsidRPr="002A634B">
        <w:t xml:space="preserve"> Delivery, deposition and redistribution of fine sediments within macrotidal Fitzroy Estuary/Keppel Bay: Southern Great Barrier Reef, Australia. </w:t>
      </w:r>
      <w:r w:rsidRPr="004911EB">
        <w:rPr>
          <w:rStyle w:val="Italic"/>
        </w:rPr>
        <w:t>Continental Shelf Research</w:t>
      </w:r>
      <w:r w:rsidRPr="002A634B">
        <w:t xml:space="preserve">, </w:t>
      </w:r>
      <w:r w:rsidRPr="004911EB">
        <w:rPr>
          <w:rStyle w:val="Bold"/>
        </w:rPr>
        <w:t>30</w:t>
      </w:r>
      <w:r w:rsidRPr="002A634B">
        <w:t>, 793-805.</w:t>
      </w:r>
    </w:p>
    <w:p w:rsidR="008237BB" w:rsidRDefault="008237BB" w:rsidP="004911EB">
      <w:pPr>
        <w:pStyle w:val="References"/>
      </w:pPr>
      <w:r w:rsidRPr="002A634B">
        <w:t>Welp, L. R., Randerson,</w:t>
      </w:r>
      <w:r>
        <w:t xml:space="preserve"> </w:t>
      </w:r>
      <w:r w:rsidRPr="002A634B">
        <w:t>J. T.</w:t>
      </w:r>
      <w:r>
        <w:t>,</w:t>
      </w:r>
      <w:r w:rsidRPr="002A634B">
        <w:t xml:space="preserve"> and Liu,</w:t>
      </w:r>
      <w:r>
        <w:t xml:space="preserve"> </w:t>
      </w:r>
      <w:r w:rsidRPr="002A634B">
        <w:t>H. P.</w:t>
      </w:r>
      <w:r>
        <w:t>,</w:t>
      </w:r>
      <w:r w:rsidRPr="002A634B">
        <w:t xml:space="preserve"> 2007</w:t>
      </w:r>
      <w:r>
        <w:t>.</w:t>
      </w:r>
      <w:r w:rsidRPr="002A634B">
        <w:t xml:space="preserve"> The sensitivity of carbon fluxes to spring warming and summer drought depends on plant functional type in boreal forest ecosystems. </w:t>
      </w:r>
      <w:r w:rsidRPr="004911EB">
        <w:rPr>
          <w:rStyle w:val="Italic"/>
        </w:rPr>
        <w:t>Agricultural and Forest Meteorology</w:t>
      </w:r>
      <w:r w:rsidRPr="002A634B">
        <w:t xml:space="preserve">, </w:t>
      </w:r>
      <w:r w:rsidRPr="004911EB">
        <w:rPr>
          <w:rStyle w:val="Bold"/>
        </w:rPr>
        <w:t>147</w:t>
      </w:r>
      <w:r w:rsidRPr="002A634B">
        <w:t>, 172–185.</w:t>
      </w:r>
    </w:p>
    <w:p w:rsidR="008237BB" w:rsidRPr="004911EB" w:rsidRDefault="008237BB" w:rsidP="004911EB">
      <w:pPr>
        <w:pStyle w:val="References"/>
      </w:pPr>
      <w:r w:rsidRPr="00AD7BEA">
        <w:t>Whetton, P.W.</w:t>
      </w:r>
      <w:r>
        <w:t>,</w:t>
      </w:r>
      <w:r w:rsidRPr="00AD7BEA">
        <w:t xml:space="preserve"> 2011. Future Australian climate scenarios. </w:t>
      </w:r>
      <w:r w:rsidRPr="002A634B">
        <w:t xml:space="preserve">Chapter 3, Climate Change: Science and Solutions for Australia, </w:t>
      </w:r>
      <w:r w:rsidRPr="004911EB">
        <w:rPr>
          <w:rStyle w:val="Italic"/>
        </w:rPr>
        <w:t>CSIRO Publishing</w:t>
      </w:r>
      <w:r w:rsidRPr="002A634B">
        <w:t>, 168pp, Available at</w:t>
      </w:r>
      <w:r w:rsidRPr="004911EB">
        <w:t xml:space="preserve"> </w:t>
      </w:r>
      <w:hyperlink r:id="rId59" w:tooltip="CSIRO website" w:history="1">
        <w:r w:rsidRPr="002A634B">
          <w:rPr>
            <w:rStyle w:val="Hyperlink"/>
            <w:szCs w:val="21"/>
          </w:rPr>
          <w:t>http://www.publish.csiro.au/pid/6558.htm</w:t>
        </w:r>
      </w:hyperlink>
    </w:p>
    <w:p w:rsidR="008237BB" w:rsidRPr="004911EB" w:rsidRDefault="008237BB" w:rsidP="004911EB">
      <w:pPr>
        <w:pStyle w:val="References"/>
      </w:pPr>
      <w:r w:rsidRPr="002A634B">
        <w:t>Willmott, W.</w:t>
      </w:r>
      <w:r>
        <w:t xml:space="preserve"> </w:t>
      </w:r>
      <w:r w:rsidRPr="002A634B">
        <w:t>F., O’Flynn, M.</w:t>
      </w:r>
      <w:r>
        <w:t xml:space="preserve"> </w:t>
      </w:r>
      <w:r w:rsidRPr="002A634B">
        <w:t>L., and Trezise, D.</w:t>
      </w:r>
      <w:r>
        <w:t xml:space="preserve"> </w:t>
      </w:r>
      <w:r w:rsidRPr="002A634B">
        <w:t>L.</w:t>
      </w:r>
      <w:r>
        <w:t>,</w:t>
      </w:r>
      <w:r w:rsidRPr="002A634B">
        <w:t xml:space="preserve"> 1984</w:t>
      </w:r>
      <w:r>
        <w:t>.</w:t>
      </w:r>
      <w:r w:rsidRPr="004911EB">
        <w:t xml:space="preserve"> Australia 1:100,000 Geological Special</w:t>
      </w:r>
      <w:r w:rsidR="00C3610F">
        <w:t xml:space="preserve"> </w:t>
      </w:r>
      <w:r w:rsidRPr="004911EB">
        <w:t xml:space="preserve">Rockhampton Region, Queensland. Geological Map, </w:t>
      </w:r>
      <w:r w:rsidRPr="003776CC">
        <w:rPr>
          <w:rStyle w:val="ReferencesItalic"/>
        </w:rPr>
        <w:t>Department of Mines</w:t>
      </w:r>
      <w:r w:rsidRPr="004911EB">
        <w:t>, Brisbane.</w:t>
      </w:r>
    </w:p>
    <w:p w:rsidR="008237BB" w:rsidRDefault="008237BB" w:rsidP="004911EB">
      <w:pPr>
        <w:pStyle w:val="References"/>
      </w:pPr>
      <w:r w:rsidRPr="002A634B">
        <w:t>Woodhead, P.</w:t>
      </w:r>
      <w:r>
        <w:t xml:space="preserve"> </w:t>
      </w:r>
      <w:r w:rsidRPr="002A634B">
        <w:t>M.</w:t>
      </w:r>
      <w:r>
        <w:t xml:space="preserve"> </w:t>
      </w:r>
      <w:r w:rsidRPr="002A634B">
        <w:t>J.</w:t>
      </w:r>
      <w:r>
        <w:t>,</w:t>
      </w:r>
      <w:r w:rsidRPr="002A634B">
        <w:t xml:space="preserve"> 1970</w:t>
      </w:r>
      <w:r>
        <w:t>.</w:t>
      </w:r>
      <w:r w:rsidRPr="004911EB">
        <w:t xml:space="preserve"> Sea surface circulation in the southern region of the Great Barrier Reef,</w:t>
      </w:r>
      <w:r w:rsidR="00C3610F">
        <w:t xml:space="preserve"> </w:t>
      </w:r>
      <w:r w:rsidRPr="004911EB">
        <w:t>spring 1966.</w:t>
      </w:r>
      <w:r w:rsidRPr="002A634B">
        <w:t xml:space="preserve"> </w:t>
      </w:r>
      <w:r w:rsidRPr="004911EB">
        <w:rPr>
          <w:rStyle w:val="Italic"/>
        </w:rPr>
        <w:t>Australian Journal of Marine and Freshwater Research,</w:t>
      </w:r>
      <w:r w:rsidRPr="002A634B">
        <w:t xml:space="preserve"> </w:t>
      </w:r>
      <w:r w:rsidRPr="003776CC">
        <w:rPr>
          <w:rStyle w:val="Bold"/>
        </w:rPr>
        <w:t>21</w:t>
      </w:r>
      <w:r w:rsidRPr="004911EB">
        <w:t>, 89-102.</w:t>
      </w:r>
    </w:p>
    <w:p w:rsidR="008237BB" w:rsidRDefault="008237BB" w:rsidP="004911EB">
      <w:pPr>
        <w:pStyle w:val="References"/>
        <w:rPr>
          <w:szCs w:val="21"/>
        </w:rPr>
      </w:pPr>
      <w:r w:rsidRPr="002A634B">
        <w:t>World Bank 2012</w:t>
      </w:r>
      <w:r>
        <w:t>.</w:t>
      </w:r>
      <w:r w:rsidRPr="002A634B">
        <w:t xml:space="preserve"> “Turn down the heat: Why a 4</w:t>
      </w:r>
      <w:r w:rsidRPr="003776CC">
        <w:rPr>
          <w:rStyle w:val="Superscript"/>
        </w:rPr>
        <w:t>O</w:t>
      </w:r>
      <w:r w:rsidRPr="002A634B">
        <w:t>C warmer world must be avoided”, A report for the World Bank by the Potsdam Institute for Climate Impacts Research and Climate Analytics</w:t>
      </w:r>
      <w:r>
        <w:t>.</w:t>
      </w:r>
      <w:r w:rsidRPr="002A634B">
        <w:t xml:space="preserve"> </w:t>
      </w:r>
      <w:r w:rsidRPr="004911EB">
        <w:rPr>
          <w:rStyle w:val="Italic"/>
        </w:rPr>
        <w:t xml:space="preserve">International Bank for Reconstruction and Development / The World Bank. </w:t>
      </w:r>
      <w:r w:rsidRPr="002A634B">
        <w:t xml:space="preserve">106pp Available </w:t>
      </w:r>
      <w:r w:rsidR="00C3610F">
        <w:t xml:space="preserve">online: </w:t>
      </w:r>
      <w:hyperlink r:id="rId60" w:tooltip="World Bank website" w:history="1">
        <w:r w:rsidRPr="002A634B">
          <w:rPr>
            <w:rStyle w:val="Hyperlink"/>
            <w:szCs w:val="21"/>
          </w:rPr>
          <w:t>http://climatechange.worldbank.org/sites/default/files/Turn_Down_the_heat_Why_a_4_degree_centrigrade_warmer_world_must_be_avoided.pdf</w:t>
        </w:r>
      </w:hyperlink>
    </w:p>
    <w:p w:rsidR="002F691C" w:rsidRDefault="008237BB" w:rsidP="004911EB">
      <w:pPr>
        <w:pStyle w:val="References"/>
        <w:rPr>
          <w:rStyle w:val="Bold"/>
        </w:rPr>
      </w:pPr>
      <w:r w:rsidRPr="004911EB">
        <w:t xml:space="preserve">Yokoyama, Y., Purcell, A., Marshall, J. F. and Lambeck, K., 2006. Sea level during the early </w:t>
      </w:r>
      <w:r w:rsidRPr="00492360">
        <w:t>deglaciation</w:t>
      </w:r>
      <w:r w:rsidRPr="004911EB">
        <w:t xml:space="preserve"> period in the Great Barrier Reef, Australia. </w:t>
      </w:r>
      <w:r w:rsidRPr="004911EB">
        <w:rPr>
          <w:rStyle w:val="Italic"/>
        </w:rPr>
        <w:t xml:space="preserve">Global Planetary Change, </w:t>
      </w:r>
      <w:r w:rsidRPr="003776CC">
        <w:rPr>
          <w:rStyle w:val="Bold"/>
        </w:rPr>
        <w:t>53</w:t>
      </w:r>
      <w:r w:rsidRPr="004911EB">
        <w:t>, 147-153.</w:t>
      </w:r>
    </w:p>
    <w:p w:rsidR="008237BB" w:rsidRDefault="008237BB" w:rsidP="004911EB">
      <w:pPr>
        <w:pStyle w:val="References"/>
      </w:pPr>
      <w:r w:rsidRPr="00492360">
        <w:t>Zhao, M. and Held, I.</w:t>
      </w:r>
      <w:r>
        <w:t xml:space="preserve"> 2012. </w:t>
      </w:r>
      <w:r w:rsidRPr="00492360">
        <w:t>TC-Permitting GCM Simulations of Hurricane Frequency Response to Sea Surface Temperature Anomalies Projected for the Late-Twenty-First Century</w:t>
      </w:r>
      <w:r>
        <w:t>.</w:t>
      </w:r>
      <w:r w:rsidRPr="00492360">
        <w:t xml:space="preserve"> </w:t>
      </w:r>
      <w:r w:rsidRPr="004911EB">
        <w:rPr>
          <w:rStyle w:val="Italic"/>
        </w:rPr>
        <w:t>Journal of Climate</w:t>
      </w:r>
      <w:r w:rsidRPr="00492360">
        <w:t xml:space="preserve">, </w:t>
      </w:r>
      <w:r w:rsidRPr="004911EB">
        <w:rPr>
          <w:rStyle w:val="Bold"/>
        </w:rPr>
        <w:t>25</w:t>
      </w:r>
      <w:r w:rsidRPr="00492360">
        <w:t>, 2995-3009</w:t>
      </w:r>
      <w:r>
        <w:t>.</w:t>
      </w:r>
    </w:p>
    <w:p w:rsidR="00884478" w:rsidRDefault="00884478" w:rsidP="00884478">
      <w:pPr>
        <w:pStyle w:val="Bodyblankpage"/>
      </w:pPr>
      <w:r>
        <w:lastRenderedPageBreak/>
        <w:t>This page is intentionally blank</w:t>
      </w:r>
    </w:p>
    <w:p w:rsidR="00884478" w:rsidRDefault="00884478" w:rsidP="004911EB">
      <w:pPr>
        <w:pStyle w:val="References"/>
      </w:pPr>
    </w:p>
    <w:p w:rsidR="008237BB" w:rsidRDefault="008237BB" w:rsidP="002666CB">
      <w:pPr>
        <w:pStyle w:val="Heading9"/>
      </w:pPr>
      <w:bookmarkStart w:id="1687" w:name="_Ref340738725"/>
      <w:bookmarkStart w:id="1688" w:name="_Toc341336584"/>
      <w:bookmarkStart w:id="1689" w:name="_Toc346632766"/>
      <w:bookmarkStart w:id="1690" w:name="_Toc346632878"/>
      <w:bookmarkStart w:id="1691" w:name="_Toc346632990"/>
      <w:bookmarkStart w:id="1692" w:name="_Toc346633102"/>
      <w:bookmarkStart w:id="1693" w:name="_Toc346633214"/>
      <w:bookmarkStart w:id="1694" w:name="_Toc347401647"/>
      <w:bookmarkStart w:id="1695" w:name="_Toc347401759"/>
      <w:bookmarkStart w:id="1696" w:name="_Toc347401871"/>
      <w:bookmarkStart w:id="1697" w:name="_Toc347401983"/>
      <w:bookmarkStart w:id="1698" w:name="_Toc347402095"/>
      <w:bookmarkStart w:id="1699" w:name="_Toc349055275"/>
      <w:bookmarkStart w:id="1700" w:name="_Toc349055388"/>
      <w:bookmarkStart w:id="1701" w:name="_Toc349055501"/>
      <w:bookmarkStart w:id="1702" w:name="_Toc349055614"/>
      <w:bookmarkStart w:id="1703" w:name="_Toc349055727"/>
      <w:bookmarkStart w:id="1704" w:name="_Toc349116944"/>
      <w:bookmarkStart w:id="1705" w:name="_Toc350330044"/>
      <w:bookmarkStart w:id="1706" w:name="_Toc350344022"/>
      <w:bookmarkStart w:id="1707" w:name="_Toc354492729"/>
      <w:bookmarkStart w:id="1708" w:name="_Toc354492976"/>
      <w:bookmarkStart w:id="1709" w:name="_Toc354493106"/>
      <w:bookmarkStart w:id="1710" w:name="_Toc354493267"/>
      <w:bookmarkStart w:id="1711" w:name="_Toc357586096"/>
      <w:r>
        <w:lastRenderedPageBreak/>
        <w:t>Tropical Cyclone Wind</w:t>
      </w:r>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p>
    <w:p w:rsidR="008237BB" w:rsidRPr="00462463" w:rsidRDefault="008237BB" w:rsidP="00462463">
      <w:pPr>
        <w:pStyle w:val="HeadingApxnonumbers"/>
      </w:pPr>
      <w:bookmarkStart w:id="1712" w:name="_Toc349116945"/>
      <w:bookmarkStart w:id="1713" w:name="_Toc350330045"/>
      <w:bookmarkStart w:id="1714" w:name="_Toc350344023"/>
      <w:bookmarkStart w:id="1715" w:name="_Toc354402004"/>
      <w:bookmarkStart w:id="1716" w:name="_Toc354404061"/>
      <w:bookmarkStart w:id="1717" w:name="_Toc354476501"/>
      <w:bookmarkStart w:id="1718" w:name="_Toc354492870"/>
      <w:bookmarkStart w:id="1719" w:name="_Toc354492977"/>
      <w:bookmarkStart w:id="1720" w:name="_Toc354493107"/>
      <w:bookmarkStart w:id="1721" w:name="_Toc354493268"/>
      <w:bookmarkStart w:id="1722" w:name="_Toc354493736"/>
      <w:bookmarkStart w:id="1723" w:name="_Toc354494271"/>
      <w:bookmarkStart w:id="1724" w:name="_Toc354494489"/>
      <w:bookmarkStart w:id="1725" w:name="_Toc354494700"/>
      <w:bookmarkStart w:id="1726" w:name="_Toc354494994"/>
      <w:bookmarkStart w:id="1727" w:name="_Toc354497876"/>
      <w:bookmarkStart w:id="1728" w:name="_Toc354561289"/>
      <w:bookmarkStart w:id="1729" w:name="_Toc355164187"/>
      <w:bookmarkStart w:id="1730" w:name="_Toc355249629"/>
      <w:bookmarkStart w:id="1731" w:name="_Toc341336585"/>
      <w:bookmarkStart w:id="1732" w:name="_Toc342638480"/>
      <w:bookmarkStart w:id="1733" w:name="_Toc346260979"/>
      <w:r w:rsidRPr="00462463">
        <w:t>Contents</w:t>
      </w:r>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p>
    <w:p w:rsidR="00A03BF1" w:rsidRDefault="00B02ECE" w:rsidP="000067F7">
      <w:pPr>
        <w:pStyle w:val="TOC2"/>
        <w:rPr>
          <w:rFonts w:asciiTheme="minorHAnsi" w:eastAsiaTheme="minorEastAsia" w:hAnsiTheme="minorHAnsi" w:cstheme="minorBidi"/>
          <w:sz w:val="22"/>
          <w:szCs w:val="22"/>
        </w:rPr>
      </w:pPr>
      <w:r>
        <w:rPr>
          <w:rStyle w:val="Hyperlink"/>
        </w:rPr>
        <w:fldChar w:fldCharType="begin"/>
      </w:r>
      <w:r w:rsidRPr="009E1AAE">
        <w:rPr>
          <w:rStyle w:val="Hyperlink"/>
        </w:rPr>
        <w:instrText xml:space="preserve"> TOC \o \h \z \u </w:instrText>
      </w:r>
      <w:r>
        <w:rPr>
          <w:rStyle w:val="Hyperlink"/>
        </w:rPr>
        <w:fldChar w:fldCharType="separate"/>
      </w:r>
      <w:hyperlink w:anchor="_Toc354493269" w:history="1">
        <w:r w:rsidR="00A03BF1" w:rsidRPr="009E1AAE">
          <w:rPr>
            <w:rStyle w:val="Hyperlink"/>
          </w:rPr>
          <w:t>Figures</w:t>
        </w:r>
        <w:r w:rsidR="00A03BF1">
          <w:rPr>
            <w:webHidden/>
          </w:rPr>
          <w:tab/>
        </w:r>
        <w:r w:rsidR="00A03BF1">
          <w:rPr>
            <w:webHidden/>
          </w:rPr>
          <w:fldChar w:fldCharType="begin"/>
        </w:r>
        <w:r w:rsidR="00A03BF1">
          <w:rPr>
            <w:webHidden/>
          </w:rPr>
          <w:instrText xml:space="preserve"> PAGEREF _Toc354493269 \h </w:instrText>
        </w:r>
        <w:r w:rsidR="00A03BF1">
          <w:rPr>
            <w:webHidden/>
          </w:rPr>
        </w:r>
        <w:r w:rsidR="00A03BF1">
          <w:rPr>
            <w:webHidden/>
          </w:rPr>
          <w:fldChar w:fldCharType="separate"/>
        </w:r>
        <w:r w:rsidR="00413858">
          <w:rPr>
            <w:webHidden/>
          </w:rPr>
          <w:t>49</w:t>
        </w:r>
        <w:r w:rsidR="00A03BF1">
          <w:rPr>
            <w:webHidden/>
          </w:rPr>
          <w:fldChar w:fldCharType="end"/>
        </w:r>
      </w:hyperlink>
    </w:p>
    <w:p w:rsidR="00A03BF1" w:rsidRDefault="007F11CF" w:rsidP="000067F7">
      <w:pPr>
        <w:pStyle w:val="TOC2"/>
        <w:rPr>
          <w:rFonts w:asciiTheme="minorHAnsi" w:eastAsiaTheme="minorEastAsia" w:hAnsiTheme="minorHAnsi" w:cstheme="minorBidi"/>
          <w:sz w:val="22"/>
          <w:szCs w:val="22"/>
        </w:rPr>
      </w:pPr>
      <w:hyperlink w:anchor="_Toc354493270" w:history="1">
        <w:r w:rsidR="00A03BF1" w:rsidRPr="00BA4976">
          <w:rPr>
            <w:rStyle w:val="Hyperlink"/>
          </w:rPr>
          <w:t>A.1. Method</w:t>
        </w:r>
        <w:r w:rsidR="00A03BF1">
          <w:rPr>
            <w:webHidden/>
          </w:rPr>
          <w:tab/>
        </w:r>
        <w:r w:rsidR="00A03BF1">
          <w:rPr>
            <w:webHidden/>
          </w:rPr>
          <w:fldChar w:fldCharType="begin"/>
        </w:r>
        <w:r w:rsidR="00A03BF1">
          <w:rPr>
            <w:webHidden/>
          </w:rPr>
          <w:instrText xml:space="preserve"> PAGEREF _Toc354493270 \h </w:instrText>
        </w:r>
        <w:r w:rsidR="00A03BF1">
          <w:rPr>
            <w:webHidden/>
          </w:rPr>
        </w:r>
        <w:r w:rsidR="00A03BF1">
          <w:rPr>
            <w:webHidden/>
          </w:rPr>
          <w:fldChar w:fldCharType="separate"/>
        </w:r>
        <w:r w:rsidR="00413858">
          <w:rPr>
            <w:webHidden/>
          </w:rPr>
          <w:t>50</w:t>
        </w:r>
        <w:r w:rsidR="00A03BF1">
          <w:rPr>
            <w:webHidden/>
          </w:rPr>
          <w:fldChar w:fldCharType="end"/>
        </w:r>
      </w:hyperlink>
    </w:p>
    <w:p w:rsidR="00A03BF1" w:rsidRDefault="007F11CF" w:rsidP="000067F7">
      <w:pPr>
        <w:pStyle w:val="TOC3"/>
        <w:rPr>
          <w:rFonts w:asciiTheme="minorHAnsi" w:eastAsiaTheme="minorEastAsia" w:hAnsiTheme="minorHAnsi" w:cstheme="minorBidi"/>
          <w:sz w:val="22"/>
          <w:szCs w:val="22"/>
        </w:rPr>
      </w:pPr>
      <w:hyperlink w:anchor="_Toc354493271" w:history="1">
        <w:r w:rsidR="00A03BF1" w:rsidRPr="00BA4976">
          <w:rPr>
            <w:rStyle w:val="Hyperlink"/>
          </w:rPr>
          <w:t>A.1.1. Current Climate</w:t>
        </w:r>
        <w:r w:rsidR="00A03BF1">
          <w:rPr>
            <w:webHidden/>
          </w:rPr>
          <w:tab/>
        </w:r>
        <w:r w:rsidR="00A03BF1">
          <w:rPr>
            <w:webHidden/>
          </w:rPr>
          <w:fldChar w:fldCharType="begin"/>
        </w:r>
        <w:r w:rsidR="00A03BF1">
          <w:rPr>
            <w:webHidden/>
          </w:rPr>
          <w:instrText xml:space="preserve"> PAGEREF _Toc354493271 \h </w:instrText>
        </w:r>
        <w:r w:rsidR="00A03BF1">
          <w:rPr>
            <w:webHidden/>
          </w:rPr>
        </w:r>
        <w:r w:rsidR="00A03BF1">
          <w:rPr>
            <w:webHidden/>
          </w:rPr>
          <w:fldChar w:fldCharType="separate"/>
        </w:r>
        <w:r w:rsidR="00413858">
          <w:rPr>
            <w:webHidden/>
          </w:rPr>
          <w:t>51</w:t>
        </w:r>
        <w:r w:rsidR="00A03BF1">
          <w:rPr>
            <w:webHidden/>
          </w:rPr>
          <w:fldChar w:fldCharType="end"/>
        </w:r>
      </w:hyperlink>
    </w:p>
    <w:p w:rsidR="00A03BF1" w:rsidRDefault="007F11CF" w:rsidP="000067F7">
      <w:pPr>
        <w:pStyle w:val="TOC4"/>
        <w:rPr>
          <w:rFonts w:asciiTheme="minorHAnsi" w:eastAsiaTheme="minorEastAsia" w:hAnsiTheme="minorHAnsi" w:cstheme="minorBidi"/>
          <w:sz w:val="22"/>
          <w:szCs w:val="22"/>
        </w:rPr>
      </w:pPr>
      <w:hyperlink w:anchor="_Toc354493272" w:history="1">
        <w:r w:rsidR="00A03BF1" w:rsidRPr="00BA4976">
          <w:rPr>
            <w:rStyle w:val="Hyperlink"/>
          </w:rPr>
          <w:t>A.1.1.1. The Tropical Cyclone Risk Model</w:t>
        </w:r>
        <w:r w:rsidR="00A03BF1">
          <w:rPr>
            <w:webHidden/>
          </w:rPr>
          <w:tab/>
        </w:r>
        <w:r w:rsidR="00A03BF1">
          <w:rPr>
            <w:webHidden/>
          </w:rPr>
          <w:fldChar w:fldCharType="begin"/>
        </w:r>
        <w:r w:rsidR="00A03BF1">
          <w:rPr>
            <w:webHidden/>
          </w:rPr>
          <w:instrText xml:space="preserve"> PAGEREF _Toc354493272 \h </w:instrText>
        </w:r>
        <w:r w:rsidR="00A03BF1">
          <w:rPr>
            <w:webHidden/>
          </w:rPr>
        </w:r>
        <w:r w:rsidR="00A03BF1">
          <w:rPr>
            <w:webHidden/>
          </w:rPr>
          <w:fldChar w:fldCharType="separate"/>
        </w:r>
        <w:r w:rsidR="00413858">
          <w:rPr>
            <w:webHidden/>
          </w:rPr>
          <w:t>51</w:t>
        </w:r>
        <w:r w:rsidR="00A03BF1">
          <w:rPr>
            <w:webHidden/>
          </w:rPr>
          <w:fldChar w:fldCharType="end"/>
        </w:r>
      </w:hyperlink>
    </w:p>
    <w:p w:rsidR="00A03BF1" w:rsidRDefault="007F11CF" w:rsidP="000067F7">
      <w:pPr>
        <w:pStyle w:val="TOC4"/>
        <w:rPr>
          <w:rFonts w:asciiTheme="minorHAnsi" w:eastAsiaTheme="minorEastAsia" w:hAnsiTheme="minorHAnsi" w:cstheme="minorBidi"/>
          <w:sz w:val="22"/>
          <w:szCs w:val="22"/>
        </w:rPr>
      </w:pPr>
      <w:hyperlink w:anchor="_Toc354493273" w:history="1">
        <w:r w:rsidR="00A03BF1" w:rsidRPr="00BA4976">
          <w:rPr>
            <w:rStyle w:val="Hyperlink"/>
          </w:rPr>
          <w:t>A.1.1.2. Data</w:t>
        </w:r>
        <w:r w:rsidR="00A03BF1">
          <w:rPr>
            <w:webHidden/>
          </w:rPr>
          <w:tab/>
        </w:r>
        <w:r w:rsidR="00A03BF1">
          <w:rPr>
            <w:webHidden/>
          </w:rPr>
          <w:fldChar w:fldCharType="begin"/>
        </w:r>
        <w:r w:rsidR="00A03BF1">
          <w:rPr>
            <w:webHidden/>
          </w:rPr>
          <w:instrText xml:space="preserve"> PAGEREF _Toc354493273 \h </w:instrText>
        </w:r>
        <w:r w:rsidR="00A03BF1">
          <w:rPr>
            <w:webHidden/>
          </w:rPr>
        </w:r>
        <w:r w:rsidR="00A03BF1">
          <w:rPr>
            <w:webHidden/>
          </w:rPr>
          <w:fldChar w:fldCharType="separate"/>
        </w:r>
        <w:r w:rsidR="00413858">
          <w:rPr>
            <w:webHidden/>
          </w:rPr>
          <w:t>51</w:t>
        </w:r>
        <w:r w:rsidR="00A03BF1">
          <w:rPr>
            <w:webHidden/>
          </w:rPr>
          <w:fldChar w:fldCharType="end"/>
        </w:r>
      </w:hyperlink>
    </w:p>
    <w:p w:rsidR="00A03BF1" w:rsidRDefault="007F11CF" w:rsidP="000067F7">
      <w:pPr>
        <w:pStyle w:val="TOC4"/>
        <w:rPr>
          <w:rFonts w:asciiTheme="minorHAnsi" w:eastAsiaTheme="minorEastAsia" w:hAnsiTheme="minorHAnsi" w:cstheme="minorBidi"/>
          <w:sz w:val="22"/>
          <w:szCs w:val="22"/>
        </w:rPr>
      </w:pPr>
      <w:hyperlink w:anchor="_Toc354493274" w:history="1">
        <w:r w:rsidR="00A03BF1" w:rsidRPr="00BA4976">
          <w:rPr>
            <w:rStyle w:val="Hyperlink"/>
          </w:rPr>
          <w:t>A.1.1.3. Track model</w:t>
        </w:r>
        <w:r w:rsidR="00A03BF1">
          <w:rPr>
            <w:webHidden/>
          </w:rPr>
          <w:tab/>
        </w:r>
        <w:r w:rsidR="00A03BF1">
          <w:rPr>
            <w:webHidden/>
          </w:rPr>
          <w:fldChar w:fldCharType="begin"/>
        </w:r>
        <w:r w:rsidR="00A03BF1">
          <w:rPr>
            <w:webHidden/>
          </w:rPr>
          <w:instrText xml:space="preserve"> PAGEREF _Toc354493274 \h </w:instrText>
        </w:r>
        <w:r w:rsidR="00A03BF1">
          <w:rPr>
            <w:webHidden/>
          </w:rPr>
        </w:r>
        <w:r w:rsidR="00A03BF1">
          <w:rPr>
            <w:webHidden/>
          </w:rPr>
          <w:fldChar w:fldCharType="separate"/>
        </w:r>
        <w:r w:rsidR="00413858">
          <w:rPr>
            <w:webHidden/>
          </w:rPr>
          <w:t>51</w:t>
        </w:r>
        <w:r w:rsidR="00A03BF1">
          <w:rPr>
            <w:webHidden/>
          </w:rPr>
          <w:fldChar w:fldCharType="end"/>
        </w:r>
      </w:hyperlink>
    </w:p>
    <w:p w:rsidR="00A03BF1" w:rsidRDefault="007F11CF" w:rsidP="000067F7">
      <w:pPr>
        <w:pStyle w:val="TOC4"/>
        <w:rPr>
          <w:rFonts w:asciiTheme="minorHAnsi" w:eastAsiaTheme="minorEastAsia" w:hAnsiTheme="minorHAnsi" w:cstheme="minorBidi"/>
          <w:sz w:val="22"/>
          <w:szCs w:val="22"/>
        </w:rPr>
      </w:pPr>
      <w:hyperlink w:anchor="_Toc354493275" w:history="1">
        <w:r w:rsidR="00A03BF1" w:rsidRPr="00BA4976">
          <w:rPr>
            <w:rStyle w:val="Hyperlink"/>
          </w:rPr>
          <w:t>A.1.1.4. Wind field model</w:t>
        </w:r>
        <w:r w:rsidR="00A03BF1">
          <w:rPr>
            <w:webHidden/>
          </w:rPr>
          <w:tab/>
        </w:r>
        <w:r w:rsidR="00A03BF1">
          <w:rPr>
            <w:webHidden/>
          </w:rPr>
          <w:fldChar w:fldCharType="begin"/>
        </w:r>
        <w:r w:rsidR="00A03BF1">
          <w:rPr>
            <w:webHidden/>
          </w:rPr>
          <w:instrText xml:space="preserve"> PAGEREF _Toc354493275 \h </w:instrText>
        </w:r>
        <w:r w:rsidR="00A03BF1">
          <w:rPr>
            <w:webHidden/>
          </w:rPr>
        </w:r>
        <w:r w:rsidR="00A03BF1">
          <w:rPr>
            <w:webHidden/>
          </w:rPr>
          <w:fldChar w:fldCharType="separate"/>
        </w:r>
        <w:r w:rsidR="00413858">
          <w:rPr>
            <w:webHidden/>
          </w:rPr>
          <w:t>52</w:t>
        </w:r>
        <w:r w:rsidR="00A03BF1">
          <w:rPr>
            <w:webHidden/>
          </w:rPr>
          <w:fldChar w:fldCharType="end"/>
        </w:r>
      </w:hyperlink>
    </w:p>
    <w:p w:rsidR="00A03BF1" w:rsidRDefault="007F11CF" w:rsidP="000067F7">
      <w:pPr>
        <w:pStyle w:val="TOC4"/>
        <w:rPr>
          <w:rFonts w:asciiTheme="minorHAnsi" w:eastAsiaTheme="minorEastAsia" w:hAnsiTheme="minorHAnsi" w:cstheme="minorBidi"/>
          <w:sz w:val="22"/>
          <w:szCs w:val="22"/>
        </w:rPr>
      </w:pPr>
      <w:hyperlink w:anchor="_Toc354493276" w:history="1">
        <w:r w:rsidR="00A03BF1" w:rsidRPr="00BA4976">
          <w:rPr>
            <w:rStyle w:val="Hyperlink"/>
          </w:rPr>
          <w:t>A.1.1.5. Extreme value distribution</w:t>
        </w:r>
        <w:r w:rsidR="00A03BF1">
          <w:rPr>
            <w:webHidden/>
          </w:rPr>
          <w:tab/>
        </w:r>
        <w:r w:rsidR="00A03BF1">
          <w:rPr>
            <w:webHidden/>
          </w:rPr>
          <w:fldChar w:fldCharType="begin"/>
        </w:r>
        <w:r w:rsidR="00A03BF1">
          <w:rPr>
            <w:webHidden/>
          </w:rPr>
          <w:instrText xml:space="preserve"> PAGEREF _Toc354493276 \h </w:instrText>
        </w:r>
        <w:r w:rsidR="00A03BF1">
          <w:rPr>
            <w:webHidden/>
          </w:rPr>
        </w:r>
        <w:r w:rsidR="00A03BF1">
          <w:rPr>
            <w:webHidden/>
          </w:rPr>
          <w:fldChar w:fldCharType="separate"/>
        </w:r>
        <w:r w:rsidR="00413858">
          <w:rPr>
            <w:webHidden/>
          </w:rPr>
          <w:t>52</w:t>
        </w:r>
        <w:r w:rsidR="00A03BF1">
          <w:rPr>
            <w:webHidden/>
          </w:rPr>
          <w:fldChar w:fldCharType="end"/>
        </w:r>
      </w:hyperlink>
    </w:p>
    <w:p w:rsidR="00A03BF1" w:rsidRDefault="007F11CF" w:rsidP="000067F7">
      <w:pPr>
        <w:pStyle w:val="TOC4"/>
        <w:rPr>
          <w:rFonts w:asciiTheme="minorHAnsi" w:eastAsiaTheme="minorEastAsia" w:hAnsiTheme="minorHAnsi" w:cstheme="minorBidi"/>
          <w:sz w:val="22"/>
          <w:szCs w:val="22"/>
        </w:rPr>
      </w:pPr>
      <w:hyperlink w:anchor="_Toc354493277" w:history="1">
        <w:r w:rsidR="00A03BF1" w:rsidRPr="00BA4976">
          <w:rPr>
            <w:rStyle w:val="Hyperlink"/>
          </w:rPr>
          <w:t>A.1.1.6. Wind multipliers</w:t>
        </w:r>
        <w:r w:rsidR="00A03BF1">
          <w:rPr>
            <w:webHidden/>
          </w:rPr>
          <w:tab/>
        </w:r>
        <w:r w:rsidR="00A03BF1">
          <w:rPr>
            <w:webHidden/>
          </w:rPr>
          <w:fldChar w:fldCharType="begin"/>
        </w:r>
        <w:r w:rsidR="00A03BF1">
          <w:rPr>
            <w:webHidden/>
          </w:rPr>
          <w:instrText xml:space="preserve"> PAGEREF _Toc354493277 \h </w:instrText>
        </w:r>
        <w:r w:rsidR="00A03BF1">
          <w:rPr>
            <w:webHidden/>
          </w:rPr>
        </w:r>
        <w:r w:rsidR="00A03BF1">
          <w:rPr>
            <w:webHidden/>
          </w:rPr>
          <w:fldChar w:fldCharType="separate"/>
        </w:r>
        <w:r w:rsidR="00413858">
          <w:rPr>
            <w:webHidden/>
          </w:rPr>
          <w:t>54</w:t>
        </w:r>
        <w:r w:rsidR="00A03BF1">
          <w:rPr>
            <w:webHidden/>
          </w:rPr>
          <w:fldChar w:fldCharType="end"/>
        </w:r>
      </w:hyperlink>
    </w:p>
    <w:p w:rsidR="00A03BF1" w:rsidRDefault="007F11CF" w:rsidP="000067F7">
      <w:pPr>
        <w:pStyle w:val="TOC3"/>
        <w:rPr>
          <w:rFonts w:asciiTheme="minorHAnsi" w:eastAsiaTheme="minorEastAsia" w:hAnsiTheme="minorHAnsi" w:cstheme="minorBidi"/>
          <w:sz w:val="22"/>
          <w:szCs w:val="22"/>
        </w:rPr>
      </w:pPr>
      <w:hyperlink w:anchor="_Toc354493278" w:history="1">
        <w:r w:rsidR="00A03BF1" w:rsidRPr="00BA4976">
          <w:rPr>
            <w:rStyle w:val="Hyperlink"/>
          </w:rPr>
          <w:t>A.1.2. Future Climate</w:t>
        </w:r>
        <w:r w:rsidR="00A03BF1">
          <w:rPr>
            <w:webHidden/>
          </w:rPr>
          <w:tab/>
        </w:r>
        <w:r w:rsidR="00A03BF1">
          <w:rPr>
            <w:webHidden/>
          </w:rPr>
          <w:fldChar w:fldCharType="begin"/>
        </w:r>
        <w:r w:rsidR="00A03BF1">
          <w:rPr>
            <w:webHidden/>
          </w:rPr>
          <w:instrText xml:space="preserve"> PAGEREF _Toc354493278 \h </w:instrText>
        </w:r>
        <w:r w:rsidR="00A03BF1">
          <w:rPr>
            <w:webHidden/>
          </w:rPr>
        </w:r>
        <w:r w:rsidR="00A03BF1">
          <w:rPr>
            <w:webHidden/>
          </w:rPr>
          <w:fldChar w:fldCharType="separate"/>
        </w:r>
        <w:r w:rsidR="00413858">
          <w:rPr>
            <w:webHidden/>
          </w:rPr>
          <w:t>55</w:t>
        </w:r>
        <w:r w:rsidR="00A03BF1">
          <w:rPr>
            <w:webHidden/>
          </w:rPr>
          <w:fldChar w:fldCharType="end"/>
        </w:r>
      </w:hyperlink>
    </w:p>
    <w:p w:rsidR="00A03BF1" w:rsidRDefault="007F11CF" w:rsidP="000067F7">
      <w:pPr>
        <w:pStyle w:val="TOC4"/>
        <w:rPr>
          <w:rFonts w:asciiTheme="minorHAnsi" w:eastAsiaTheme="minorEastAsia" w:hAnsiTheme="minorHAnsi" w:cstheme="minorBidi"/>
          <w:sz w:val="22"/>
          <w:szCs w:val="22"/>
        </w:rPr>
      </w:pPr>
      <w:hyperlink w:anchor="_Toc354493279" w:history="1">
        <w:r w:rsidR="00A03BF1" w:rsidRPr="00BA4976">
          <w:rPr>
            <w:rStyle w:val="Hyperlink"/>
          </w:rPr>
          <w:t>A.1.2.1. Data sources</w:t>
        </w:r>
        <w:r w:rsidR="00A03BF1">
          <w:rPr>
            <w:webHidden/>
          </w:rPr>
          <w:tab/>
        </w:r>
        <w:r w:rsidR="00A03BF1">
          <w:rPr>
            <w:webHidden/>
          </w:rPr>
          <w:fldChar w:fldCharType="begin"/>
        </w:r>
        <w:r w:rsidR="00A03BF1">
          <w:rPr>
            <w:webHidden/>
          </w:rPr>
          <w:instrText xml:space="preserve"> PAGEREF _Toc354493279 \h </w:instrText>
        </w:r>
        <w:r w:rsidR="00A03BF1">
          <w:rPr>
            <w:webHidden/>
          </w:rPr>
        </w:r>
        <w:r w:rsidR="00A03BF1">
          <w:rPr>
            <w:webHidden/>
          </w:rPr>
          <w:fldChar w:fldCharType="separate"/>
        </w:r>
        <w:r w:rsidR="00413858">
          <w:rPr>
            <w:webHidden/>
          </w:rPr>
          <w:t>55</w:t>
        </w:r>
        <w:r w:rsidR="00A03BF1">
          <w:rPr>
            <w:webHidden/>
          </w:rPr>
          <w:fldChar w:fldCharType="end"/>
        </w:r>
      </w:hyperlink>
    </w:p>
    <w:p w:rsidR="00A03BF1" w:rsidRDefault="007F11CF" w:rsidP="000067F7">
      <w:pPr>
        <w:pStyle w:val="TOC2"/>
        <w:rPr>
          <w:rFonts w:asciiTheme="minorHAnsi" w:eastAsiaTheme="minorEastAsia" w:hAnsiTheme="minorHAnsi" w:cstheme="minorBidi"/>
          <w:sz w:val="22"/>
          <w:szCs w:val="22"/>
        </w:rPr>
      </w:pPr>
      <w:hyperlink w:anchor="_Toc354493280" w:history="1">
        <w:r w:rsidR="00A03BF1" w:rsidRPr="00BA4976">
          <w:rPr>
            <w:rStyle w:val="Hyperlink"/>
          </w:rPr>
          <w:t>A.2. Results</w:t>
        </w:r>
        <w:r w:rsidR="00A03BF1">
          <w:rPr>
            <w:webHidden/>
          </w:rPr>
          <w:tab/>
        </w:r>
        <w:r w:rsidR="00A03BF1">
          <w:rPr>
            <w:webHidden/>
          </w:rPr>
          <w:fldChar w:fldCharType="begin"/>
        </w:r>
        <w:r w:rsidR="00A03BF1">
          <w:rPr>
            <w:webHidden/>
          </w:rPr>
          <w:instrText xml:space="preserve"> PAGEREF _Toc354493280 \h </w:instrText>
        </w:r>
        <w:r w:rsidR="00A03BF1">
          <w:rPr>
            <w:webHidden/>
          </w:rPr>
        </w:r>
        <w:r w:rsidR="00A03BF1">
          <w:rPr>
            <w:webHidden/>
          </w:rPr>
          <w:fldChar w:fldCharType="separate"/>
        </w:r>
        <w:r w:rsidR="00413858">
          <w:rPr>
            <w:webHidden/>
          </w:rPr>
          <w:t>56</w:t>
        </w:r>
        <w:r w:rsidR="00A03BF1">
          <w:rPr>
            <w:webHidden/>
          </w:rPr>
          <w:fldChar w:fldCharType="end"/>
        </w:r>
      </w:hyperlink>
    </w:p>
    <w:p w:rsidR="00A03BF1" w:rsidRDefault="007F11CF" w:rsidP="000067F7">
      <w:pPr>
        <w:pStyle w:val="TOC3"/>
        <w:rPr>
          <w:rFonts w:asciiTheme="minorHAnsi" w:eastAsiaTheme="minorEastAsia" w:hAnsiTheme="minorHAnsi" w:cstheme="minorBidi"/>
          <w:sz w:val="22"/>
          <w:szCs w:val="22"/>
        </w:rPr>
      </w:pPr>
      <w:hyperlink w:anchor="_Toc354493281" w:history="1">
        <w:r w:rsidR="00A03BF1" w:rsidRPr="00BA4976">
          <w:rPr>
            <w:rStyle w:val="Hyperlink"/>
          </w:rPr>
          <w:t>A.2.1. Current Climate</w:t>
        </w:r>
        <w:r w:rsidR="00A03BF1">
          <w:rPr>
            <w:webHidden/>
          </w:rPr>
          <w:tab/>
        </w:r>
        <w:r w:rsidR="00A03BF1">
          <w:rPr>
            <w:webHidden/>
          </w:rPr>
          <w:fldChar w:fldCharType="begin"/>
        </w:r>
        <w:r w:rsidR="00A03BF1">
          <w:rPr>
            <w:webHidden/>
          </w:rPr>
          <w:instrText xml:space="preserve"> PAGEREF _Toc354493281 \h </w:instrText>
        </w:r>
        <w:r w:rsidR="00A03BF1">
          <w:rPr>
            <w:webHidden/>
          </w:rPr>
        </w:r>
        <w:r w:rsidR="00A03BF1">
          <w:rPr>
            <w:webHidden/>
          </w:rPr>
          <w:fldChar w:fldCharType="separate"/>
        </w:r>
        <w:r w:rsidR="00413858">
          <w:rPr>
            <w:webHidden/>
          </w:rPr>
          <w:t>56</w:t>
        </w:r>
        <w:r w:rsidR="00A03BF1">
          <w:rPr>
            <w:webHidden/>
          </w:rPr>
          <w:fldChar w:fldCharType="end"/>
        </w:r>
      </w:hyperlink>
    </w:p>
    <w:p w:rsidR="00A03BF1" w:rsidRDefault="007F11CF" w:rsidP="000067F7">
      <w:pPr>
        <w:pStyle w:val="TOC3"/>
        <w:rPr>
          <w:rFonts w:asciiTheme="minorHAnsi" w:eastAsiaTheme="minorEastAsia" w:hAnsiTheme="minorHAnsi" w:cstheme="minorBidi"/>
          <w:sz w:val="22"/>
          <w:szCs w:val="22"/>
        </w:rPr>
      </w:pPr>
      <w:hyperlink w:anchor="_Toc354493282" w:history="1">
        <w:r w:rsidR="00A03BF1" w:rsidRPr="00BA4976">
          <w:rPr>
            <w:rStyle w:val="Hyperlink"/>
          </w:rPr>
          <w:t>A.2.2. Future Climate</w:t>
        </w:r>
        <w:r w:rsidR="00A03BF1">
          <w:rPr>
            <w:webHidden/>
          </w:rPr>
          <w:tab/>
        </w:r>
        <w:r w:rsidR="00A03BF1">
          <w:rPr>
            <w:webHidden/>
          </w:rPr>
          <w:fldChar w:fldCharType="begin"/>
        </w:r>
        <w:r w:rsidR="00A03BF1">
          <w:rPr>
            <w:webHidden/>
          </w:rPr>
          <w:instrText xml:space="preserve"> PAGEREF _Toc354493282 \h </w:instrText>
        </w:r>
        <w:r w:rsidR="00A03BF1">
          <w:rPr>
            <w:webHidden/>
          </w:rPr>
        </w:r>
        <w:r w:rsidR="00A03BF1">
          <w:rPr>
            <w:webHidden/>
          </w:rPr>
          <w:fldChar w:fldCharType="separate"/>
        </w:r>
        <w:r w:rsidR="00413858">
          <w:rPr>
            <w:webHidden/>
          </w:rPr>
          <w:t>58</w:t>
        </w:r>
        <w:r w:rsidR="00A03BF1">
          <w:rPr>
            <w:webHidden/>
          </w:rPr>
          <w:fldChar w:fldCharType="end"/>
        </w:r>
      </w:hyperlink>
    </w:p>
    <w:p w:rsidR="00A03BF1" w:rsidRDefault="007F11CF" w:rsidP="000067F7">
      <w:pPr>
        <w:pStyle w:val="TOC4"/>
        <w:rPr>
          <w:rFonts w:asciiTheme="minorHAnsi" w:eastAsiaTheme="minorEastAsia" w:hAnsiTheme="minorHAnsi" w:cstheme="minorBidi"/>
          <w:sz w:val="22"/>
          <w:szCs w:val="22"/>
        </w:rPr>
      </w:pPr>
      <w:hyperlink w:anchor="_Toc354493283" w:history="1">
        <w:r w:rsidR="00A03BF1" w:rsidRPr="00BA4976">
          <w:rPr>
            <w:rStyle w:val="Hyperlink"/>
          </w:rPr>
          <w:t>A.2.2.1. Regional wind speed</w:t>
        </w:r>
        <w:r w:rsidR="00A03BF1">
          <w:rPr>
            <w:webHidden/>
          </w:rPr>
          <w:tab/>
        </w:r>
        <w:r w:rsidR="00A03BF1">
          <w:rPr>
            <w:webHidden/>
          </w:rPr>
          <w:fldChar w:fldCharType="begin"/>
        </w:r>
        <w:r w:rsidR="00A03BF1">
          <w:rPr>
            <w:webHidden/>
          </w:rPr>
          <w:instrText xml:space="preserve"> PAGEREF _Toc354493283 \h </w:instrText>
        </w:r>
        <w:r w:rsidR="00A03BF1">
          <w:rPr>
            <w:webHidden/>
          </w:rPr>
        </w:r>
        <w:r w:rsidR="00A03BF1">
          <w:rPr>
            <w:webHidden/>
          </w:rPr>
          <w:fldChar w:fldCharType="separate"/>
        </w:r>
        <w:r w:rsidR="00413858">
          <w:rPr>
            <w:webHidden/>
          </w:rPr>
          <w:t>58</w:t>
        </w:r>
        <w:r w:rsidR="00A03BF1">
          <w:rPr>
            <w:webHidden/>
          </w:rPr>
          <w:fldChar w:fldCharType="end"/>
        </w:r>
      </w:hyperlink>
    </w:p>
    <w:p w:rsidR="00A03BF1" w:rsidRDefault="007F11CF" w:rsidP="000067F7">
      <w:pPr>
        <w:pStyle w:val="TOC4"/>
        <w:rPr>
          <w:rFonts w:asciiTheme="minorHAnsi" w:eastAsiaTheme="minorEastAsia" w:hAnsiTheme="minorHAnsi" w:cstheme="minorBidi"/>
          <w:sz w:val="22"/>
          <w:szCs w:val="22"/>
        </w:rPr>
      </w:pPr>
      <w:hyperlink w:anchor="_Toc354493284" w:history="1">
        <w:r w:rsidR="00A03BF1" w:rsidRPr="00BA4976">
          <w:rPr>
            <w:rStyle w:val="Hyperlink"/>
          </w:rPr>
          <w:t>A.2.2.2. Local wind speed</w:t>
        </w:r>
        <w:r w:rsidR="00A03BF1">
          <w:rPr>
            <w:webHidden/>
          </w:rPr>
          <w:tab/>
        </w:r>
        <w:r w:rsidR="00A03BF1">
          <w:rPr>
            <w:webHidden/>
          </w:rPr>
          <w:fldChar w:fldCharType="begin"/>
        </w:r>
        <w:r w:rsidR="00A03BF1">
          <w:rPr>
            <w:webHidden/>
          </w:rPr>
          <w:instrText xml:space="preserve"> PAGEREF _Toc354493284 \h </w:instrText>
        </w:r>
        <w:r w:rsidR="00A03BF1">
          <w:rPr>
            <w:webHidden/>
          </w:rPr>
        </w:r>
        <w:r w:rsidR="00A03BF1">
          <w:rPr>
            <w:webHidden/>
          </w:rPr>
          <w:fldChar w:fldCharType="separate"/>
        </w:r>
        <w:r w:rsidR="00413858">
          <w:rPr>
            <w:webHidden/>
          </w:rPr>
          <w:t>58</w:t>
        </w:r>
        <w:r w:rsidR="00A03BF1">
          <w:rPr>
            <w:webHidden/>
          </w:rPr>
          <w:fldChar w:fldCharType="end"/>
        </w:r>
      </w:hyperlink>
    </w:p>
    <w:p w:rsidR="00A03BF1" w:rsidRDefault="007F11CF" w:rsidP="000067F7">
      <w:pPr>
        <w:pStyle w:val="TOC2"/>
        <w:rPr>
          <w:rFonts w:asciiTheme="minorHAnsi" w:eastAsiaTheme="minorEastAsia" w:hAnsiTheme="minorHAnsi" w:cstheme="minorBidi"/>
          <w:sz w:val="22"/>
          <w:szCs w:val="22"/>
        </w:rPr>
      </w:pPr>
      <w:hyperlink w:anchor="_Toc354493285" w:history="1">
        <w:r w:rsidR="00A03BF1" w:rsidRPr="00BA4976">
          <w:rPr>
            <w:rStyle w:val="Hyperlink"/>
          </w:rPr>
          <w:t>A.3. Discussion</w:t>
        </w:r>
        <w:r w:rsidR="00A03BF1">
          <w:rPr>
            <w:webHidden/>
          </w:rPr>
          <w:tab/>
        </w:r>
        <w:r w:rsidR="00A03BF1">
          <w:rPr>
            <w:webHidden/>
          </w:rPr>
          <w:fldChar w:fldCharType="begin"/>
        </w:r>
        <w:r w:rsidR="00A03BF1">
          <w:rPr>
            <w:webHidden/>
          </w:rPr>
          <w:instrText xml:space="preserve"> PAGEREF _Toc354493285 \h </w:instrText>
        </w:r>
        <w:r w:rsidR="00A03BF1">
          <w:rPr>
            <w:webHidden/>
          </w:rPr>
        </w:r>
        <w:r w:rsidR="00A03BF1">
          <w:rPr>
            <w:webHidden/>
          </w:rPr>
          <w:fldChar w:fldCharType="separate"/>
        </w:r>
        <w:r w:rsidR="00413858">
          <w:rPr>
            <w:webHidden/>
          </w:rPr>
          <w:t>61</w:t>
        </w:r>
        <w:r w:rsidR="00A03BF1">
          <w:rPr>
            <w:webHidden/>
          </w:rPr>
          <w:fldChar w:fldCharType="end"/>
        </w:r>
      </w:hyperlink>
    </w:p>
    <w:p w:rsidR="00A03BF1" w:rsidRDefault="007F11CF" w:rsidP="000067F7">
      <w:pPr>
        <w:pStyle w:val="TOC3"/>
        <w:rPr>
          <w:rFonts w:asciiTheme="minorHAnsi" w:eastAsiaTheme="minorEastAsia" w:hAnsiTheme="minorHAnsi" w:cstheme="minorBidi"/>
          <w:sz w:val="22"/>
          <w:szCs w:val="22"/>
        </w:rPr>
      </w:pPr>
      <w:hyperlink w:anchor="_Toc354493286" w:history="1">
        <w:r w:rsidR="00A03BF1" w:rsidRPr="00BA4976">
          <w:rPr>
            <w:rStyle w:val="Hyperlink"/>
          </w:rPr>
          <w:t>A.3.1. Current Climate</w:t>
        </w:r>
        <w:r w:rsidR="00A03BF1">
          <w:rPr>
            <w:webHidden/>
          </w:rPr>
          <w:tab/>
        </w:r>
        <w:r w:rsidR="00A03BF1">
          <w:rPr>
            <w:webHidden/>
          </w:rPr>
          <w:fldChar w:fldCharType="begin"/>
        </w:r>
        <w:r w:rsidR="00A03BF1">
          <w:rPr>
            <w:webHidden/>
          </w:rPr>
          <w:instrText xml:space="preserve"> PAGEREF _Toc354493286 \h </w:instrText>
        </w:r>
        <w:r w:rsidR="00A03BF1">
          <w:rPr>
            <w:webHidden/>
          </w:rPr>
        </w:r>
        <w:r w:rsidR="00A03BF1">
          <w:rPr>
            <w:webHidden/>
          </w:rPr>
          <w:fldChar w:fldCharType="separate"/>
        </w:r>
        <w:r w:rsidR="00413858">
          <w:rPr>
            <w:webHidden/>
          </w:rPr>
          <w:t>61</w:t>
        </w:r>
        <w:r w:rsidR="00A03BF1">
          <w:rPr>
            <w:webHidden/>
          </w:rPr>
          <w:fldChar w:fldCharType="end"/>
        </w:r>
      </w:hyperlink>
    </w:p>
    <w:p w:rsidR="00A03BF1" w:rsidRDefault="007F11CF" w:rsidP="000067F7">
      <w:pPr>
        <w:pStyle w:val="TOC3"/>
        <w:rPr>
          <w:rFonts w:asciiTheme="minorHAnsi" w:eastAsiaTheme="minorEastAsia" w:hAnsiTheme="minorHAnsi" w:cstheme="minorBidi"/>
          <w:sz w:val="22"/>
          <w:szCs w:val="22"/>
        </w:rPr>
      </w:pPr>
      <w:hyperlink w:anchor="_Toc354493287" w:history="1">
        <w:r w:rsidR="00A03BF1" w:rsidRPr="00BA4976">
          <w:rPr>
            <w:rStyle w:val="Hyperlink"/>
          </w:rPr>
          <w:t>A.3.2. Future Climate</w:t>
        </w:r>
        <w:r w:rsidR="00A03BF1">
          <w:rPr>
            <w:webHidden/>
          </w:rPr>
          <w:tab/>
        </w:r>
        <w:r w:rsidR="00A03BF1">
          <w:rPr>
            <w:webHidden/>
          </w:rPr>
          <w:fldChar w:fldCharType="begin"/>
        </w:r>
        <w:r w:rsidR="00A03BF1">
          <w:rPr>
            <w:webHidden/>
          </w:rPr>
          <w:instrText xml:space="preserve"> PAGEREF _Toc354493287 \h </w:instrText>
        </w:r>
        <w:r w:rsidR="00A03BF1">
          <w:rPr>
            <w:webHidden/>
          </w:rPr>
        </w:r>
        <w:r w:rsidR="00A03BF1">
          <w:rPr>
            <w:webHidden/>
          </w:rPr>
          <w:fldChar w:fldCharType="separate"/>
        </w:r>
        <w:r w:rsidR="00413858">
          <w:rPr>
            <w:webHidden/>
          </w:rPr>
          <w:t>64</w:t>
        </w:r>
        <w:r w:rsidR="00A03BF1">
          <w:rPr>
            <w:webHidden/>
          </w:rPr>
          <w:fldChar w:fldCharType="end"/>
        </w:r>
      </w:hyperlink>
    </w:p>
    <w:p w:rsidR="00A03BF1" w:rsidRDefault="007F11CF" w:rsidP="000067F7">
      <w:pPr>
        <w:pStyle w:val="TOC3"/>
        <w:rPr>
          <w:rFonts w:asciiTheme="minorHAnsi" w:eastAsiaTheme="minorEastAsia" w:hAnsiTheme="minorHAnsi" w:cstheme="minorBidi"/>
          <w:sz w:val="22"/>
          <w:szCs w:val="22"/>
        </w:rPr>
      </w:pPr>
      <w:hyperlink w:anchor="_Toc354493288" w:history="1">
        <w:r w:rsidR="00A03BF1" w:rsidRPr="00BA4976">
          <w:rPr>
            <w:rStyle w:val="Hyperlink"/>
          </w:rPr>
          <w:t>A.3.3. Limitations</w:t>
        </w:r>
        <w:r w:rsidR="00A03BF1">
          <w:rPr>
            <w:webHidden/>
          </w:rPr>
          <w:tab/>
        </w:r>
        <w:r w:rsidR="00A03BF1">
          <w:rPr>
            <w:webHidden/>
          </w:rPr>
          <w:fldChar w:fldCharType="begin"/>
        </w:r>
        <w:r w:rsidR="00A03BF1">
          <w:rPr>
            <w:webHidden/>
          </w:rPr>
          <w:instrText xml:space="preserve"> PAGEREF _Toc354493288 \h </w:instrText>
        </w:r>
        <w:r w:rsidR="00A03BF1">
          <w:rPr>
            <w:webHidden/>
          </w:rPr>
        </w:r>
        <w:r w:rsidR="00A03BF1">
          <w:rPr>
            <w:webHidden/>
          </w:rPr>
          <w:fldChar w:fldCharType="separate"/>
        </w:r>
        <w:r w:rsidR="00413858">
          <w:rPr>
            <w:webHidden/>
          </w:rPr>
          <w:t>68</w:t>
        </w:r>
        <w:r w:rsidR="00A03BF1">
          <w:rPr>
            <w:webHidden/>
          </w:rPr>
          <w:fldChar w:fldCharType="end"/>
        </w:r>
      </w:hyperlink>
    </w:p>
    <w:p w:rsidR="008237BB" w:rsidRPr="0012673C" w:rsidRDefault="00B02ECE" w:rsidP="00462463">
      <w:pPr>
        <w:pStyle w:val="HeadingApxnonumbers"/>
      </w:pPr>
      <w:r>
        <w:fldChar w:fldCharType="end"/>
      </w:r>
      <w:bookmarkStart w:id="1734" w:name="_Toc350344024"/>
      <w:bookmarkStart w:id="1735" w:name="_Toc354402005"/>
      <w:bookmarkStart w:id="1736" w:name="_Toc354404062"/>
      <w:bookmarkStart w:id="1737" w:name="_Toc354476502"/>
      <w:bookmarkStart w:id="1738" w:name="_Toc354492871"/>
      <w:bookmarkStart w:id="1739" w:name="_Toc354492978"/>
      <w:bookmarkStart w:id="1740" w:name="_Toc354493108"/>
      <w:bookmarkStart w:id="1741" w:name="_Toc354493269"/>
      <w:bookmarkStart w:id="1742" w:name="_Toc354493737"/>
      <w:bookmarkStart w:id="1743" w:name="_Toc354494272"/>
      <w:bookmarkStart w:id="1744" w:name="_Toc354494490"/>
      <w:bookmarkStart w:id="1745" w:name="_Toc354494701"/>
      <w:bookmarkStart w:id="1746" w:name="_Toc354494995"/>
      <w:bookmarkStart w:id="1747" w:name="_Toc354497877"/>
      <w:bookmarkStart w:id="1748" w:name="_Toc354561290"/>
      <w:bookmarkStart w:id="1749" w:name="_Toc355164188"/>
      <w:bookmarkStart w:id="1750" w:name="_Toc355249630"/>
      <w:r w:rsidR="008237BB" w:rsidRPr="0012673C">
        <w:t>Figures</w:t>
      </w:r>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p>
    <w:p w:rsidR="00DF77DB" w:rsidRDefault="00414D8E">
      <w:pPr>
        <w:pStyle w:val="TableofFigures"/>
        <w:rPr>
          <w:rFonts w:asciiTheme="minorHAnsi" w:eastAsiaTheme="minorEastAsia" w:hAnsiTheme="minorHAnsi" w:cstheme="minorBidi"/>
          <w:sz w:val="22"/>
          <w:szCs w:val="22"/>
        </w:rPr>
      </w:pPr>
      <w:r>
        <w:fldChar w:fldCharType="begin"/>
      </w:r>
      <w:r>
        <w:instrText xml:space="preserve"> TOC \h \z \c "Appendix Figure" </w:instrText>
      </w:r>
      <w:r>
        <w:fldChar w:fldCharType="separate"/>
      </w:r>
      <w:hyperlink w:anchor="_Toc354561173" w:history="1">
        <w:r w:rsidR="00DF77DB" w:rsidRPr="00EF5840">
          <w:rPr>
            <w:rStyle w:val="Hyperlink"/>
          </w:rPr>
          <w:t>Appendix Figure A</w:t>
        </w:r>
        <w:r w:rsidR="00162079">
          <w:rPr>
            <w:rStyle w:val="Hyperlink"/>
          </w:rPr>
          <w:t>.</w:t>
        </w:r>
        <w:r w:rsidR="00DF77DB" w:rsidRPr="00EF5840">
          <w:rPr>
            <w:rStyle w:val="Hyperlink"/>
          </w:rPr>
          <w:t>1.ARI regional 3-second gust wind speeds for Rockhampton Airport (23.375°S, 150.47°E). The corresponding ARI wind speeds from wind standard AS/NZS 1170.2 (2011) are shown for reference (‘Region C’).</w:t>
        </w:r>
        <w:r w:rsidR="00DF77DB">
          <w:rPr>
            <w:webHidden/>
          </w:rPr>
          <w:tab/>
        </w:r>
        <w:r w:rsidR="00DF77DB">
          <w:rPr>
            <w:webHidden/>
          </w:rPr>
          <w:fldChar w:fldCharType="begin"/>
        </w:r>
        <w:r w:rsidR="00DF77DB">
          <w:rPr>
            <w:webHidden/>
          </w:rPr>
          <w:instrText xml:space="preserve"> PAGEREF _Toc354561173 \h </w:instrText>
        </w:r>
        <w:r w:rsidR="00DF77DB">
          <w:rPr>
            <w:webHidden/>
          </w:rPr>
        </w:r>
        <w:r w:rsidR="00DF77DB">
          <w:rPr>
            <w:webHidden/>
          </w:rPr>
          <w:fldChar w:fldCharType="separate"/>
        </w:r>
        <w:r w:rsidR="00413858">
          <w:rPr>
            <w:webHidden/>
          </w:rPr>
          <w:t>53</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174" w:history="1">
        <w:r w:rsidR="00DF77DB" w:rsidRPr="00EF5840">
          <w:rPr>
            <w:rStyle w:val="Hyperlink"/>
          </w:rPr>
          <w:t>Appendix Figure A</w:t>
        </w:r>
        <w:r w:rsidR="00162079">
          <w:rPr>
            <w:rStyle w:val="Hyperlink"/>
          </w:rPr>
          <w:t>.</w:t>
        </w:r>
        <w:r w:rsidR="00DF77DB" w:rsidRPr="00EF5840">
          <w:rPr>
            <w:rStyle w:val="Hyperlink"/>
          </w:rPr>
          <w:t>2. Annual exceedance probability 3-second gust wind speeds for Rockhampton Airport (23.375°S,150.47°E). As for Appendix Figure A.1, the corresponding exceedance probabilities for Region C in wind standard AS/NZS 1170.2 (2011) are shown.</w:t>
        </w:r>
        <w:r w:rsidR="00DF77DB">
          <w:rPr>
            <w:webHidden/>
          </w:rPr>
          <w:tab/>
        </w:r>
        <w:r w:rsidR="00DF77DB">
          <w:rPr>
            <w:webHidden/>
          </w:rPr>
          <w:fldChar w:fldCharType="begin"/>
        </w:r>
        <w:r w:rsidR="00DF77DB">
          <w:rPr>
            <w:webHidden/>
          </w:rPr>
          <w:instrText xml:space="preserve"> PAGEREF _Toc354561174 \h </w:instrText>
        </w:r>
        <w:r w:rsidR="00DF77DB">
          <w:rPr>
            <w:webHidden/>
          </w:rPr>
        </w:r>
        <w:r w:rsidR="00DF77DB">
          <w:rPr>
            <w:webHidden/>
          </w:rPr>
          <w:fldChar w:fldCharType="separate"/>
        </w:r>
        <w:r w:rsidR="00413858">
          <w:rPr>
            <w:webHidden/>
          </w:rPr>
          <w:t>53</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175" w:history="1">
        <w:r w:rsidR="00DF77DB" w:rsidRPr="00EF5840">
          <w:rPr>
            <w:rStyle w:val="Hyperlink"/>
          </w:rPr>
          <w:t>Appendix Figure A</w:t>
        </w:r>
        <w:r w:rsidR="00162079">
          <w:rPr>
            <w:rStyle w:val="Hyperlink"/>
          </w:rPr>
          <w:t>.</w:t>
        </w:r>
        <w:r w:rsidR="00DF77DB" w:rsidRPr="00EF5840">
          <w:rPr>
            <w:rStyle w:val="Hyperlink"/>
          </w:rPr>
          <w:t>3. 500-year ARI (0.2% annual exceedance probability) regional 3-second gust wind speed(symbolised in TC wind speed categories) map for the central Queensland region. Local effects (e.g. topography, land cover, etc) have not yet been incorporated.</w:t>
        </w:r>
        <w:r w:rsidR="00DF77DB">
          <w:rPr>
            <w:webHidden/>
          </w:rPr>
          <w:tab/>
        </w:r>
        <w:r w:rsidR="00DF77DB">
          <w:rPr>
            <w:webHidden/>
          </w:rPr>
          <w:fldChar w:fldCharType="begin"/>
        </w:r>
        <w:r w:rsidR="00DF77DB">
          <w:rPr>
            <w:webHidden/>
          </w:rPr>
          <w:instrText xml:space="preserve"> PAGEREF _Toc354561175 \h </w:instrText>
        </w:r>
        <w:r w:rsidR="00DF77DB">
          <w:rPr>
            <w:webHidden/>
          </w:rPr>
        </w:r>
        <w:r w:rsidR="00DF77DB">
          <w:rPr>
            <w:webHidden/>
          </w:rPr>
          <w:fldChar w:fldCharType="separate"/>
        </w:r>
        <w:r w:rsidR="00413858">
          <w:rPr>
            <w:webHidden/>
          </w:rPr>
          <w:t>54</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176" w:history="1">
        <w:r w:rsidR="00DF77DB" w:rsidRPr="00EF5840">
          <w:rPr>
            <w:rStyle w:val="Hyperlink"/>
          </w:rPr>
          <w:t>Appendix Figure A</w:t>
        </w:r>
        <w:r w:rsidR="00162079">
          <w:rPr>
            <w:rStyle w:val="Hyperlink"/>
          </w:rPr>
          <w:t>.</w:t>
        </w:r>
        <w:r w:rsidR="00DF77DB" w:rsidRPr="00EF5840">
          <w:rPr>
            <w:rStyle w:val="Hyperlink"/>
          </w:rPr>
          <w:t>4. 50 year ARI TC wind hazard</w:t>
        </w:r>
        <w:r w:rsidR="00DF77DB">
          <w:rPr>
            <w:webHidden/>
          </w:rPr>
          <w:tab/>
        </w:r>
        <w:r w:rsidR="00DF77DB">
          <w:rPr>
            <w:webHidden/>
          </w:rPr>
          <w:fldChar w:fldCharType="begin"/>
        </w:r>
        <w:r w:rsidR="00DF77DB">
          <w:rPr>
            <w:webHidden/>
          </w:rPr>
          <w:instrText xml:space="preserve"> PAGEREF _Toc354561176 \h </w:instrText>
        </w:r>
        <w:r w:rsidR="00DF77DB">
          <w:rPr>
            <w:webHidden/>
          </w:rPr>
        </w:r>
        <w:r w:rsidR="00DF77DB">
          <w:rPr>
            <w:webHidden/>
          </w:rPr>
          <w:fldChar w:fldCharType="separate"/>
        </w:r>
        <w:r w:rsidR="00413858">
          <w:rPr>
            <w:webHidden/>
          </w:rPr>
          <w:t>56</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177" w:history="1">
        <w:r w:rsidR="00DF77DB" w:rsidRPr="00EF5840">
          <w:rPr>
            <w:rStyle w:val="Hyperlink"/>
          </w:rPr>
          <w:t>Appendix Figure A</w:t>
        </w:r>
        <w:r w:rsidR="00162079">
          <w:rPr>
            <w:rStyle w:val="Hyperlink"/>
          </w:rPr>
          <w:t>.</w:t>
        </w:r>
        <w:r w:rsidR="00DF77DB" w:rsidRPr="00EF5840">
          <w:rPr>
            <w:rStyle w:val="Hyperlink"/>
          </w:rPr>
          <w:t>5. 100 year ARI TC wind hazard.</w:t>
        </w:r>
        <w:r w:rsidR="00DF77DB">
          <w:rPr>
            <w:webHidden/>
          </w:rPr>
          <w:tab/>
        </w:r>
        <w:r w:rsidR="00DF77DB">
          <w:rPr>
            <w:webHidden/>
          </w:rPr>
          <w:fldChar w:fldCharType="begin"/>
        </w:r>
        <w:r w:rsidR="00DF77DB">
          <w:rPr>
            <w:webHidden/>
          </w:rPr>
          <w:instrText xml:space="preserve"> PAGEREF _Toc354561177 \h </w:instrText>
        </w:r>
        <w:r w:rsidR="00DF77DB">
          <w:rPr>
            <w:webHidden/>
          </w:rPr>
        </w:r>
        <w:r w:rsidR="00DF77DB">
          <w:rPr>
            <w:webHidden/>
          </w:rPr>
          <w:fldChar w:fldCharType="separate"/>
        </w:r>
        <w:r w:rsidR="00413858">
          <w:rPr>
            <w:webHidden/>
          </w:rPr>
          <w:t>57</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178" w:history="1">
        <w:r w:rsidR="00DF77DB" w:rsidRPr="00EF5840">
          <w:rPr>
            <w:rStyle w:val="Hyperlink"/>
          </w:rPr>
          <w:t>Appendix Figure A</w:t>
        </w:r>
        <w:r w:rsidR="00162079">
          <w:rPr>
            <w:rStyle w:val="Hyperlink"/>
          </w:rPr>
          <w:t>.</w:t>
        </w:r>
        <w:r w:rsidR="00DF77DB" w:rsidRPr="00EF5840">
          <w:rPr>
            <w:rStyle w:val="Hyperlink"/>
          </w:rPr>
          <w:t>6. ARI wind speeds for Rockhampton. "BoM best-track” refers to wind speeds estimated from TCRM simulation using BoM best-track data as input. “Region C” refers to AS/NSZ 1170.2:2011 Wind Loading Region design wind speeds. Thin dashed lines indicate the 90th percentile range for each period.</w:t>
        </w:r>
        <w:r w:rsidR="00DF77DB">
          <w:rPr>
            <w:webHidden/>
          </w:rPr>
          <w:tab/>
        </w:r>
        <w:r w:rsidR="00DF77DB">
          <w:rPr>
            <w:webHidden/>
          </w:rPr>
          <w:fldChar w:fldCharType="begin"/>
        </w:r>
        <w:r w:rsidR="00DF77DB">
          <w:rPr>
            <w:webHidden/>
          </w:rPr>
          <w:instrText xml:space="preserve"> PAGEREF _Toc354561178 \h </w:instrText>
        </w:r>
        <w:r w:rsidR="00DF77DB">
          <w:rPr>
            <w:webHidden/>
          </w:rPr>
        </w:r>
        <w:r w:rsidR="00DF77DB">
          <w:rPr>
            <w:webHidden/>
          </w:rPr>
          <w:fldChar w:fldCharType="separate"/>
        </w:r>
        <w:r w:rsidR="00413858">
          <w:rPr>
            <w:webHidden/>
          </w:rPr>
          <w:t>58</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179" w:history="1">
        <w:r w:rsidR="00DF77DB" w:rsidRPr="00EF5840">
          <w:rPr>
            <w:rStyle w:val="Hyperlink"/>
          </w:rPr>
          <w:t>Appendix Figure A</w:t>
        </w:r>
        <w:r w:rsidR="00162079">
          <w:rPr>
            <w:rStyle w:val="Hyperlink"/>
          </w:rPr>
          <w:t>.</w:t>
        </w:r>
        <w:r w:rsidR="00DF77DB" w:rsidRPr="00EF5840">
          <w:rPr>
            <w:rStyle w:val="Hyperlink"/>
          </w:rPr>
          <w:t>7. 2055, 50 year ARI TC wind hazard.</w:t>
        </w:r>
        <w:r w:rsidR="00DF77DB">
          <w:rPr>
            <w:webHidden/>
          </w:rPr>
          <w:tab/>
        </w:r>
        <w:r w:rsidR="00DF77DB">
          <w:rPr>
            <w:webHidden/>
          </w:rPr>
          <w:fldChar w:fldCharType="begin"/>
        </w:r>
        <w:r w:rsidR="00DF77DB">
          <w:rPr>
            <w:webHidden/>
          </w:rPr>
          <w:instrText xml:space="preserve"> PAGEREF _Toc354561179 \h </w:instrText>
        </w:r>
        <w:r w:rsidR="00DF77DB">
          <w:rPr>
            <w:webHidden/>
          </w:rPr>
        </w:r>
        <w:r w:rsidR="00DF77DB">
          <w:rPr>
            <w:webHidden/>
          </w:rPr>
          <w:fldChar w:fldCharType="separate"/>
        </w:r>
        <w:r w:rsidR="00413858">
          <w:rPr>
            <w:webHidden/>
          </w:rPr>
          <w:t>59</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180" w:history="1">
        <w:r w:rsidR="00DF77DB" w:rsidRPr="00EF5840">
          <w:rPr>
            <w:rStyle w:val="Hyperlink"/>
          </w:rPr>
          <w:t>Appendix Figure A</w:t>
        </w:r>
        <w:r w:rsidR="00162079">
          <w:rPr>
            <w:rStyle w:val="Hyperlink"/>
          </w:rPr>
          <w:t>.</w:t>
        </w:r>
        <w:r w:rsidR="00DF77DB" w:rsidRPr="00EF5840">
          <w:rPr>
            <w:rStyle w:val="Hyperlink"/>
          </w:rPr>
          <w:t>8. 2055, 100 year ARI TC wind hazard.</w:t>
        </w:r>
        <w:r w:rsidR="00DF77DB">
          <w:rPr>
            <w:webHidden/>
          </w:rPr>
          <w:tab/>
        </w:r>
        <w:r w:rsidR="00DF77DB">
          <w:rPr>
            <w:webHidden/>
          </w:rPr>
          <w:fldChar w:fldCharType="begin"/>
        </w:r>
        <w:r w:rsidR="00DF77DB">
          <w:rPr>
            <w:webHidden/>
          </w:rPr>
          <w:instrText xml:space="preserve"> PAGEREF _Toc354561180 \h </w:instrText>
        </w:r>
        <w:r w:rsidR="00DF77DB">
          <w:rPr>
            <w:webHidden/>
          </w:rPr>
        </w:r>
        <w:r w:rsidR="00DF77DB">
          <w:rPr>
            <w:webHidden/>
          </w:rPr>
          <w:fldChar w:fldCharType="separate"/>
        </w:r>
        <w:r w:rsidR="00413858">
          <w:rPr>
            <w:webHidden/>
          </w:rPr>
          <w:t>59</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181" w:history="1">
        <w:r w:rsidR="00DF77DB" w:rsidRPr="00EF5840">
          <w:rPr>
            <w:rStyle w:val="Hyperlink"/>
          </w:rPr>
          <w:t>Appendix Figure A</w:t>
        </w:r>
        <w:r w:rsidR="00162079">
          <w:rPr>
            <w:rStyle w:val="Hyperlink"/>
          </w:rPr>
          <w:t>.</w:t>
        </w:r>
        <w:r w:rsidR="00DF77DB" w:rsidRPr="00EF5840">
          <w:rPr>
            <w:rStyle w:val="Hyperlink"/>
          </w:rPr>
          <w:t>9. 2090 50 year ARI TC wind hazard.</w:t>
        </w:r>
        <w:r w:rsidR="00DF77DB">
          <w:rPr>
            <w:webHidden/>
          </w:rPr>
          <w:tab/>
        </w:r>
        <w:r w:rsidR="00DF77DB">
          <w:rPr>
            <w:webHidden/>
          </w:rPr>
          <w:fldChar w:fldCharType="begin"/>
        </w:r>
        <w:r w:rsidR="00DF77DB">
          <w:rPr>
            <w:webHidden/>
          </w:rPr>
          <w:instrText xml:space="preserve"> PAGEREF _Toc354561181 \h </w:instrText>
        </w:r>
        <w:r w:rsidR="00DF77DB">
          <w:rPr>
            <w:webHidden/>
          </w:rPr>
        </w:r>
        <w:r w:rsidR="00DF77DB">
          <w:rPr>
            <w:webHidden/>
          </w:rPr>
          <w:fldChar w:fldCharType="separate"/>
        </w:r>
        <w:r w:rsidR="00413858">
          <w:rPr>
            <w:webHidden/>
          </w:rPr>
          <w:t>60</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182" w:history="1">
        <w:r w:rsidR="00DF77DB" w:rsidRPr="00EF5840">
          <w:rPr>
            <w:rStyle w:val="Hyperlink"/>
          </w:rPr>
          <w:t>Appendix Figure A</w:t>
        </w:r>
        <w:r w:rsidR="00162079">
          <w:rPr>
            <w:rStyle w:val="Hyperlink"/>
          </w:rPr>
          <w:t>.</w:t>
        </w:r>
        <w:r w:rsidR="00DF77DB" w:rsidRPr="00EF5840">
          <w:rPr>
            <w:rStyle w:val="Hyperlink"/>
          </w:rPr>
          <w:t>10. 2090, 100 year ARI TC wind hazard.</w:t>
        </w:r>
        <w:r w:rsidR="00DF77DB">
          <w:rPr>
            <w:webHidden/>
          </w:rPr>
          <w:tab/>
        </w:r>
        <w:r w:rsidR="00DF77DB">
          <w:rPr>
            <w:webHidden/>
          </w:rPr>
          <w:fldChar w:fldCharType="begin"/>
        </w:r>
        <w:r w:rsidR="00DF77DB">
          <w:rPr>
            <w:webHidden/>
          </w:rPr>
          <w:instrText xml:space="preserve"> PAGEREF _Toc354561182 \h </w:instrText>
        </w:r>
        <w:r w:rsidR="00DF77DB">
          <w:rPr>
            <w:webHidden/>
          </w:rPr>
        </w:r>
        <w:r w:rsidR="00DF77DB">
          <w:rPr>
            <w:webHidden/>
          </w:rPr>
          <w:fldChar w:fldCharType="separate"/>
        </w:r>
        <w:r w:rsidR="00413858">
          <w:rPr>
            <w:webHidden/>
          </w:rPr>
          <w:t>60</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183" w:history="1">
        <w:r w:rsidR="00DF77DB" w:rsidRPr="00EF5840">
          <w:rPr>
            <w:rStyle w:val="Hyperlink"/>
          </w:rPr>
          <w:t>Appendix Figure A</w:t>
        </w:r>
        <w:r w:rsidR="00162079">
          <w:rPr>
            <w:rStyle w:val="Hyperlink"/>
          </w:rPr>
          <w:t>.</w:t>
        </w:r>
        <w:r w:rsidR="00DF77DB" w:rsidRPr="00EF5840">
          <w:rPr>
            <w:rStyle w:val="Hyperlink"/>
          </w:rPr>
          <w:t>11. 500 year ARI wind hazard combining TC category 4 (split) and 5 wind hazard and combining the remaining wind hazard categories.</w:t>
        </w:r>
        <w:r w:rsidR="00DF77DB">
          <w:rPr>
            <w:webHidden/>
          </w:rPr>
          <w:tab/>
        </w:r>
        <w:r w:rsidR="00DF77DB">
          <w:rPr>
            <w:webHidden/>
          </w:rPr>
          <w:fldChar w:fldCharType="begin"/>
        </w:r>
        <w:r w:rsidR="00DF77DB">
          <w:rPr>
            <w:webHidden/>
          </w:rPr>
          <w:instrText xml:space="preserve"> PAGEREF _Toc354561183 \h </w:instrText>
        </w:r>
        <w:r w:rsidR="00DF77DB">
          <w:rPr>
            <w:webHidden/>
          </w:rPr>
        </w:r>
        <w:r w:rsidR="00DF77DB">
          <w:rPr>
            <w:webHidden/>
          </w:rPr>
          <w:fldChar w:fldCharType="separate"/>
        </w:r>
        <w:r w:rsidR="00413858">
          <w:rPr>
            <w:webHidden/>
          </w:rPr>
          <w:t>61</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184" w:history="1">
        <w:r w:rsidR="00DF77DB" w:rsidRPr="00EF5840">
          <w:rPr>
            <w:rStyle w:val="Hyperlink"/>
          </w:rPr>
          <w:t>Appendix Figure A</w:t>
        </w:r>
        <w:r w:rsidR="00162079">
          <w:rPr>
            <w:rStyle w:val="Hyperlink"/>
          </w:rPr>
          <w:t>.</w:t>
        </w:r>
        <w:r w:rsidR="00DF77DB" w:rsidRPr="00EF5840">
          <w:rPr>
            <w:rStyle w:val="Hyperlink"/>
          </w:rPr>
          <w:t>12. Difference between 100 year ARI wind speed and 50 year ARI wind speed.</w:t>
        </w:r>
        <w:r w:rsidR="00DF77DB">
          <w:rPr>
            <w:webHidden/>
          </w:rPr>
          <w:tab/>
        </w:r>
        <w:r w:rsidR="00DF77DB">
          <w:rPr>
            <w:webHidden/>
          </w:rPr>
          <w:fldChar w:fldCharType="begin"/>
        </w:r>
        <w:r w:rsidR="00DF77DB">
          <w:rPr>
            <w:webHidden/>
          </w:rPr>
          <w:instrText xml:space="preserve"> PAGEREF _Toc354561184 \h </w:instrText>
        </w:r>
        <w:r w:rsidR="00DF77DB">
          <w:rPr>
            <w:webHidden/>
          </w:rPr>
        </w:r>
        <w:r w:rsidR="00DF77DB">
          <w:rPr>
            <w:webHidden/>
          </w:rPr>
          <w:fldChar w:fldCharType="separate"/>
        </w:r>
        <w:r w:rsidR="00413858">
          <w:rPr>
            <w:webHidden/>
          </w:rPr>
          <w:t>62</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185" w:history="1">
        <w:r w:rsidR="00DF77DB" w:rsidRPr="00EF5840">
          <w:rPr>
            <w:rStyle w:val="Hyperlink"/>
          </w:rPr>
          <w:t>Appendix Figure A</w:t>
        </w:r>
        <w:r w:rsidR="00162079">
          <w:rPr>
            <w:rStyle w:val="Hyperlink"/>
          </w:rPr>
          <w:t>.</w:t>
        </w:r>
        <w:r w:rsidR="00DF77DB" w:rsidRPr="00EF5840">
          <w:rPr>
            <w:rStyle w:val="Hyperlink"/>
          </w:rPr>
          <w:t>13. Difference between 250 year ARI wind and 100 year ARI wind speed.</w:t>
        </w:r>
        <w:r w:rsidR="00DF77DB">
          <w:rPr>
            <w:webHidden/>
          </w:rPr>
          <w:tab/>
        </w:r>
        <w:r w:rsidR="00DF77DB">
          <w:rPr>
            <w:webHidden/>
          </w:rPr>
          <w:fldChar w:fldCharType="begin"/>
        </w:r>
        <w:r w:rsidR="00DF77DB">
          <w:rPr>
            <w:webHidden/>
          </w:rPr>
          <w:instrText xml:space="preserve"> PAGEREF _Toc354561185 \h </w:instrText>
        </w:r>
        <w:r w:rsidR="00DF77DB">
          <w:rPr>
            <w:webHidden/>
          </w:rPr>
        </w:r>
        <w:r w:rsidR="00DF77DB">
          <w:rPr>
            <w:webHidden/>
          </w:rPr>
          <w:fldChar w:fldCharType="separate"/>
        </w:r>
        <w:r w:rsidR="00413858">
          <w:rPr>
            <w:webHidden/>
          </w:rPr>
          <w:t>63</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186" w:history="1">
        <w:r w:rsidR="00DF77DB" w:rsidRPr="00EF5840">
          <w:rPr>
            <w:rStyle w:val="Hyperlink"/>
          </w:rPr>
          <w:t>Appendix Figure A</w:t>
        </w:r>
        <w:r w:rsidR="00162079">
          <w:rPr>
            <w:rStyle w:val="Hyperlink"/>
          </w:rPr>
          <w:t>.</w:t>
        </w:r>
        <w:r w:rsidR="00DF77DB" w:rsidRPr="00EF5840">
          <w:rPr>
            <w:rStyle w:val="Hyperlink"/>
          </w:rPr>
          <w:t>14. Difference between 1000 year ARI wind and 250 year ARI wind speed.</w:t>
        </w:r>
        <w:r w:rsidR="00DF77DB">
          <w:rPr>
            <w:webHidden/>
          </w:rPr>
          <w:tab/>
        </w:r>
        <w:r w:rsidR="00DF77DB">
          <w:rPr>
            <w:webHidden/>
          </w:rPr>
          <w:fldChar w:fldCharType="begin"/>
        </w:r>
        <w:r w:rsidR="00DF77DB">
          <w:rPr>
            <w:webHidden/>
          </w:rPr>
          <w:instrText xml:space="preserve"> PAGEREF _Toc354561186 \h </w:instrText>
        </w:r>
        <w:r w:rsidR="00DF77DB">
          <w:rPr>
            <w:webHidden/>
          </w:rPr>
        </w:r>
        <w:r w:rsidR="00DF77DB">
          <w:rPr>
            <w:webHidden/>
          </w:rPr>
          <w:fldChar w:fldCharType="separate"/>
        </w:r>
        <w:r w:rsidR="00413858">
          <w:rPr>
            <w:webHidden/>
          </w:rPr>
          <w:t>63</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187" w:history="1">
        <w:r w:rsidR="00DF77DB" w:rsidRPr="00EF5840">
          <w:rPr>
            <w:rStyle w:val="Hyperlink"/>
          </w:rPr>
          <w:t>Appendix Figure A</w:t>
        </w:r>
        <w:r w:rsidR="00162079">
          <w:rPr>
            <w:rStyle w:val="Hyperlink"/>
          </w:rPr>
          <w:t>.</w:t>
        </w:r>
        <w:r w:rsidR="00DF77DB" w:rsidRPr="00EF5840">
          <w:rPr>
            <w:rStyle w:val="Hyperlink"/>
          </w:rPr>
          <w:t>15. 2050 – 50 year ARI minus current-climate 50 year ARI.</w:t>
        </w:r>
        <w:r w:rsidR="00DF77DB">
          <w:rPr>
            <w:webHidden/>
          </w:rPr>
          <w:tab/>
        </w:r>
        <w:r w:rsidR="00DF77DB">
          <w:rPr>
            <w:webHidden/>
          </w:rPr>
          <w:fldChar w:fldCharType="begin"/>
        </w:r>
        <w:r w:rsidR="00DF77DB">
          <w:rPr>
            <w:webHidden/>
          </w:rPr>
          <w:instrText xml:space="preserve"> PAGEREF _Toc354561187 \h </w:instrText>
        </w:r>
        <w:r w:rsidR="00DF77DB">
          <w:rPr>
            <w:webHidden/>
          </w:rPr>
        </w:r>
        <w:r w:rsidR="00DF77DB">
          <w:rPr>
            <w:webHidden/>
          </w:rPr>
          <w:fldChar w:fldCharType="separate"/>
        </w:r>
        <w:r w:rsidR="00413858">
          <w:rPr>
            <w:webHidden/>
          </w:rPr>
          <w:t>64</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188" w:history="1">
        <w:r w:rsidR="00DF77DB" w:rsidRPr="00EF5840">
          <w:rPr>
            <w:rStyle w:val="Hyperlink"/>
          </w:rPr>
          <w:t>Appendix Figure A</w:t>
        </w:r>
        <w:r w:rsidR="00162079">
          <w:rPr>
            <w:rStyle w:val="Hyperlink"/>
          </w:rPr>
          <w:t>.</w:t>
        </w:r>
        <w:r w:rsidR="00DF77DB" w:rsidRPr="00EF5840">
          <w:rPr>
            <w:rStyle w:val="Hyperlink"/>
          </w:rPr>
          <w:t>16. 2050 – 100 year ARI minus current-climate 100 year ARI.</w:t>
        </w:r>
        <w:r w:rsidR="00DF77DB">
          <w:rPr>
            <w:webHidden/>
          </w:rPr>
          <w:tab/>
        </w:r>
        <w:r w:rsidR="00DF77DB">
          <w:rPr>
            <w:webHidden/>
          </w:rPr>
          <w:fldChar w:fldCharType="begin"/>
        </w:r>
        <w:r w:rsidR="00DF77DB">
          <w:rPr>
            <w:webHidden/>
          </w:rPr>
          <w:instrText xml:space="preserve"> PAGEREF _Toc354561188 \h </w:instrText>
        </w:r>
        <w:r w:rsidR="00DF77DB">
          <w:rPr>
            <w:webHidden/>
          </w:rPr>
        </w:r>
        <w:r w:rsidR="00DF77DB">
          <w:rPr>
            <w:webHidden/>
          </w:rPr>
          <w:fldChar w:fldCharType="separate"/>
        </w:r>
        <w:r w:rsidR="00413858">
          <w:rPr>
            <w:webHidden/>
          </w:rPr>
          <w:t>65</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189" w:history="1">
        <w:r w:rsidR="00DF77DB" w:rsidRPr="00EF5840">
          <w:rPr>
            <w:rStyle w:val="Hyperlink"/>
          </w:rPr>
          <w:t>Appendix Figure A</w:t>
        </w:r>
        <w:r w:rsidR="00162079">
          <w:rPr>
            <w:rStyle w:val="Hyperlink"/>
          </w:rPr>
          <w:t>.</w:t>
        </w:r>
        <w:r w:rsidR="00DF77DB" w:rsidRPr="00EF5840">
          <w:rPr>
            <w:rStyle w:val="Hyperlink"/>
          </w:rPr>
          <w:t>17. 2050 – 250 year ARI minus current-climate 250 year ARI.</w:t>
        </w:r>
        <w:r w:rsidR="00DF77DB">
          <w:rPr>
            <w:webHidden/>
          </w:rPr>
          <w:tab/>
        </w:r>
        <w:r w:rsidR="00DF77DB">
          <w:rPr>
            <w:webHidden/>
          </w:rPr>
          <w:fldChar w:fldCharType="begin"/>
        </w:r>
        <w:r w:rsidR="00DF77DB">
          <w:rPr>
            <w:webHidden/>
          </w:rPr>
          <w:instrText xml:space="preserve"> PAGEREF _Toc354561189 \h </w:instrText>
        </w:r>
        <w:r w:rsidR="00DF77DB">
          <w:rPr>
            <w:webHidden/>
          </w:rPr>
        </w:r>
        <w:r w:rsidR="00DF77DB">
          <w:rPr>
            <w:webHidden/>
          </w:rPr>
          <w:fldChar w:fldCharType="separate"/>
        </w:r>
        <w:r w:rsidR="00413858">
          <w:rPr>
            <w:webHidden/>
          </w:rPr>
          <w:t>65</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190" w:history="1">
        <w:r w:rsidR="00DF77DB" w:rsidRPr="00EF5840">
          <w:rPr>
            <w:rStyle w:val="Hyperlink"/>
          </w:rPr>
          <w:t>Appendix Figure A</w:t>
        </w:r>
        <w:r w:rsidR="00162079">
          <w:rPr>
            <w:rStyle w:val="Hyperlink"/>
          </w:rPr>
          <w:t>.</w:t>
        </w:r>
        <w:r w:rsidR="00DF77DB" w:rsidRPr="00EF5840">
          <w:rPr>
            <w:rStyle w:val="Hyperlink"/>
          </w:rPr>
          <w:t>18. 2050 – 1000 year ARI minus current-climate 1000 year ARI.</w:t>
        </w:r>
        <w:r w:rsidR="00DF77DB">
          <w:rPr>
            <w:webHidden/>
          </w:rPr>
          <w:tab/>
        </w:r>
        <w:r w:rsidR="00DF77DB">
          <w:rPr>
            <w:webHidden/>
          </w:rPr>
          <w:fldChar w:fldCharType="begin"/>
        </w:r>
        <w:r w:rsidR="00DF77DB">
          <w:rPr>
            <w:webHidden/>
          </w:rPr>
          <w:instrText xml:space="preserve"> PAGEREF _Toc354561190 \h </w:instrText>
        </w:r>
        <w:r w:rsidR="00DF77DB">
          <w:rPr>
            <w:webHidden/>
          </w:rPr>
        </w:r>
        <w:r w:rsidR="00DF77DB">
          <w:rPr>
            <w:webHidden/>
          </w:rPr>
          <w:fldChar w:fldCharType="separate"/>
        </w:r>
        <w:r w:rsidR="00413858">
          <w:rPr>
            <w:webHidden/>
          </w:rPr>
          <w:t>66</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191" w:history="1">
        <w:r w:rsidR="00DF77DB" w:rsidRPr="00EF5840">
          <w:rPr>
            <w:rStyle w:val="Hyperlink"/>
          </w:rPr>
          <w:t>Appendix Figure A</w:t>
        </w:r>
        <w:r w:rsidR="00162079">
          <w:rPr>
            <w:rStyle w:val="Hyperlink"/>
          </w:rPr>
          <w:t>.</w:t>
        </w:r>
        <w:r w:rsidR="00DF77DB" w:rsidRPr="00EF5840">
          <w:rPr>
            <w:rStyle w:val="Hyperlink"/>
          </w:rPr>
          <w:t>19. 2090 – 50 year ARI minus 2050 - 50 year ARI.</w:t>
        </w:r>
        <w:r w:rsidR="00DF77DB">
          <w:rPr>
            <w:webHidden/>
          </w:rPr>
          <w:tab/>
        </w:r>
        <w:r w:rsidR="00DF77DB">
          <w:rPr>
            <w:webHidden/>
          </w:rPr>
          <w:fldChar w:fldCharType="begin"/>
        </w:r>
        <w:r w:rsidR="00DF77DB">
          <w:rPr>
            <w:webHidden/>
          </w:rPr>
          <w:instrText xml:space="preserve"> PAGEREF _Toc354561191 \h </w:instrText>
        </w:r>
        <w:r w:rsidR="00DF77DB">
          <w:rPr>
            <w:webHidden/>
          </w:rPr>
        </w:r>
        <w:r w:rsidR="00DF77DB">
          <w:rPr>
            <w:webHidden/>
          </w:rPr>
          <w:fldChar w:fldCharType="separate"/>
        </w:r>
        <w:r w:rsidR="00413858">
          <w:rPr>
            <w:webHidden/>
          </w:rPr>
          <w:t>66</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192" w:history="1">
        <w:r w:rsidR="00DF77DB" w:rsidRPr="00EF5840">
          <w:rPr>
            <w:rStyle w:val="Hyperlink"/>
          </w:rPr>
          <w:t>Appendix Figure A</w:t>
        </w:r>
        <w:r w:rsidR="00162079">
          <w:rPr>
            <w:rStyle w:val="Hyperlink"/>
          </w:rPr>
          <w:t>.</w:t>
        </w:r>
        <w:r w:rsidR="00DF77DB" w:rsidRPr="00EF5840">
          <w:rPr>
            <w:rStyle w:val="Hyperlink"/>
          </w:rPr>
          <w:t>20. 2090 – 100 year ARI minus 2050 – 100 year ARI.</w:t>
        </w:r>
        <w:r w:rsidR="00DF77DB">
          <w:rPr>
            <w:webHidden/>
          </w:rPr>
          <w:tab/>
        </w:r>
        <w:r w:rsidR="00DF77DB">
          <w:rPr>
            <w:webHidden/>
          </w:rPr>
          <w:fldChar w:fldCharType="begin"/>
        </w:r>
        <w:r w:rsidR="00DF77DB">
          <w:rPr>
            <w:webHidden/>
          </w:rPr>
          <w:instrText xml:space="preserve"> PAGEREF _Toc354561192 \h </w:instrText>
        </w:r>
        <w:r w:rsidR="00DF77DB">
          <w:rPr>
            <w:webHidden/>
          </w:rPr>
        </w:r>
        <w:r w:rsidR="00DF77DB">
          <w:rPr>
            <w:webHidden/>
          </w:rPr>
          <w:fldChar w:fldCharType="separate"/>
        </w:r>
        <w:r w:rsidR="00413858">
          <w:rPr>
            <w:webHidden/>
          </w:rPr>
          <w:t>67</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193" w:history="1">
        <w:r w:rsidR="00DF77DB" w:rsidRPr="00EF5840">
          <w:rPr>
            <w:rStyle w:val="Hyperlink"/>
          </w:rPr>
          <w:t>Appendix Figure A</w:t>
        </w:r>
        <w:r w:rsidR="00162079">
          <w:rPr>
            <w:rStyle w:val="Hyperlink"/>
          </w:rPr>
          <w:t>.</w:t>
        </w:r>
        <w:r w:rsidR="00DF77DB" w:rsidRPr="00EF5840">
          <w:rPr>
            <w:rStyle w:val="Hyperlink"/>
          </w:rPr>
          <w:t>21. 2090 – 250 year ARI minus 2050 – 250 year ARI.</w:t>
        </w:r>
        <w:r w:rsidR="00DF77DB">
          <w:rPr>
            <w:webHidden/>
          </w:rPr>
          <w:tab/>
        </w:r>
        <w:r w:rsidR="00DF77DB">
          <w:rPr>
            <w:webHidden/>
          </w:rPr>
          <w:fldChar w:fldCharType="begin"/>
        </w:r>
        <w:r w:rsidR="00DF77DB">
          <w:rPr>
            <w:webHidden/>
          </w:rPr>
          <w:instrText xml:space="preserve"> PAGEREF _Toc354561193 \h </w:instrText>
        </w:r>
        <w:r w:rsidR="00DF77DB">
          <w:rPr>
            <w:webHidden/>
          </w:rPr>
        </w:r>
        <w:r w:rsidR="00DF77DB">
          <w:rPr>
            <w:webHidden/>
          </w:rPr>
          <w:fldChar w:fldCharType="separate"/>
        </w:r>
        <w:r w:rsidR="00413858">
          <w:rPr>
            <w:webHidden/>
          </w:rPr>
          <w:t>67</w:t>
        </w:r>
        <w:r w:rsidR="00DF77DB">
          <w:rPr>
            <w:webHidden/>
          </w:rPr>
          <w:fldChar w:fldCharType="end"/>
        </w:r>
      </w:hyperlink>
    </w:p>
    <w:p w:rsidR="00AD6E08" w:rsidRDefault="007F11CF">
      <w:pPr>
        <w:pStyle w:val="TableofFigures"/>
      </w:pPr>
      <w:hyperlink w:anchor="_Toc354561194" w:history="1">
        <w:r w:rsidR="00DF77DB" w:rsidRPr="00EF5840">
          <w:rPr>
            <w:rStyle w:val="Hyperlink"/>
          </w:rPr>
          <w:t>Appendix Figure A</w:t>
        </w:r>
        <w:r w:rsidR="00162079">
          <w:rPr>
            <w:rStyle w:val="Hyperlink"/>
          </w:rPr>
          <w:t>.</w:t>
        </w:r>
        <w:r w:rsidR="00DF77DB" w:rsidRPr="00EF5840">
          <w:rPr>
            <w:rStyle w:val="Hyperlink"/>
          </w:rPr>
          <w:t>22. 2090 – 1000 year ARI minus 2050 1000 year ARI.</w:t>
        </w:r>
        <w:r w:rsidR="00DF77DB">
          <w:rPr>
            <w:webHidden/>
          </w:rPr>
          <w:tab/>
        </w:r>
        <w:r w:rsidR="00DF77DB">
          <w:rPr>
            <w:webHidden/>
          </w:rPr>
          <w:fldChar w:fldCharType="begin"/>
        </w:r>
        <w:r w:rsidR="00DF77DB">
          <w:rPr>
            <w:webHidden/>
          </w:rPr>
          <w:instrText xml:space="preserve"> PAGEREF _Toc354561194 \h </w:instrText>
        </w:r>
        <w:r w:rsidR="00DF77DB">
          <w:rPr>
            <w:webHidden/>
          </w:rPr>
        </w:r>
        <w:r w:rsidR="00DF77DB">
          <w:rPr>
            <w:webHidden/>
          </w:rPr>
          <w:fldChar w:fldCharType="separate"/>
        </w:r>
        <w:r w:rsidR="00413858">
          <w:rPr>
            <w:webHidden/>
          </w:rPr>
          <w:t>68</w:t>
        </w:r>
        <w:r w:rsidR="00DF77DB">
          <w:rPr>
            <w:webHidden/>
          </w:rPr>
          <w:fldChar w:fldCharType="end"/>
        </w:r>
      </w:hyperlink>
    </w:p>
    <w:p w:rsidR="009D7E82" w:rsidRDefault="00414D8E" w:rsidP="00462463">
      <w:pPr>
        <w:pStyle w:val="HeadingApxnonumbers"/>
      </w:pPr>
      <w:r>
        <w:fldChar w:fldCharType="end"/>
      </w:r>
      <w:bookmarkStart w:id="1751" w:name="_Toc355164189"/>
      <w:bookmarkStart w:id="1752" w:name="_Toc355249631"/>
      <w:bookmarkStart w:id="1753" w:name="_Toc346632539"/>
      <w:bookmarkStart w:id="1754" w:name="_Toc346632879"/>
      <w:bookmarkStart w:id="1755" w:name="_Toc346632991"/>
      <w:bookmarkStart w:id="1756" w:name="_Toc346633103"/>
      <w:bookmarkStart w:id="1757" w:name="_Toc346633215"/>
      <w:bookmarkStart w:id="1758" w:name="_Toc347401760"/>
      <w:bookmarkStart w:id="1759" w:name="_Toc347401872"/>
      <w:bookmarkStart w:id="1760" w:name="_Toc347401984"/>
      <w:bookmarkStart w:id="1761" w:name="_Toc347402096"/>
      <w:bookmarkStart w:id="1762" w:name="_Toc347402474"/>
      <w:bookmarkStart w:id="1763" w:name="_Toc349055046"/>
      <w:bookmarkStart w:id="1764" w:name="_Toc349055389"/>
      <w:bookmarkStart w:id="1765" w:name="_Toc349055502"/>
      <w:bookmarkStart w:id="1766" w:name="_Toc349055615"/>
      <w:bookmarkStart w:id="1767" w:name="_Toc349055728"/>
      <w:bookmarkStart w:id="1768" w:name="_Toc349116947"/>
      <w:bookmarkStart w:id="1769" w:name="_Toc350330046"/>
      <w:bookmarkStart w:id="1770" w:name="_Toc350344025"/>
      <w:bookmarkStart w:id="1771" w:name="_Toc354402006"/>
      <w:bookmarkStart w:id="1772" w:name="_Toc354404063"/>
      <w:bookmarkStart w:id="1773" w:name="_Toc354476503"/>
      <w:bookmarkStart w:id="1774" w:name="_Toc354492872"/>
      <w:bookmarkStart w:id="1775" w:name="_Toc354492979"/>
      <w:bookmarkStart w:id="1776" w:name="_Toc354493109"/>
      <w:bookmarkStart w:id="1777" w:name="_Toc354493270"/>
      <w:bookmarkStart w:id="1778" w:name="_Toc354493738"/>
      <w:bookmarkStart w:id="1779" w:name="_Toc354494273"/>
      <w:bookmarkStart w:id="1780" w:name="_Toc354494491"/>
      <w:bookmarkStart w:id="1781" w:name="_Toc354494702"/>
      <w:bookmarkStart w:id="1782" w:name="_Toc354494996"/>
      <w:bookmarkStart w:id="1783" w:name="_Toc354497878"/>
      <w:bookmarkStart w:id="1784" w:name="_Toc354561291"/>
      <w:r w:rsidR="009D7E82">
        <w:t>Tables</w:t>
      </w:r>
      <w:bookmarkEnd w:id="1751"/>
      <w:bookmarkEnd w:id="1752"/>
    </w:p>
    <w:p w:rsidR="009D7E82" w:rsidRDefault="009D7E82">
      <w:pPr>
        <w:pStyle w:val="TableofFigures"/>
        <w:rPr>
          <w:rStyle w:val="Hyperlink"/>
        </w:rPr>
      </w:pPr>
      <w:r>
        <w:fldChar w:fldCharType="begin"/>
      </w:r>
      <w:r>
        <w:instrText xml:space="preserve"> TOC \h \z \c "Appendix Table" </w:instrText>
      </w:r>
      <w:r>
        <w:fldChar w:fldCharType="separate"/>
      </w:r>
      <w:hyperlink w:anchor="_Toc355162313" w:history="1">
        <w:r w:rsidRPr="006019C0">
          <w:rPr>
            <w:rStyle w:val="Hyperlink"/>
          </w:rPr>
          <w:t>Appendix Table A</w:t>
        </w:r>
        <w:r w:rsidR="00162079">
          <w:rPr>
            <w:rStyle w:val="Hyperlink"/>
          </w:rPr>
          <w:t>.</w:t>
        </w:r>
        <w:r w:rsidRPr="006019C0">
          <w:rPr>
            <w:rStyle w:val="Hyperlink"/>
          </w:rPr>
          <w:t>1. Bureau of Meteorology TC category and damage description.</w:t>
        </w:r>
        <w:r>
          <w:rPr>
            <w:webHidden/>
          </w:rPr>
          <w:tab/>
        </w:r>
        <w:r>
          <w:rPr>
            <w:webHidden/>
          </w:rPr>
          <w:fldChar w:fldCharType="begin"/>
        </w:r>
        <w:r>
          <w:rPr>
            <w:webHidden/>
          </w:rPr>
          <w:instrText xml:space="preserve"> PAGEREF _Toc355162313 \h </w:instrText>
        </w:r>
        <w:r>
          <w:rPr>
            <w:webHidden/>
          </w:rPr>
        </w:r>
        <w:r>
          <w:rPr>
            <w:webHidden/>
          </w:rPr>
          <w:fldChar w:fldCharType="separate"/>
        </w:r>
        <w:r w:rsidR="00413858">
          <w:rPr>
            <w:webHidden/>
          </w:rPr>
          <w:t>61</w:t>
        </w:r>
        <w:r>
          <w:rPr>
            <w:webHidden/>
          </w:rPr>
          <w:fldChar w:fldCharType="end"/>
        </w:r>
      </w:hyperlink>
    </w:p>
    <w:p w:rsidR="008237BB" w:rsidRDefault="009D7E82" w:rsidP="009D7E82">
      <w:pPr>
        <w:pStyle w:val="Headingappendix2"/>
      </w:pPr>
      <w:r>
        <w:rPr>
          <w:rStyle w:val="Hyperlink"/>
          <w:noProof/>
        </w:rPr>
        <w:br w:type="page"/>
      </w:r>
      <w:r>
        <w:lastRenderedPageBreak/>
        <w:fldChar w:fldCharType="end"/>
      </w:r>
      <w:bookmarkStart w:id="1785" w:name="_Toc355164190"/>
      <w:bookmarkStart w:id="1786" w:name="_Toc355249632"/>
      <w:r w:rsidR="008237BB" w:rsidRPr="009909F5">
        <w:t>M</w:t>
      </w:r>
      <w:r w:rsidR="008237BB">
        <w:t>ethod</w:t>
      </w:r>
      <w:bookmarkEnd w:id="1731"/>
      <w:bookmarkEnd w:id="1732"/>
      <w:bookmarkEnd w:id="1733"/>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p>
    <w:p w:rsidR="008237BB" w:rsidRPr="00741267" w:rsidRDefault="008237BB" w:rsidP="00935848">
      <w:pPr>
        <w:pStyle w:val="Headingappendix3"/>
      </w:pPr>
      <w:bookmarkStart w:id="1787" w:name="_Toc341336586"/>
      <w:bookmarkStart w:id="1788" w:name="_Toc342638481"/>
      <w:bookmarkStart w:id="1789" w:name="_Toc346260980"/>
      <w:bookmarkStart w:id="1790" w:name="_Toc346632540"/>
      <w:bookmarkStart w:id="1791" w:name="_Toc346632880"/>
      <w:bookmarkStart w:id="1792" w:name="_Toc346632992"/>
      <w:bookmarkStart w:id="1793" w:name="_Toc346633104"/>
      <w:bookmarkStart w:id="1794" w:name="_Toc346633216"/>
      <w:bookmarkStart w:id="1795" w:name="_Toc347401761"/>
      <w:bookmarkStart w:id="1796" w:name="_Toc347401873"/>
      <w:bookmarkStart w:id="1797" w:name="_Toc347401985"/>
      <w:bookmarkStart w:id="1798" w:name="_Toc347402097"/>
      <w:bookmarkStart w:id="1799" w:name="_Toc347402475"/>
      <w:bookmarkStart w:id="1800" w:name="_Toc349055047"/>
      <w:bookmarkStart w:id="1801" w:name="_Toc349055390"/>
      <w:bookmarkStart w:id="1802" w:name="_Toc349055503"/>
      <w:bookmarkStart w:id="1803" w:name="_Toc349055616"/>
      <w:bookmarkStart w:id="1804" w:name="_Toc349055729"/>
      <w:bookmarkStart w:id="1805" w:name="_Toc349116948"/>
      <w:bookmarkStart w:id="1806" w:name="_Toc350330047"/>
      <w:bookmarkStart w:id="1807" w:name="_Toc350344026"/>
      <w:bookmarkStart w:id="1808" w:name="_Toc354402007"/>
      <w:bookmarkStart w:id="1809" w:name="_Toc354476504"/>
      <w:bookmarkStart w:id="1810" w:name="_Toc354492873"/>
      <w:bookmarkStart w:id="1811" w:name="_Toc354492980"/>
      <w:bookmarkStart w:id="1812" w:name="_Toc354493110"/>
      <w:bookmarkStart w:id="1813" w:name="_Toc354493271"/>
      <w:bookmarkStart w:id="1814" w:name="_Toc354493739"/>
      <w:bookmarkStart w:id="1815" w:name="_Toc354494274"/>
      <w:bookmarkStart w:id="1816" w:name="_Toc354494492"/>
      <w:bookmarkStart w:id="1817" w:name="_Toc354494703"/>
      <w:bookmarkStart w:id="1818" w:name="_Toc354494997"/>
      <w:bookmarkStart w:id="1819" w:name="_Toc354497879"/>
      <w:bookmarkStart w:id="1820" w:name="_Toc354561292"/>
      <w:bookmarkStart w:id="1821" w:name="_Toc355164191"/>
      <w:bookmarkStart w:id="1822" w:name="_Toc355249633"/>
      <w:r>
        <w:t>Current Climate</w:t>
      </w:r>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p>
    <w:p w:rsidR="008237BB" w:rsidRDefault="008237BB" w:rsidP="009340CE">
      <w:pPr>
        <w:pStyle w:val="Headingappendix4"/>
      </w:pPr>
      <w:bookmarkStart w:id="1823" w:name="_Toc341336587"/>
      <w:bookmarkStart w:id="1824" w:name="_Toc342638482"/>
      <w:bookmarkStart w:id="1825" w:name="_Toc346260981"/>
      <w:bookmarkStart w:id="1826" w:name="_Toc346632541"/>
      <w:bookmarkStart w:id="1827" w:name="_Toc347402476"/>
      <w:bookmarkStart w:id="1828" w:name="_Toc349055048"/>
      <w:bookmarkStart w:id="1829" w:name="_Toc349116949"/>
      <w:bookmarkStart w:id="1830" w:name="_Toc354402008"/>
      <w:bookmarkStart w:id="1831" w:name="_Toc354476505"/>
      <w:bookmarkStart w:id="1832" w:name="_Toc354492981"/>
      <w:bookmarkStart w:id="1833" w:name="_Toc354493111"/>
      <w:bookmarkStart w:id="1834" w:name="_Toc354493272"/>
      <w:bookmarkStart w:id="1835" w:name="_Toc355164192"/>
      <w:r>
        <w:t>The Tropical Cyclone Risk Model</w:t>
      </w:r>
      <w:bookmarkEnd w:id="1823"/>
      <w:bookmarkEnd w:id="1824"/>
      <w:bookmarkEnd w:id="1825"/>
      <w:bookmarkEnd w:id="1826"/>
      <w:bookmarkEnd w:id="1827"/>
      <w:bookmarkEnd w:id="1828"/>
      <w:bookmarkEnd w:id="1829"/>
      <w:bookmarkEnd w:id="1830"/>
      <w:bookmarkEnd w:id="1831"/>
      <w:bookmarkEnd w:id="1832"/>
      <w:bookmarkEnd w:id="1833"/>
      <w:bookmarkEnd w:id="1834"/>
      <w:bookmarkEnd w:id="1835"/>
    </w:p>
    <w:p w:rsidR="008237BB" w:rsidRDefault="008237BB" w:rsidP="008237BB">
      <w:pPr>
        <w:pStyle w:val="BodyText"/>
      </w:pPr>
      <w:r>
        <w:t>The hazard assessment uses Geoscience Australia’s statistical-parametric TCRM</w:t>
      </w:r>
      <w:r>
        <w:rPr>
          <w:rStyle w:val="FootnoteReference"/>
        </w:rPr>
        <w:footnoteReference w:id="14"/>
      </w:r>
      <w:r>
        <w:t xml:space="preserve"> (Arthur </w:t>
      </w:r>
      <w:r w:rsidRPr="007B6C0C">
        <w:rPr>
          <w:rStyle w:val="Bodytextitalic"/>
        </w:rPr>
        <w:t>et al</w:t>
      </w:r>
      <w:r>
        <w:t>., 2011; Arthur, in prep.). The TCRM generates a synthetic catalogue of 5000 years of events that are statistically similar to the input dataset, e.g. a set of observed historical storms. TCRM then calculates a parametric wind field around each track to determine the swath of winds from each event in the synthetic catalogue. The resulting wind fields were ranked and an extreme value distribution fitting procedure applied to determine ARI wind speeds.</w:t>
      </w:r>
    </w:p>
    <w:p w:rsidR="008237BB" w:rsidRDefault="008237BB" w:rsidP="009340CE">
      <w:pPr>
        <w:pStyle w:val="Headingappendix4"/>
      </w:pPr>
      <w:bookmarkStart w:id="1836" w:name="_Toc342638483"/>
      <w:bookmarkStart w:id="1837" w:name="_Toc346260982"/>
      <w:bookmarkStart w:id="1838" w:name="_Toc346632542"/>
      <w:bookmarkStart w:id="1839" w:name="_Toc347402477"/>
      <w:bookmarkStart w:id="1840" w:name="_Toc349055049"/>
      <w:bookmarkStart w:id="1841" w:name="_Toc349116950"/>
      <w:bookmarkStart w:id="1842" w:name="_Toc354402009"/>
      <w:bookmarkStart w:id="1843" w:name="_Toc354476506"/>
      <w:bookmarkStart w:id="1844" w:name="_Toc354492982"/>
      <w:bookmarkStart w:id="1845" w:name="_Toc354493112"/>
      <w:bookmarkStart w:id="1846" w:name="_Toc354493273"/>
      <w:bookmarkStart w:id="1847" w:name="_Toc355164193"/>
      <w:r>
        <w:t>Data</w:t>
      </w:r>
      <w:bookmarkEnd w:id="1836"/>
      <w:bookmarkEnd w:id="1837"/>
      <w:bookmarkEnd w:id="1838"/>
      <w:bookmarkEnd w:id="1839"/>
      <w:bookmarkEnd w:id="1840"/>
      <w:bookmarkEnd w:id="1841"/>
      <w:bookmarkEnd w:id="1842"/>
      <w:bookmarkEnd w:id="1843"/>
      <w:bookmarkEnd w:id="1844"/>
      <w:bookmarkEnd w:id="1845"/>
      <w:bookmarkEnd w:id="1846"/>
      <w:bookmarkEnd w:id="1847"/>
    </w:p>
    <w:p w:rsidR="008237BB" w:rsidRDefault="008237BB" w:rsidP="008237BB">
      <w:pPr>
        <w:pStyle w:val="BodyText"/>
      </w:pPr>
      <w:r>
        <w:t xml:space="preserve">The Australian Bureau of Meteorology’s best-track dataset, for seasons 1981–2005 (Kuleshov </w:t>
      </w:r>
      <w:r w:rsidRPr="007B6C0C">
        <w:rPr>
          <w:rStyle w:val="Bodytextitalic"/>
        </w:rPr>
        <w:t>et al.,</w:t>
      </w:r>
      <w:r>
        <w:t xml:space="preserve"> 2008) was used as the input dataset. This is a quality controlled, homogenised catalogue of Tropical Cyclone (TC) observations of date, time, position and intensity (measured as estimated central pressure). This dataset does impart a slight bias, due to the high proportion of El Ni</w:t>
      </w:r>
      <w:r w:rsidRPr="009A754C">
        <w:t>ñ</w:t>
      </w:r>
      <w:r>
        <w:t>o events over the 25-year period. Tropical cyclone activity in the eastern Australian region is generally decreased under El Ni</w:t>
      </w:r>
      <w:r w:rsidRPr="009A754C">
        <w:t>ñ</w:t>
      </w:r>
      <w:r>
        <w:t>o conditions, and this may result in a slight underestimation of wind hazard (this period was relatively quiescent compared to the entire 20</w:t>
      </w:r>
      <w:r w:rsidRPr="00223F92">
        <w:t>th</w:t>
      </w:r>
      <w:r>
        <w:t xml:space="preserve"> Century). However the actual value should be within the upper and lower 90% confidence estimates indicated in </w:t>
      </w:r>
      <w:r w:rsidR="00FF6328">
        <w:t>Appendix Figure A.1</w:t>
      </w:r>
      <w:r>
        <w:t xml:space="preserve"> and </w:t>
      </w:r>
      <w:r>
        <w:fldChar w:fldCharType="begin"/>
      </w:r>
      <w:r>
        <w:instrText xml:space="preserve"> REF _Ref340490344 \h </w:instrText>
      </w:r>
      <w:r>
        <w:fldChar w:fldCharType="separate"/>
      </w:r>
      <w:r w:rsidR="00413858">
        <w:t>Appendix Figure </w:t>
      </w:r>
      <w:r w:rsidR="00413858">
        <w:rPr>
          <w:noProof/>
        </w:rPr>
        <w:t>A</w:t>
      </w:r>
      <w:r w:rsidR="00413858">
        <w:t>.</w:t>
      </w:r>
      <w:r w:rsidR="00413858">
        <w:rPr>
          <w:noProof/>
        </w:rPr>
        <w:t>2</w:t>
      </w:r>
      <w:r>
        <w:fldChar w:fldCharType="end"/>
      </w:r>
      <w:r>
        <w:t>.</w:t>
      </w:r>
    </w:p>
    <w:p w:rsidR="008237BB" w:rsidRDefault="008237BB" w:rsidP="009340CE">
      <w:pPr>
        <w:pStyle w:val="Headingappendix4"/>
      </w:pPr>
      <w:bookmarkStart w:id="1848" w:name="_Toc342638484"/>
      <w:bookmarkStart w:id="1849" w:name="_Toc346260983"/>
      <w:bookmarkStart w:id="1850" w:name="_Toc346632543"/>
      <w:bookmarkStart w:id="1851" w:name="_Toc347402478"/>
      <w:bookmarkStart w:id="1852" w:name="_Toc349055050"/>
      <w:bookmarkStart w:id="1853" w:name="_Toc349116951"/>
      <w:bookmarkStart w:id="1854" w:name="_Toc354402010"/>
      <w:bookmarkStart w:id="1855" w:name="_Toc354476507"/>
      <w:bookmarkStart w:id="1856" w:name="_Toc354492983"/>
      <w:bookmarkStart w:id="1857" w:name="_Toc354493113"/>
      <w:bookmarkStart w:id="1858" w:name="_Toc354493274"/>
      <w:bookmarkStart w:id="1859" w:name="_Toc355164194"/>
      <w:r>
        <w:t>Track model</w:t>
      </w:r>
      <w:bookmarkEnd w:id="1848"/>
      <w:bookmarkEnd w:id="1849"/>
      <w:bookmarkEnd w:id="1850"/>
      <w:bookmarkEnd w:id="1851"/>
      <w:bookmarkEnd w:id="1852"/>
      <w:bookmarkEnd w:id="1853"/>
      <w:bookmarkEnd w:id="1854"/>
      <w:bookmarkEnd w:id="1855"/>
      <w:bookmarkEnd w:id="1856"/>
      <w:bookmarkEnd w:id="1857"/>
      <w:bookmarkEnd w:id="1858"/>
      <w:bookmarkEnd w:id="1859"/>
    </w:p>
    <w:p w:rsidR="002F691C" w:rsidRDefault="008237BB" w:rsidP="008237BB">
      <w:pPr>
        <w:pStyle w:val="BodyText"/>
      </w:pPr>
      <w:r>
        <w:t>The track model is composed of four components: TC genesis, track b</w:t>
      </w:r>
      <w:r w:rsidR="00940791">
        <w:t>ehaviour, landfall decay and TC </w:t>
      </w:r>
      <w:r>
        <w:t>lysis (termination).</w:t>
      </w:r>
    </w:p>
    <w:p w:rsidR="002F691C" w:rsidRDefault="008237BB" w:rsidP="008237BB">
      <w:pPr>
        <w:pStyle w:val="BodyText"/>
      </w:pPr>
      <w:r>
        <w:t>The genesis of TCs is modelled as a Poisson process based on the historical frequency and spatial Probability Density Function (PDF) derived from historical genesis points. The PDF is generated using kernel density estimation (</w:t>
      </w:r>
      <w:r>
        <w:fldChar w:fldCharType="begin"/>
      </w:r>
      <w:r>
        <w:instrText xml:space="preserve"> ADDIN EN.CITE &lt;EndNote&gt;&lt;Cite&gt;&lt;Author&gt;Silverman&lt;/Author&gt;&lt;Year&gt;1986&lt;/Year&gt;&lt;RecNum&gt;73&lt;/RecNum&gt;&lt;record&gt;&lt;rec-number&gt;73&lt;/rec-number&gt;&lt;foreign-keys&gt;&lt;key app="EN" db-id="xwd2etapvppxeeedez65vef7spew9w5daere"&gt;73&lt;/key&gt;&lt;/foreign-keys&gt;&lt;ref-type name="Book Section"&gt;5&lt;/ref-type&gt;&lt;contributors&gt;&lt;authors&gt;&lt;author&gt;Silverman, B. W.&lt;/author&gt;&lt;/authors&gt;&lt;/contributors&gt;&lt;titles&gt;&lt;title&gt;Density Estimation for Statistics and Data Analysis&lt;/title&gt;&lt;secondary-title&gt;Density Estimation for Statistics and Data Analysis&lt;/secondary-title&gt;&lt;/titles&gt;&lt;pages&gt;175&lt;/pages&gt;&lt;volume&gt;1&lt;/volume&gt;&lt;dates&gt;&lt;year&gt;1986&lt;/year&gt;&lt;/dates&gt;&lt;pub-location&gt;London&lt;/pub-location&gt;&lt;publisher&gt;Chapman and Hall&lt;/publisher&gt;&lt;urls&gt;&lt;/urls&gt;&lt;/record&gt;&lt;/Cite&gt;&lt;/EndNote&gt;</w:instrText>
      </w:r>
      <w:r>
        <w:fldChar w:fldCharType="separate"/>
      </w:r>
      <w:r>
        <w:t>Silverman, 1986</w:t>
      </w:r>
      <w:r>
        <w:fldChar w:fldCharType="end"/>
      </w:r>
      <w:r>
        <w:t>), utilising a 2-dimensional Gaussian kernel with automatically selected bandwidth.</w:t>
      </w:r>
    </w:p>
    <w:p w:rsidR="002F691C" w:rsidRDefault="008237BB" w:rsidP="008237BB">
      <w:pPr>
        <w:pStyle w:val="BodyText"/>
        <w:rPr>
          <w:bCs/>
        </w:rPr>
      </w:pPr>
      <w:r>
        <w:t xml:space="preserve">TC tracks display significant autocorrelation for speed, bearing and the rate of intensity change. Using the approach of Hall and Jewson (2007) and </w:t>
      </w:r>
      <w:r>
        <w:rPr>
          <w:bCs/>
        </w:rPr>
        <w:t>R</w:t>
      </w:r>
      <w:r>
        <w:t>ü</w:t>
      </w:r>
      <w:r>
        <w:rPr>
          <w:bCs/>
        </w:rPr>
        <w:t xml:space="preserve">mpf </w:t>
      </w:r>
      <w:r w:rsidRPr="007B6C0C">
        <w:rPr>
          <w:rStyle w:val="Bodytextitalic"/>
        </w:rPr>
        <w:t>et al.</w:t>
      </w:r>
      <w:r>
        <w:rPr>
          <w:bCs/>
        </w:rPr>
        <w:t xml:space="preserve"> (2009), TCRM uses an autoregressive method to model the future behaviour of each synthetic TC. Initial statistics of tropical cyclone parameters (speed of forward motion, bearing, rate of intensity change) were determined from the historical record, and the lag-1 autocorrelation for each parameter calculated on a spatial grid. The behaviour of a TC at a given time step is a combination of the value at the preceding time step plus a random innovation. The magnitude of this random variation is related to the strength of the autocorrelation for that parameter.</w:t>
      </w:r>
    </w:p>
    <w:p w:rsidR="002F691C" w:rsidRDefault="008237BB" w:rsidP="008237BB">
      <w:pPr>
        <w:pStyle w:val="BodyText"/>
      </w:pPr>
      <w:r>
        <w:t>The filling rate of TCs after making landfall is modelled in the same manner as Vickery (</w:t>
      </w:r>
      <w:r>
        <w:fldChar w:fldCharType="begin"/>
      </w:r>
      <w:r>
        <w:instrText xml:space="preserve"> ADDIN EN.CITE &lt;EndNote&gt;&lt;Cite ExcludeAuth="1"&gt;&lt;Author&gt;Vickery&lt;/Author&gt;&lt;Year&gt;2005&lt;/Year&gt;&lt;RecNum&gt;190&lt;/RecNum&gt;&lt;record&gt;&lt;rec-number&gt;190&lt;/rec-number&gt;&lt;foreign-keys&gt;&lt;key app="EN" db-id="xwd2etapvppxeeedez65vef7spew9w5daere"&gt;190&lt;/key&gt;&lt;/foreign-keys&gt;&lt;ref-type name="Journal Article"&gt;17&lt;/ref-type&gt;&lt;contributors&gt;&lt;authors&gt;&lt;author&gt;Vickery, Peter J.&lt;/author&gt;&lt;/authors&gt;&lt;/contributors&gt;&lt;titles&gt;&lt;title&gt;Simple Empirical Models for Estimating the Increase in the Central Pressure of Tropical Cyclones after Landfall along the Coastline of the United States&lt;/title&gt;&lt;secondary-title&gt;Journal of Applied Meteorology&lt;/secondary-title&gt;&lt;/titles&gt;&lt;pages&gt;1807-1826&lt;/pages&gt;&lt;volume&gt;44&lt;/volume&gt;&lt;number&gt;12&lt;/number&gt;&lt;dates&gt;&lt;year&gt;2005&lt;/year&gt;&lt;pub-dates&gt;&lt;date&gt;December 01, 2005&lt;/date&gt;&lt;/pub-dates&gt;&lt;/dates&gt;&lt;urls&gt;&lt;related-urls&gt;&lt;url&gt;http://dx.doi.org/10.1175%2FJAM2310.1 &lt;/url&gt;&lt;/related-urls&gt;&lt;pdf-urls&gt;&lt;url&gt;internal-pdf://Vickery_2005-3496581376/Vickery_2005.TIF&lt;/url&gt;&lt;/pdf-urls&gt;&lt;/urls&gt;&lt;/record&gt;&lt;/Cite&gt;&lt;/EndNote&gt;</w:instrText>
      </w:r>
      <w:r>
        <w:fldChar w:fldCharType="separate"/>
      </w:r>
      <w:r>
        <w:t>2005</w:t>
      </w:r>
      <w:r>
        <w:fldChar w:fldCharType="end"/>
      </w:r>
      <w:r>
        <w:t>), where the central pressure increases as a function of time over land (</w:t>
      </w:r>
      <w:r w:rsidRPr="007B6C0C">
        <w:rPr>
          <w:rStyle w:val="Bodytextitalic"/>
        </w:rPr>
        <w:t>t</w:t>
      </w:r>
      <w:r w:rsidRPr="00463E01">
        <w:rPr>
          <w:iCs/>
        </w:rPr>
        <w:t>)</w:t>
      </w:r>
      <w:r w:rsidRPr="007B6C0C">
        <w:rPr>
          <w:rStyle w:val="Bodytextitalic"/>
        </w:rPr>
        <w:t xml:space="preserve"> </w:t>
      </w:r>
      <w:r>
        <w:t xml:space="preserve">and the pressure deficit at the time of first landfall. The landfall decay component of the model has not been calibrated for eastern Australian </w:t>
      </w:r>
      <w:r>
        <w:lastRenderedPageBreak/>
        <w:t>conditions and so the estimated wind speeds well inland (more than 100 km inland) may be inaccurate.</w:t>
      </w:r>
    </w:p>
    <w:p w:rsidR="002F691C" w:rsidRDefault="008237BB" w:rsidP="008237BB">
      <w:pPr>
        <w:pStyle w:val="BodyText"/>
      </w:pPr>
      <w:r>
        <w:t>Lysis of a synthetic tropical cyclone occurs when the central pressure deficit falls below an arbitrary threshold, either due to the decline in intensity following landfall, or through the autoregressive process described above. Tropical cyclones were also terminated on exiting the predefined area of interest.</w:t>
      </w:r>
    </w:p>
    <w:p w:rsidR="008237BB" w:rsidRDefault="008237BB" w:rsidP="009340CE">
      <w:pPr>
        <w:pStyle w:val="Headingappendix4"/>
      </w:pPr>
      <w:bookmarkStart w:id="1860" w:name="_Toc342638485"/>
      <w:bookmarkStart w:id="1861" w:name="_Toc346260984"/>
      <w:bookmarkStart w:id="1862" w:name="_Toc346632544"/>
      <w:bookmarkStart w:id="1863" w:name="_Toc347402479"/>
      <w:bookmarkStart w:id="1864" w:name="_Toc349055051"/>
      <w:bookmarkStart w:id="1865" w:name="_Toc349116952"/>
      <w:bookmarkStart w:id="1866" w:name="_Toc354402011"/>
      <w:bookmarkStart w:id="1867" w:name="_Toc354476508"/>
      <w:bookmarkStart w:id="1868" w:name="_Toc354492984"/>
      <w:bookmarkStart w:id="1869" w:name="_Toc354493114"/>
      <w:bookmarkStart w:id="1870" w:name="_Toc354493275"/>
      <w:bookmarkStart w:id="1871" w:name="_Toc355164195"/>
      <w:r>
        <w:t>Wind field model</w:t>
      </w:r>
      <w:bookmarkEnd w:id="1860"/>
      <w:bookmarkEnd w:id="1861"/>
      <w:bookmarkEnd w:id="1862"/>
      <w:bookmarkEnd w:id="1863"/>
      <w:bookmarkEnd w:id="1864"/>
      <w:bookmarkEnd w:id="1865"/>
      <w:bookmarkEnd w:id="1866"/>
      <w:bookmarkEnd w:id="1867"/>
      <w:bookmarkEnd w:id="1868"/>
      <w:bookmarkEnd w:id="1869"/>
      <w:bookmarkEnd w:id="1870"/>
      <w:bookmarkEnd w:id="1871"/>
    </w:p>
    <w:p w:rsidR="002F691C" w:rsidRDefault="008237BB" w:rsidP="008237BB">
      <w:pPr>
        <w:pStyle w:val="BodyText"/>
      </w:pPr>
      <w:r>
        <w:t>To estimate the swath of destructive winds around each of the synthetic cyclones, the TCRM applies a parametric wind field comprised of a radial wind profile and a simplified boundary layer model to incorporate the effects of surface friction and forward motion of the TC. The wind field around each tropical cyclone is calculated at high spatial resolution (0.02°) to ensure the peak wind speeds near the TC eye are accurately captured. TCRM first uses a radial profile to estimate the gradient level wind associated with the circulation. For this study, the Holland (1980) radial profile was applied, with a fixed peakedness (</w:t>
      </w:r>
      <w:r w:rsidRPr="00F06D18">
        <w:rPr>
          <w:rStyle w:val="Bodytextsymbols"/>
        </w:rPr>
        <w:t></w:t>
      </w:r>
      <w:r>
        <w:t>) parameter.</w:t>
      </w:r>
    </w:p>
    <w:p w:rsidR="008237BB" w:rsidRDefault="008237BB" w:rsidP="008237BB">
      <w:pPr>
        <w:pStyle w:val="BodyText"/>
        <w:rPr>
          <w:bCs/>
        </w:rPr>
      </w:pPr>
      <w:r>
        <w:t xml:space="preserve">To relate the wind speed at the gradient level to the near-surface wind speed, the TCRM applies the linear boundary layer model of Kepert (2001), </w:t>
      </w:r>
      <w:r>
        <w:rPr>
          <w:bCs/>
        </w:rPr>
        <w:t xml:space="preserve">which utilises a bulk formulation for the boundary layer with the drag coefficient set to a constant value of 0.002 and the </w:t>
      </w:r>
      <w:r w:rsidRPr="00D110C8">
        <w:t>turbulent</w:t>
      </w:r>
      <w:r>
        <w:rPr>
          <w:bCs/>
        </w:rPr>
        <w:t xml:space="preserve"> diffusivity for momentum set to 50 m</w:t>
      </w:r>
      <w:r w:rsidRPr="00055DCB">
        <w:rPr>
          <w:rStyle w:val="Superscript"/>
        </w:rPr>
        <w:t>2</w:t>
      </w:r>
      <w:r>
        <w:rPr>
          <w:bCs/>
        </w:rPr>
        <w:t> s</w:t>
      </w:r>
      <w:r w:rsidRPr="00055DCB">
        <w:rPr>
          <w:rStyle w:val="Superscript"/>
        </w:rPr>
        <w:t>-1</w:t>
      </w:r>
      <w:r>
        <w:rPr>
          <w:bCs/>
        </w:rPr>
        <w:t xml:space="preserve">. A gust factor of 1.38 is applied to estimate the likely peak wind gust, corresponding to the recommended values for off-water, over-land conditions from Harper </w:t>
      </w:r>
      <w:r w:rsidRPr="007B6C0C">
        <w:rPr>
          <w:rStyle w:val="Bodytextitalic"/>
        </w:rPr>
        <w:t>et al.</w:t>
      </w:r>
      <w:r>
        <w:rPr>
          <w:bCs/>
        </w:rPr>
        <w:t xml:space="preserve"> (</w:t>
      </w:r>
      <w:r>
        <w:rPr>
          <w:bCs/>
        </w:rPr>
        <w:fldChar w:fldCharType="begin"/>
      </w:r>
      <w:r>
        <w:rPr>
          <w:bCs/>
        </w:rPr>
        <w:instrText xml:space="preserve"> ADDIN EN.CITE &lt;EndNote&gt;&lt;Cite ExcludeAuth="1"&gt;&lt;Author&gt;Harper&lt;/Author&gt;&lt;Year&gt;2010&lt;/Year&gt;&lt;RecNum&gt;919&lt;/RecNum&gt;&lt;record&gt;&lt;rec-number&gt;919&lt;/rec-number&gt;&lt;foreign-keys&gt;&lt;key app="EN" db-id="xwd2etapvppxeeedez65vef7spew9w5daere"&gt;919&lt;/key&gt;&lt;/foreign-keys&gt;&lt;ref-type name="Report"&gt;27&lt;/ref-type&gt;&lt;contributors&gt;&lt;authors&gt;&lt;author&gt;Harper, Bruce A.&lt;/author&gt;&lt;author&gt;Kepert, Jeffrey D.&lt;/author&gt;&lt;author&gt;Ginger, John D.&lt;/author&gt;&lt;/authors&gt;&lt;/contributors&gt;&lt;titles&gt;&lt;title&gt;Guidelines for converting between various wind averaging periods in tropical cyclone conditions&lt;/title&gt;&lt;/titles&gt;&lt;number&gt;&amp;#xD;&lt;/number&gt;&lt;dates&gt;&lt;year&gt;2010&lt;/year&gt;&lt;/dates&gt;&lt;publisher&gt;World Meteorological Organisation&lt;/publisher&gt;&lt;isbn&gt;WMO/TD-No.1555&lt;/isbn&gt;&lt;urls&gt;&lt;related-urls&gt;&lt;url&gt;http://www.wmo.int/pages/prog/www/tcp/documents/WMO_TD_1555_en.pdf&lt;/url&gt;&lt;/related-urls&gt;&lt;/urls&gt;&lt;/record&gt;&lt;/Cite&gt;&lt;/EndNote&gt;</w:instrText>
      </w:r>
      <w:r>
        <w:rPr>
          <w:bCs/>
        </w:rPr>
        <w:fldChar w:fldCharType="separate"/>
      </w:r>
      <w:r>
        <w:rPr>
          <w:bCs/>
        </w:rPr>
        <w:t>2010</w:t>
      </w:r>
      <w:r>
        <w:rPr>
          <w:bCs/>
        </w:rPr>
        <w:fldChar w:fldCharType="end"/>
      </w:r>
      <w:r>
        <w:rPr>
          <w:bCs/>
        </w:rPr>
        <w:t xml:space="preserve">). </w:t>
      </w:r>
      <w:r w:rsidRPr="00211FB9">
        <w:rPr>
          <w:bCs/>
        </w:rPr>
        <w:t>The</w:t>
      </w:r>
      <w:r>
        <w:rPr>
          <w:bCs/>
        </w:rPr>
        <w:t xml:space="preserve"> resulting wind fields represent a 10 m above-ground, 3-second gust wind speed</w:t>
      </w:r>
      <w:r>
        <w:rPr>
          <w:rStyle w:val="FootnoteReference"/>
          <w:bCs/>
        </w:rPr>
        <w:footnoteReference w:id="15"/>
      </w:r>
      <w:r>
        <w:rPr>
          <w:bCs/>
        </w:rPr>
        <w:t xml:space="preserve"> over open, flat terrain, and this is carried across the entire model domain, including over-water areas.</w:t>
      </w:r>
    </w:p>
    <w:p w:rsidR="008237BB" w:rsidRDefault="008237BB" w:rsidP="008237BB">
      <w:pPr>
        <w:pStyle w:val="BodyText"/>
      </w:pPr>
      <w:r>
        <w:t>The boundary layer model assumes uniform land surface, but these effects were incorporated through site</w:t>
      </w:r>
      <w:r>
        <w:noBreakHyphen/>
        <w:t>exposure multipliers that are evaluated separately. The site-exposure multipliers combine effects of topography, land cover (e.g. forests, croplands, urban areas and water bodies) and the shielding effects provided by closely-spaced buildings.</w:t>
      </w:r>
    </w:p>
    <w:p w:rsidR="002F691C" w:rsidRDefault="008237BB" w:rsidP="009340CE">
      <w:pPr>
        <w:pStyle w:val="Headingappendix4"/>
      </w:pPr>
      <w:bookmarkStart w:id="1872" w:name="_Toc342638486"/>
      <w:bookmarkStart w:id="1873" w:name="_Toc346260985"/>
      <w:bookmarkStart w:id="1874" w:name="_Toc346632545"/>
      <w:bookmarkStart w:id="1875" w:name="_Toc347402480"/>
      <w:bookmarkStart w:id="1876" w:name="_Toc349055052"/>
      <w:bookmarkStart w:id="1877" w:name="_Toc349116953"/>
      <w:bookmarkStart w:id="1878" w:name="_Toc354402012"/>
      <w:bookmarkStart w:id="1879" w:name="_Toc354476509"/>
      <w:bookmarkStart w:id="1880" w:name="_Toc354492985"/>
      <w:bookmarkStart w:id="1881" w:name="_Toc354493115"/>
      <w:bookmarkStart w:id="1882" w:name="_Toc354493276"/>
      <w:bookmarkStart w:id="1883" w:name="_Toc355164196"/>
      <w:r>
        <w:t>Extreme value distribution</w:t>
      </w:r>
      <w:bookmarkEnd w:id="1872"/>
      <w:bookmarkEnd w:id="1873"/>
      <w:bookmarkEnd w:id="1874"/>
      <w:bookmarkEnd w:id="1875"/>
      <w:bookmarkEnd w:id="1876"/>
      <w:bookmarkEnd w:id="1877"/>
      <w:bookmarkEnd w:id="1878"/>
      <w:bookmarkEnd w:id="1879"/>
      <w:bookmarkEnd w:id="1880"/>
      <w:bookmarkEnd w:id="1881"/>
      <w:bookmarkEnd w:id="1882"/>
      <w:bookmarkEnd w:id="1883"/>
    </w:p>
    <w:p w:rsidR="002F691C" w:rsidRDefault="008237BB" w:rsidP="008237BB">
      <w:pPr>
        <w:pStyle w:val="BodyText"/>
        <w:rPr>
          <w:bCs/>
        </w:rPr>
      </w:pPr>
      <w:r w:rsidRPr="008D472A">
        <w:t>Once wind swaths for a simulated storm season have been generated, the annual maximum wind speeds for each grid point is stored. TCRM uses the method of L-moments (</w:t>
      </w:r>
      <w:r w:rsidRPr="008D472A">
        <w:fldChar w:fldCharType="begin"/>
      </w:r>
      <w:r w:rsidRPr="008D472A">
        <w:instrText xml:space="preserve"> ADDIN EN.CITE &lt;EndNote&gt;&lt;Cite&gt;&lt;Author&gt;Hosking&lt;/Author&gt;&lt;Year&gt;1990&lt;/Year&gt;&lt;RecNum&gt;753&lt;/RecNum&gt;&lt;record&gt;&lt;rec-number&gt;753&lt;/rec-number&gt;&lt;foreign-keys&gt;&lt;key app="EN" db-id="xwd2etapvppxeeedez65vef7spew9w5daere"&gt;753&lt;/key&gt;&lt;/foreign-keys&gt;&lt;ref-type name="Journal Article"&gt;17&lt;/ref-type&gt;&lt;contributors&gt;&lt;authors&gt;&lt;author&gt;Hosking, J. R. M.&lt;/author&gt;&lt;/authors&gt;&lt;/contributors&gt;&lt;titles&gt;&lt;title&gt;L-moments: Analysis and Estimation of Distributions using Linear Combinations of Order Statistics&lt;/title&gt;&lt;secondary-title&gt;Journal of the Royal Statistical Society&lt;/secondary-title&gt;&lt;/titles&gt;&lt;pages&gt;105-124&lt;/pages&gt;&lt;volume&gt;52&lt;/volume&gt;&lt;number&gt;1&lt;/number&gt;&lt;dates&gt;&lt;year&gt;1990&lt;/year&gt;&lt;/dates&gt;&lt;urls&gt;&lt;pdf-urls&gt;&lt;url&gt;internal-pdf://Hosking_1990-3143253505/Hosking_1990.pdf&lt;/url&gt;&lt;/pdf-urls&gt;&lt;/urls&gt;&lt;/record&gt;&lt;/Cite&gt;&lt;/EndNote&gt;</w:instrText>
      </w:r>
      <w:r w:rsidRPr="008D472A">
        <w:fldChar w:fldCharType="separate"/>
      </w:r>
      <w:r w:rsidRPr="008D472A">
        <w:t>Hosking, 1990</w:t>
      </w:r>
      <w:r w:rsidRPr="008D472A">
        <w:fldChar w:fldCharType="end"/>
      </w:r>
      <w:r w:rsidRPr="008D472A">
        <w:t xml:space="preserve">) to fit parameters to the Generalized Extreme Value (GEV) distribution of extreme wind speeds. ARI wind speeds </w:t>
      </w:r>
      <w:r>
        <w:t>were</w:t>
      </w:r>
      <w:r w:rsidRPr="008D472A">
        <w:t xml:space="preserve"> in turn estimated from the GEV parameters using </w:t>
      </w:r>
      <w:r>
        <w:rPr>
          <w:bCs/>
        </w:rPr>
        <w:t>Equation 1:</w:t>
      </w:r>
    </w:p>
    <w:p w:rsidR="008237BB" w:rsidRDefault="005167BF" w:rsidP="006B54B0">
      <w:pPr>
        <w:pStyle w:val="Equation"/>
      </w:pPr>
      <w:r w:rsidRPr="007B2345">
        <w:rPr>
          <w:position w:val="-38"/>
        </w:rPr>
        <w:object w:dxaOrig="4120" w:dyaOrig="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w left parenthesis t comma upsilon comma sigma comma zeta right parenthesis equal upsilon minus sigma divided by zeta left square bracket minus ln open parentheses 1 minus eta divided by t close parentheses right square bracket to the power of italic zeta" style="width:206pt;height:44.45pt;mso-position-vertical:absolute" o:ole="">
            <v:imagedata r:id="rId61" o:title=""/>
          </v:shape>
          <o:OLEObject Type="Embed" ProgID="Equation.3" ShapeID="_x0000_i1025" DrawAspect="Content" ObjectID="_1431405987" r:id="rId62"/>
        </w:object>
      </w:r>
      <w:r w:rsidR="008237BB">
        <w:t xml:space="preserve">Equation </w:t>
      </w:r>
      <w:r w:rsidR="007F11CF">
        <w:fldChar w:fldCharType="begin"/>
      </w:r>
      <w:r w:rsidR="007F11CF">
        <w:instrText xml:space="preserve"> SEQ Equation \* ARABIC </w:instrText>
      </w:r>
      <w:r w:rsidR="007F11CF">
        <w:fldChar w:fldCharType="separate"/>
      </w:r>
      <w:r w:rsidR="00413858">
        <w:rPr>
          <w:noProof/>
        </w:rPr>
        <w:t>1</w:t>
      </w:r>
      <w:r w:rsidR="007F11CF">
        <w:rPr>
          <w:noProof/>
        </w:rPr>
        <w:fldChar w:fldCharType="end"/>
      </w:r>
    </w:p>
    <w:p w:rsidR="002F691C" w:rsidRDefault="008237BB" w:rsidP="008237BB">
      <w:pPr>
        <w:pStyle w:val="BodyText"/>
      </w:pPr>
      <w:r>
        <w:t xml:space="preserve">where </w:t>
      </w:r>
      <w:r w:rsidRPr="007B6C0C">
        <w:rPr>
          <w:rStyle w:val="Bodytextitalic"/>
        </w:rPr>
        <w:t>w</w:t>
      </w:r>
      <w:r>
        <w:t xml:space="preserve"> is the wind speed with an ARI of </w:t>
      </w:r>
      <w:r w:rsidRPr="007B6C0C">
        <w:rPr>
          <w:rStyle w:val="Bodytextitalic"/>
        </w:rPr>
        <w:t>t</w:t>
      </w:r>
      <w:r>
        <w:t xml:space="preserve"> years. </w:t>
      </w:r>
      <w:r w:rsidRPr="00F06D18">
        <w:rPr>
          <w:rStyle w:val="Bodytextsymbols"/>
        </w:rPr>
        <w:t></w:t>
      </w:r>
      <w:r>
        <w:t xml:space="preserve">, </w:t>
      </w:r>
      <w:r w:rsidRPr="00F06D18">
        <w:rPr>
          <w:rStyle w:val="Bodytextsymbols"/>
        </w:rPr>
        <w:t></w:t>
      </w:r>
      <w:r>
        <w:t xml:space="preserve"> and </w:t>
      </w:r>
      <w:r w:rsidRPr="00F06D18">
        <w:rPr>
          <w:rStyle w:val="Bodytextsymbols"/>
        </w:rPr>
        <w:t></w:t>
      </w:r>
      <w:r>
        <w:t xml:space="preserve"> are the location, scale and shape parameters of the fitted GEV distribution respectively, and </w:t>
      </w:r>
      <w:r w:rsidRPr="007B6C0C">
        <w:rPr>
          <w:rStyle w:val="Bodytextitalic"/>
        </w:rPr>
        <w:t>n</w:t>
      </w:r>
      <w:r>
        <w:t xml:space="preserve"> is the length of record in years over which the maximum values are taken. This parameter fitting is performed at each point across the region of interest, leading to a spatial representation of ARI wind speeds.</w:t>
      </w:r>
    </w:p>
    <w:p w:rsidR="002F691C" w:rsidRDefault="008237BB" w:rsidP="008237BB">
      <w:pPr>
        <w:pStyle w:val="BodyText"/>
      </w:pPr>
      <w:r>
        <w:lastRenderedPageBreak/>
        <w:t>Confidence intervals of the estimated ARI wind speeds were calculated using a sub-sampling process for each point over the domain. A randomly sub-sampled set of the simulated wind speed values at each grid point were passed to the GEV fitting routine, and the resulting ARI wind speed estimates were ranked and percentile values returned (for example the 5</w:t>
      </w:r>
      <w:r w:rsidRPr="00055DCB">
        <w:rPr>
          <w:rStyle w:val="Superscript"/>
        </w:rPr>
        <w:t>th</w:t>
      </w:r>
      <w:r>
        <w:t xml:space="preserve"> and 95</w:t>
      </w:r>
      <w:r w:rsidRPr="00055DCB">
        <w:rPr>
          <w:rStyle w:val="Superscript"/>
        </w:rPr>
        <w:t>th</w:t>
      </w:r>
      <w:r>
        <w:t xml:space="preserve"> percentile ARI wind speed values) for each ARI.</w:t>
      </w:r>
    </w:p>
    <w:p w:rsidR="008237BB" w:rsidRPr="00055DCB" w:rsidRDefault="008237BB" w:rsidP="00253307">
      <w:pPr>
        <w:pStyle w:val="Figuresandimagesleft"/>
        <w:rPr>
          <w:rStyle w:val="BodyTextChar"/>
        </w:rPr>
      </w:pPr>
      <w:r>
        <w:rPr>
          <w:noProof/>
        </w:rPr>
        <w:drawing>
          <wp:inline distT="0" distB="0" distL="0" distR="0" wp14:anchorId="5FA71D02" wp14:editId="2910C36C">
            <wp:extent cx="5184000" cy="3108573"/>
            <wp:effectExtent l="0" t="0" r="0" b="0"/>
            <wp:docPr id="82" name="Picture 82" descr="This graph shows the relationship between the observed mean return period (return period equivalent to average recurrence interval) and the wind standard (AS/NZS 1170.2 (2011)) hazard across approximatly 10 to 1000 year average recurrence intervals. The wind hazard increases with decreasing probabilty of the event  and the wind standard hazard is within the 95% confidence limits of the observed mean return period wind ha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is graph shows the relationship between the observed mean return period (return period equivalent to average recurrence interval) and the wind standard (AS/NZS 1170.2 (2011)) hazard across approximatly 10 to 1000 year average recurrence intervals. The wind hazard increases with decreasing probabilty of the event  and the wind standard hazard is within the 95% confidence limits of the observed mean return period wind hazar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84000" cy="3108573"/>
                    </a:xfrm>
                    <a:prstGeom prst="rect">
                      <a:avLst/>
                    </a:prstGeom>
                    <a:noFill/>
                    <a:ln>
                      <a:noFill/>
                    </a:ln>
                  </pic:spPr>
                </pic:pic>
              </a:graphicData>
            </a:graphic>
          </wp:inline>
        </w:drawing>
      </w:r>
    </w:p>
    <w:p w:rsidR="008237BB" w:rsidRPr="00D0344B" w:rsidRDefault="00414D8E" w:rsidP="00414D8E">
      <w:pPr>
        <w:pStyle w:val="Caption"/>
      </w:pPr>
      <w:bookmarkStart w:id="1884" w:name="_Ref354558752"/>
      <w:bookmarkStart w:id="1885" w:name="_Ref337724532"/>
      <w:bookmarkStart w:id="1886" w:name="_Toc341336671"/>
      <w:bookmarkStart w:id="1887" w:name="_Toc342638635"/>
      <w:bookmarkStart w:id="1888" w:name="_Toc349055141"/>
      <w:bookmarkStart w:id="1889" w:name="_Toc349055804"/>
      <w:bookmarkStart w:id="1890" w:name="_Toc349114889"/>
      <w:bookmarkStart w:id="1891" w:name="_Toc349114980"/>
      <w:bookmarkStart w:id="1892" w:name="_Toc349115119"/>
      <w:bookmarkStart w:id="1893" w:name="_Toc349115512"/>
      <w:bookmarkStart w:id="1894" w:name="_Toc349115696"/>
      <w:bookmarkStart w:id="1895" w:name="_Toc350325285"/>
      <w:bookmarkStart w:id="1896" w:name="_Toc350325560"/>
      <w:bookmarkStart w:id="1897" w:name="_Toc350326984"/>
      <w:bookmarkStart w:id="1898" w:name="_Toc350327130"/>
      <w:bookmarkStart w:id="1899" w:name="_Toc350327262"/>
      <w:bookmarkStart w:id="1900" w:name="_Toc350339795"/>
      <w:bookmarkStart w:id="1901" w:name="_Toc350341468"/>
      <w:bookmarkStart w:id="1902" w:name="_Toc350341622"/>
      <w:bookmarkStart w:id="1903" w:name="_Toc351449907"/>
      <w:bookmarkStart w:id="1904" w:name="_Toc351449988"/>
      <w:bookmarkStart w:id="1905" w:name="_Toc352243714"/>
      <w:bookmarkStart w:id="1906" w:name="_Toc352243845"/>
      <w:bookmarkStart w:id="1907" w:name="_Toc352244390"/>
      <w:bookmarkStart w:id="1908" w:name="_Toc352244485"/>
      <w:bookmarkStart w:id="1909" w:name="_Toc354493482"/>
      <w:bookmarkStart w:id="1910" w:name="_Toc354493894"/>
      <w:bookmarkStart w:id="1911" w:name="_Toc354494576"/>
      <w:bookmarkStart w:id="1912" w:name="_Toc354494766"/>
      <w:bookmarkStart w:id="1913" w:name="_Toc354497582"/>
      <w:bookmarkStart w:id="1914" w:name="_Toc354561173"/>
      <w:bookmarkStart w:id="1915" w:name="_Toc354561357"/>
      <w:bookmarkStart w:id="1916" w:name="_Toc354561429"/>
      <w:bookmarkStart w:id="1917" w:name="_Toc354561501"/>
      <w:r>
        <w:t xml:space="preserve">Appendix Figure </w:t>
      </w:r>
      <w:r w:rsidR="007F11CF">
        <w:fldChar w:fldCharType="begin"/>
      </w:r>
      <w:r w:rsidR="007F11CF">
        <w:instrText xml:space="preserve"> STYLEREF 9 \s </w:instrText>
      </w:r>
      <w:r w:rsidR="007F11CF">
        <w:fldChar w:fldCharType="separate"/>
      </w:r>
      <w:r w:rsidR="00413858">
        <w:rPr>
          <w:noProof/>
        </w:rPr>
        <w:t>A</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w:t>
      </w:r>
      <w:r w:rsidR="007F11CF">
        <w:rPr>
          <w:noProof/>
        </w:rPr>
        <w:fldChar w:fldCharType="end"/>
      </w:r>
      <w:bookmarkEnd w:id="1884"/>
      <w:r>
        <w:t>.</w:t>
      </w:r>
      <w:r w:rsidR="006B5D94">
        <w:t xml:space="preserve"> </w:t>
      </w:r>
      <w:r w:rsidR="008237BB" w:rsidRPr="00D0344B">
        <w:rPr>
          <w:rFonts w:eastAsia="Times"/>
        </w:rPr>
        <w:t>ARI regional 3-second gust wind speeds for Rockhampton Airport (23.375°S, 150.47°E). The</w:t>
      </w:r>
      <w:bookmarkEnd w:id="1885"/>
      <w:r w:rsidR="008237BB" w:rsidRPr="00D0344B">
        <w:rPr>
          <w:rFonts w:eastAsia="Times"/>
        </w:rPr>
        <w:t xml:space="preserve"> corresponding ARI wind speeds from wind standard AS/NZS 1170.2 (2011) are shown for reference (‘Region</w:t>
      </w:r>
      <w:r w:rsidR="00CD3EE2">
        <w:rPr>
          <w:rFonts w:eastAsia="Times"/>
        </w:rPr>
        <w:t> </w:t>
      </w:r>
      <w:r w:rsidR="008237BB" w:rsidRPr="00D0344B">
        <w:rPr>
          <w:rFonts w:eastAsia="Times"/>
        </w:rPr>
        <w:t>C’).</w:t>
      </w:r>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p>
    <w:p w:rsidR="008237BB" w:rsidRDefault="008237BB" w:rsidP="00253307">
      <w:pPr>
        <w:pStyle w:val="Figuresandimagesleft"/>
      </w:pPr>
      <w:r>
        <w:rPr>
          <w:noProof/>
        </w:rPr>
        <w:drawing>
          <wp:inline distT="0" distB="0" distL="0" distR="0" wp14:anchorId="0325DD15" wp14:editId="5E9F0FBF">
            <wp:extent cx="5184000" cy="3099427"/>
            <wp:effectExtent l="0" t="0" r="0" b="6350"/>
            <wp:docPr id="81" name="Picture 81" descr="This graphs shows the annualised form of the previous graph as follows.&#10;&#10;This graph shows the relationship between the observed mean annualised wind hazard probability and the wind standard (AS/NZS 1170.2 (2011)) hazard across approximatly 0.1% to 10% annual exceedance probabilities. The wind hazard increases with decreasing probabilty of the event  and the wind standard hazard is within the 95% confidence limits of the observed mean return period wind ha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is graphs shows the annualised form of the previous graph as follows.&#10;&#10;This graph shows the relationship between the observed mean annualised wind hazard probability and the wind standard (AS/NZS 1170.2 (2011)) hazard across approximatly 0.1% to 10% annual exceedance probabilities. The wind hazard increases with decreasing probabilty of the event  and the wind standard hazard is within the 95% confidence limits of the observed mean return period wind hazar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84000" cy="3099427"/>
                    </a:xfrm>
                    <a:prstGeom prst="rect">
                      <a:avLst/>
                    </a:prstGeom>
                    <a:noFill/>
                    <a:ln>
                      <a:noFill/>
                    </a:ln>
                  </pic:spPr>
                </pic:pic>
              </a:graphicData>
            </a:graphic>
          </wp:inline>
        </w:drawing>
      </w:r>
    </w:p>
    <w:p w:rsidR="008237BB" w:rsidRPr="00D0344B" w:rsidRDefault="00414D8E" w:rsidP="008237BB">
      <w:pPr>
        <w:pStyle w:val="Caption"/>
        <w:rPr>
          <w:rFonts w:eastAsia="Times"/>
        </w:rPr>
      </w:pPr>
      <w:bookmarkStart w:id="1918" w:name="_Ref340490344"/>
      <w:bookmarkStart w:id="1919" w:name="_Toc341336672"/>
      <w:bookmarkStart w:id="1920" w:name="_Toc342638636"/>
      <w:bookmarkStart w:id="1921" w:name="_Toc349055805"/>
      <w:bookmarkStart w:id="1922" w:name="_Toc349114890"/>
      <w:bookmarkStart w:id="1923" w:name="_Toc349114981"/>
      <w:bookmarkStart w:id="1924" w:name="_Toc349115120"/>
      <w:bookmarkStart w:id="1925" w:name="_Toc349115513"/>
      <w:bookmarkStart w:id="1926" w:name="_Toc349115697"/>
      <w:bookmarkStart w:id="1927" w:name="_Toc350325286"/>
      <w:bookmarkStart w:id="1928" w:name="_Toc350325561"/>
      <w:bookmarkStart w:id="1929" w:name="_Toc350326985"/>
      <w:bookmarkStart w:id="1930" w:name="_Toc350327131"/>
      <w:bookmarkStart w:id="1931" w:name="_Toc350327263"/>
      <w:bookmarkStart w:id="1932" w:name="_Toc350339796"/>
      <w:bookmarkStart w:id="1933" w:name="_Toc350341469"/>
      <w:bookmarkStart w:id="1934" w:name="_Toc350341623"/>
      <w:bookmarkStart w:id="1935" w:name="_Toc351449908"/>
      <w:bookmarkStart w:id="1936" w:name="_Toc351449989"/>
      <w:bookmarkStart w:id="1937" w:name="_Toc352243715"/>
      <w:bookmarkStart w:id="1938" w:name="_Toc352243846"/>
      <w:bookmarkStart w:id="1939" w:name="_Toc352244391"/>
      <w:bookmarkStart w:id="1940" w:name="_Toc352244486"/>
      <w:bookmarkStart w:id="1941" w:name="_Toc354493483"/>
      <w:bookmarkStart w:id="1942" w:name="_Toc354493895"/>
      <w:bookmarkStart w:id="1943" w:name="_Toc354494577"/>
      <w:bookmarkStart w:id="1944" w:name="_Toc354494767"/>
      <w:bookmarkStart w:id="1945" w:name="_Toc354497583"/>
      <w:bookmarkStart w:id="1946" w:name="_Toc354561174"/>
      <w:bookmarkStart w:id="1947" w:name="_Toc354561358"/>
      <w:bookmarkStart w:id="1948" w:name="_Toc354561430"/>
      <w:bookmarkStart w:id="1949" w:name="_Toc354561502"/>
      <w:r>
        <w:t>Appendix Figure</w:t>
      </w:r>
      <w:r w:rsidR="00CD3EE2">
        <w:t> </w:t>
      </w:r>
      <w:r w:rsidR="007F11CF">
        <w:fldChar w:fldCharType="begin"/>
      </w:r>
      <w:r w:rsidR="007F11CF">
        <w:instrText xml:space="preserve"> STYLEREF 9 \s </w:instrText>
      </w:r>
      <w:r w:rsidR="007F11CF">
        <w:fldChar w:fldCharType="separate"/>
      </w:r>
      <w:r w:rsidR="00413858">
        <w:rPr>
          <w:noProof/>
        </w:rPr>
        <w:t>A</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2</w:t>
      </w:r>
      <w:r w:rsidR="007F11CF">
        <w:rPr>
          <w:noProof/>
        </w:rPr>
        <w:fldChar w:fldCharType="end"/>
      </w:r>
      <w:bookmarkEnd w:id="1918"/>
      <w:r w:rsidR="008237BB">
        <w:t xml:space="preserve">. </w:t>
      </w:r>
      <w:r w:rsidR="008237BB" w:rsidRPr="00D0344B">
        <w:rPr>
          <w:rFonts w:eastAsia="Times"/>
        </w:rPr>
        <w:t>Annual exceedance probability 3-second gust wind speeds for Rockhampton Airport (23.375°S,</w:t>
      </w:r>
      <w:bookmarkEnd w:id="1919"/>
      <w:bookmarkEnd w:id="1920"/>
      <w:r w:rsidR="008237BB" w:rsidRPr="00D0344B">
        <w:rPr>
          <w:rFonts w:eastAsia="Times"/>
        </w:rPr>
        <w:t xml:space="preserve">150.47°E). As for </w:t>
      </w:r>
      <w:r w:rsidR="00FF6328" w:rsidRPr="00FF6328">
        <w:rPr>
          <w:rFonts w:eastAsia="Times"/>
        </w:rPr>
        <w:t>Appendix Figure A.1</w:t>
      </w:r>
      <w:r w:rsidR="008237BB" w:rsidRPr="00D0344B">
        <w:rPr>
          <w:rFonts w:eastAsia="Times"/>
        </w:rPr>
        <w:t>, the corresponding exceedance probabilities for Region C in wind standard AS/NZS 1170.2 (2011) are shown.</w:t>
      </w:r>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p>
    <w:p w:rsidR="008237BB" w:rsidRPr="006B24B4" w:rsidRDefault="008237BB" w:rsidP="00253307">
      <w:pPr>
        <w:pStyle w:val="Figuresandimagescentred"/>
      </w:pPr>
      <w:r w:rsidRPr="00253307">
        <w:rPr>
          <w:noProof/>
        </w:rPr>
        <w:lastRenderedPageBreak/>
        <w:drawing>
          <wp:inline distT="0" distB="0" distL="0" distR="0" wp14:anchorId="172BF72C" wp14:editId="0CB602DE">
            <wp:extent cx="3999600" cy="3600000"/>
            <wp:effectExtent l="19050" t="19050" r="20320" b="19685"/>
            <wp:docPr id="80" name="Picture 80" descr="TCWind_500yrARIReg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CWind_500yrARIRegional"/>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99600" cy="3600000"/>
                    </a:xfrm>
                    <a:prstGeom prst="rect">
                      <a:avLst/>
                    </a:prstGeom>
                    <a:noFill/>
                    <a:ln w="6350" cmpd="sng">
                      <a:solidFill>
                        <a:srgbClr val="000000"/>
                      </a:solidFill>
                      <a:miter lim="800000"/>
                      <a:headEnd/>
                      <a:tailEnd/>
                    </a:ln>
                    <a:effectLst/>
                  </pic:spPr>
                </pic:pic>
              </a:graphicData>
            </a:graphic>
          </wp:inline>
        </w:drawing>
      </w:r>
    </w:p>
    <w:p w:rsidR="008237BB" w:rsidRPr="00D0344B" w:rsidRDefault="00414D8E" w:rsidP="008237BB">
      <w:pPr>
        <w:pStyle w:val="Caption"/>
      </w:pPr>
      <w:bookmarkStart w:id="1950" w:name="_Ref340840192"/>
      <w:bookmarkStart w:id="1951" w:name="_Toc341336673"/>
      <w:bookmarkStart w:id="1952" w:name="_Toc342638637"/>
      <w:bookmarkStart w:id="1953" w:name="_Toc349055806"/>
      <w:bookmarkStart w:id="1954" w:name="_Toc349114891"/>
      <w:bookmarkStart w:id="1955" w:name="_Toc349114982"/>
      <w:bookmarkStart w:id="1956" w:name="_Toc349115121"/>
      <w:bookmarkStart w:id="1957" w:name="_Toc349115514"/>
      <w:bookmarkStart w:id="1958" w:name="_Toc349115698"/>
      <w:bookmarkStart w:id="1959" w:name="_Toc350325287"/>
      <w:bookmarkStart w:id="1960" w:name="_Toc350325562"/>
      <w:bookmarkStart w:id="1961" w:name="_Toc350326986"/>
      <w:bookmarkStart w:id="1962" w:name="_Toc350327132"/>
      <w:bookmarkStart w:id="1963" w:name="_Toc350327264"/>
      <w:bookmarkStart w:id="1964" w:name="_Toc350339797"/>
      <w:bookmarkStart w:id="1965" w:name="_Toc350341470"/>
      <w:bookmarkStart w:id="1966" w:name="_Toc350341624"/>
      <w:bookmarkStart w:id="1967" w:name="_Toc351449909"/>
      <w:bookmarkStart w:id="1968" w:name="_Toc351449990"/>
      <w:bookmarkStart w:id="1969" w:name="_Toc352243716"/>
      <w:bookmarkStart w:id="1970" w:name="_Toc352243847"/>
      <w:bookmarkStart w:id="1971" w:name="_Toc352244392"/>
      <w:bookmarkStart w:id="1972" w:name="_Toc352244487"/>
      <w:bookmarkStart w:id="1973" w:name="_Toc354493484"/>
      <w:bookmarkStart w:id="1974" w:name="_Toc354493896"/>
      <w:bookmarkStart w:id="1975" w:name="_Toc354494578"/>
      <w:bookmarkStart w:id="1976" w:name="_Toc354494768"/>
      <w:bookmarkStart w:id="1977" w:name="_Toc354497584"/>
      <w:bookmarkStart w:id="1978" w:name="_Toc354561175"/>
      <w:bookmarkStart w:id="1979" w:name="_Toc354561359"/>
      <w:bookmarkStart w:id="1980" w:name="_Toc354561431"/>
      <w:bookmarkStart w:id="1981" w:name="_Toc354561503"/>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A</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3</w:t>
      </w:r>
      <w:r w:rsidR="007F11CF">
        <w:rPr>
          <w:noProof/>
        </w:rPr>
        <w:fldChar w:fldCharType="end"/>
      </w:r>
      <w:bookmarkEnd w:id="1950"/>
      <w:r w:rsidR="008237BB">
        <w:t xml:space="preserve">. </w:t>
      </w:r>
      <w:r w:rsidR="008237BB" w:rsidRPr="00D0344B">
        <w:t>500-year ARI (0.2% annual exceedance probability) regional 3-second gust wind speed</w:t>
      </w:r>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r w:rsidR="008237BB" w:rsidRPr="00D0344B">
        <w:t>(symbolised in TC wind speed categories) map for the central Queensland region. Local effects (</w:t>
      </w:r>
      <w:r w:rsidR="006B5D94">
        <w:t>e.g. topography, land cover</w:t>
      </w:r>
      <w:r w:rsidR="008237BB" w:rsidRPr="00D0344B">
        <w:t>) have not yet been incorporated.</w:t>
      </w:r>
      <w:bookmarkEnd w:id="1978"/>
      <w:bookmarkEnd w:id="1979"/>
      <w:bookmarkEnd w:id="1980"/>
      <w:bookmarkEnd w:id="1981"/>
    </w:p>
    <w:p w:rsidR="008237BB" w:rsidRPr="009909F5" w:rsidRDefault="008237BB" w:rsidP="009340CE">
      <w:pPr>
        <w:pStyle w:val="Headingappendix4"/>
      </w:pPr>
      <w:bookmarkStart w:id="1982" w:name="_Toc341336588"/>
      <w:bookmarkStart w:id="1983" w:name="_Toc342638487"/>
      <w:bookmarkStart w:id="1984" w:name="_Toc346260986"/>
      <w:bookmarkStart w:id="1985" w:name="_Toc346632546"/>
      <w:bookmarkStart w:id="1986" w:name="_Toc347402481"/>
      <w:bookmarkStart w:id="1987" w:name="_Toc349055053"/>
      <w:bookmarkStart w:id="1988" w:name="_Toc349116954"/>
      <w:bookmarkStart w:id="1989" w:name="_Toc354402013"/>
      <w:bookmarkStart w:id="1990" w:name="_Toc354476510"/>
      <w:bookmarkStart w:id="1991" w:name="_Toc354492986"/>
      <w:bookmarkStart w:id="1992" w:name="_Toc354493116"/>
      <w:bookmarkStart w:id="1993" w:name="_Toc354493277"/>
      <w:bookmarkStart w:id="1994" w:name="_Toc355164197"/>
      <w:r w:rsidRPr="009909F5">
        <w:t>Wind multipliers</w:t>
      </w:r>
      <w:bookmarkEnd w:id="1982"/>
      <w:bookmarkEnd w:id="1983"/>
      <w:bookmarkEnd w:id="1984"/>
      <w:bookmarkEnd w:id="1985"/>
      <w:bookmarkEnd w:id="1986"/>
      <w:bookmarkEnd w:id="1987"/>
      <w:bookmarkEnd w:id="1988"/>
      <w:bookmarkEnd w:id="1989"/>
      <w:bookmarkEnd w:id="1990"/>
      <w:bookmarkEnd w:id="1991"/>
      <w:bookmarkEnd w:id="1992"/>
      <w:bookmarkEnd w:id="1993"/>
      <w:bookmarkEnd w:id="1994"/>
    </w:p>
    <w:p w:rsidR="008237BB" w:rsidRDefault="008237BB" w:rsidP="008237BB">
      <w:pPr>
        <w:pStyle w:val="BodyText"/>
      </w:pPr>
      <w:r w:rsidRPr="008C6380">
        <w:t>The model incorporates the effects of the land surface on the wind through so-called</w:t>
      </w:r>
      <w:r>
        <w:t xml:space="preserve"> </w:t>
      </w:r>
      <w:r w:rsidRPr="008C6380">
        <w:t>site-exposure multipliers. The site-exposure multipliers combine effects of</w:t>
      </w:r>
      <w:r>
        <w:t xml:space="preserve"> </w:t>
      </w:r>
      <w:r w:rsidRPr="008C6380">
        <w:t>topography, land cover (e.g. forests, croplands, urban areas and water bodies) and the</w:t>
      </w:r>
      <w:r>
        <w:t xml:space="preserve"> </w:t>
      </w:r>
      <w:r w:rsidRPr="008C6380">
        <w:t>shielding effects provided by closely-spaced buildings.</w:t>
      </w:r>
      <w:r>
        <w:t xml:space="preserve"> </w:t>
      </w:r>
      <w:r w:rsidRPr="008C6380">
        <w:t>The wind multipliers are location specific values that convert the regional return wind</w:t>
      </w:r>
      <w:r>
        <w:t xml:space="preserve"> </w:t>
      </w:r>
      <w:r w:rsidRPr="008C6380">
        <w:t>speed</w:t>
      </w:r>
      <w:r w:rsidRPr="00FC0857">
        <w:rPr>
          <w:rStyle w:val="Superscript"/>
          <w:rFonts w:eastAsia="Times New Roman"/>
        </w:rPr>
        <w:footnoteReference w:id="16"/>
      </w:r>
      <w:r>
        <w:t xml:space="preserve"> (</w:t>
      </w:r>
      <w:r>
        <w:fldChar w:fldCharType="begin"/>
      </w:r>
      <w:r>
        <w:instrText xml:space="preserve"> REF _Ref340840192 \h </w:instrText>
      </w:r>
      <w:r>
        <w:fldChar w:fldCharType="separate"/>
      </w:r>
      <w:r w:rsidR="00413858">
        <w:t xml:space="preserve">Appendix Figure </w:t>
      </w:r>
      <w:r w:rsidR="00413858">
        <w:rPr>
          <w:noProof/>
        </w:rPr>
        <w:t>A</w:t>
      </w:r>
      <w:r w:rsidR="00413858">
        <w:t>.</w:t>
      </w:r>
      <w:r w:rsidR="00413858">
        <w:rPr>
          <w:noProof/>
        </w:rPr>
        <w:t>3</w:t>
      </w:r>
      <w:r>
        <w:fldChar w:fldCharType="end"/>
      </w:r>
      <w:r>
        <w:t>)</w:t>
      </w:r>
      <w:r w:rsidRPr="008C6380">
        <w:t xml:space="preserve"> into local wind speed estimates</w:t>
      </w:r>
      <w:r>
        <w:t xml:space="preserve"> at building height</w:t>
      </w:r>
      <w:r w:rsidRPr="008C6380">
        <w:t>. The</w:t>
      </w:r>
      <w:r>
        <w:t xml:space="preserve"> combined</w:t>
      </w:r>
      <w:r w:rsidRPr="008C6380">
        <w:t xml:space="preserve"> wind multiplier raster is developed from</w:t>
      </w:r>
      <w:r>
        <w:t xml:space="preserve"> the combination of </w:t>
      </w:r>
      <w:r w:rsidRPr="008C6380">
        <w:t>four multiplier rasters:</w:t>
      </w:r>
    </w:p>
    <w:p w:rsidR="008237BB" w:rsidRPr="005B6444" w:rsidRDefault="008237BB" w:rsidP="004B379B">
      <w:pPr>
        <w:pStyle w:val="Bulletlevel1"/>
      </w:pPr>
      <w:r w:rsidRPr="005B6444">
        <w:t>the wind direction multiplier (cyclonic winds all directions = 0.95)</w:t>
      </w:r>
    </w:p>
    <w:p w:rsidR="008237BB" w:rsidRPr="005B6444" w:rsidRDefault="008237BB" w:rsidP="004B379B">
      <w:pPr>
        <w:pStyle w:val="Bulletlevel1"/>
      </w:pPr>
      <w:r w:rsidRPr="005B6444">
        <w:t>the terrain/height multiplier (</w:t>
      </w:r>
      <w:r>
        <w:t>effect of</w:t>
      </w:r>
      <w:r w:rsidRPr="005B6444">
        <w:t xml:space="preserve"> surface roughness</w:t>
      </w:r>
      <w:r>
        <w:t xml:space="preserve"> on wind speed</w:t>
      </w:r>
      <w:r w:rsidRPr="005B6444">
        <w:t>)</w:t>
      </w:r>
    </w:p>
    <w:p w:rsidR="008237BB" w:rsidRPr="005B6444" w:rsidRDefault="008237BB" w:rsidP="004B379B">
      <w:pPr>
        <w:pStyle w:val="Bulletlevel1"/>
      </w:pPr>
      <w:r w:rsidRPr="005B6444">
        <w:t>the shielding multiplier (upwind shielding from buildings)</w:t>
      </w:r>
    </w:p>
    <w:p w:rsidR="008237BB" w:rsidRDefault="008237BB" w:rsidP="004B379B">
      <w:pPr>
        <w:pStyle w:val="Bulletlevel1"/>
      </w:pPr>
      <w:r w:rsidRPr="005B6444">
        <w:t>the topographic multiplier (hill slope).</w:t>
      </w:r>
    </w:p>
    <w:p w:rsidR="008237BB" w:rsidRDefault="008237BB" w:rsidP="008237BB">
      <w:pPr>
        <w:pStyle w:val="BodyText"/>
      </w:pPr>
      <w:r w:rsidRPr="008C6380">
        <w:t xml:space="preserve">When the </w:t>
      </w:r>
      <w:r>
        <w:t>combined site-exposure multiplier raster</w:t>
      </w:r>
      <w:r w:rsidRPr="008C6380">
        <w:t xml:space="preserve"> is applied to the regional (</w:t>
      </w:r>
      <w:r>
        <w:t>ARI</w:t>
      </w:r>
      <w:r w:rsidRPr="008C6380">
        <w:t xml:space="preserve">) wind speed raster, nine rasters </w:t>
      </w:r>
      <w:r>
        <w:t>were</w:t>
      </w:r>
      <w:r w:rsidRPr="008C6380">
        <w:t xml:space="preserve"> produced: eight cardinal directions </w:t>
      </w:r>
      <w:r>
        <w:t xml:space="preserve">with </w:t>
      </w:r>
      <w:r w:rsidRPr="008C6380">
        <w:t>the</w:t>
      </w:r>
      <w:r>
        <w:t xml:space="preserve"> </w:t>
      </w:r>
      <w:r w:rsidRPr="008C6380">
        <w:t xml:space="preserve">ninth a maximum wind speed </w:t>
      </w:r>
      <w:r>
        <w:t>based on</w:t>
      </w:r>
      <w:r w:rsidRPr="008C6380">
        <w:t xml:space="preserve"> the other eight. The maximum</w:t>
      </w:r>
      <w:r>
        <w:t xml:space="preserve"> </w:t>
      </w:r>
      <w:r w:rsidRPr="008C6380">
        <w:t xml:space="preserve">wind speed raster for each </w:t>
      </w:r>
      <w:r>
        <w:t>ARI considered</w:t>
      </w:r>
      <w:r w:rsidRPr="008C6380">
        <w:t xml:space="preserve"> has been provided in the</w:t>
      </w:r>
      <w:r>
        <w:t xml:space="preserve"> results and the</w:t>
      </w:r>
      <w:r w:rsidRPr="008C6380">
        <w:t xml:space="preserve"> wind hazard map</w:t>
      </w:r>
      <w:r>
        <w:t xml:space="preserve"> </w:t>
      </w:r>
      <w:r w:rsidRPr="008C6380">
        <w:t>sheets.</w:t>
      </w:r>
    </w:p>
    <w:p w:rsidR="008237BB" w:rsidRPr="0079781B" w:rsidRDefault="008237BB" w:rsidP="00935848">
      <w:pPr>
        <w:pStyle w:val="Headingappendix3"/>
      </w:pPr>
      <w:bookmarkStart w:id="1995" w:name="_Toc341336590"/>
      <w:bookmarkStart w:id="1996" w:name="_Toc342638488"/>
      <w:bookmarkStart w:id="1997" w:name="_Toc346260987"/>
      <w:bookmarkStart w:id="1998" w:name="_Toc346632547"/>
      <w:bookmarkStart w:id="1999" w:name="_Toc346632881"/>
      <w:bookmarkStart w:id="2000" w:name="_Toc346632993"/>
      <w:bookmarkStart w:id="2001" w:name="_Toc346633105"/>
      <w:bookmarkStart w:id="2002" w:name="_Toc346633217"/>
      <w:bookmarkStart w:id="2003" w:name="_Toc347401762"/>
      <w:bookmarkStart w:id="2004" w:name="_Toc347401874"/>
      <w:bookmarkStart w:id="2005" w:name="_Toc347401986"/>
      <w:bookmarkStart w:id="2006" w:name="_Toc347402098"/>
      <w:bookmarkStart w:id="2007" w:name="_Toc347402482"/>
      <w:bookmarkStart w:id="2008" w:name="_Toc349055054"/>
      <w:bookmarkStart w:id="2009" w:name="_Toc349055391"/>
      <w:bookmarkStart w:id="2010" w:name="_Toc349055504"/>
      <w:bookmarkStart w:id="2011" w:name="_Toc349055617"/>
      <w:bookmarkStart w:id="2012" w:name="_Toc349055730"/>
      <w:bookmarkStart w:id="2013" w:name="_Toc349116955"/>
      <w:bookmarkStart w:id="2014" w:name="_Toc350330048"/>
      <w:bookmarkStart w:id="2015" w:name="_Toc350344027"/>
      <w:bookmarkStart w:id="2016" w:name="_Toc354402014"/>
      <w:bookmarkStart w:id="2017" w:name="_Toc354476511"/>
      <w:bookmarkStart w:id="2018" w:name="_Toc354492874"/>
      <w:bookmarkStart w:id="2019" w:name="_Toc354492987"/>
      <w:bookmarkStart w:id="2020" w:name="_Toc354493117"/>
      <w:bookmarkStart w:id="2021" w:name="_Toc354493278"/>
      <w:bookmarkStart w:id="2022" w:name="_Toc354493740"/>
      <w:bookmarkStart w:id="2023" w:name="_Toc354494275"/>
      <w:bookmarkStart w:id="2024" w:name="_Toc354494493"/>
      <w:bookmarkStart w:id="2025" w:name="_Toc354494704"/>
      <w:bookmarkStart w:id="2026" w:name="_Toc354494998"/>
      <w:bookmarkStart w:id="2027" w:name="_Toc354497880"/>
      <w:bookmarkStart w:id="2028" w:name="_Toc354561293"/>
      <w:bookmarkStart w:id="2029" w:name="_Toc355164198"/>
      <w:bookmarkStart w:id="2030" w:name="_Toc355249634"/>
      <w:r>
        <w:lastRenderedPageBreak/>
        <w:t>Future Climate</w:t>
      </w:r>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p>
    <w:p w:rsidR="008237BB" w:rsidRDefault="008237BB" w:rsidP="008237BB">
      <w:pPr>
        <w:pStyle w:val="BodyText"/>
      </w:pPr>
      <w:r>
        <w:t>There were four steps in modelling future-climate TC hazard:</w:t>
      </w:r>
    </w:p>
    <w:p w:rsidR="008237BB" w:rsidRPr="005B6444" w:rsidRDefault="008237BB" w:rsidP="004B379B">
      <w:pPr>
        <w:pStyle w:val="Bulletlevel1"/>
      </w:pPr>
      <w:r w:rsidRPr="005B6444">
        <w:t>Extract TC</w:t>
      </w:r>
      <w:r w:rsidR="006B5D94">
        <w:t>-</w:t>
      </w:r>
      <w:r w:rsidRPr="005B6444">
        <w:t>Like Vortices (TCLVs</w:t>
      </w:r>
      <w:r w:rsidRPr="00A15A5E">
        <w:rPr>
          <w:rStyle w:val="Superscript"/>
        </w:rPr>
        <w:footnoteReference w:id="17"/>
      </w:r>
      <w:r w:rsidRPr="005B6444">
        <w:t>) from high-resolution regional climate simulations for 1981</w:t>
      </w:r>
      <w:r w:rsidRPr="005B6444">
        <w:noBreakHyphen/>
        <w:t>2000, 2046-2065 and 2081-2100</w:t>
      </w:r>
    </w:p>
    <w:p w:rsidR="002F691C" w:rsidRDefault="008237BB" w:rsidP="004B379B">
      <w:pPr>
        <w:pStyle w:val="Bulletlevel1"/>
      </w:pPr>
      <w:r w:rsidRPr="005B6444">
        <w:t>Use each TCLV dataset as input to the TCRM to evaluate TC wind hazard for that time period</w:t>
      </w:r>
    </w:p>
    <w:p w:rsidR="008237BB" w:rsidRPr="004B379B" w:rsidRDefault="008237BB" w:rsidP="004B379B">
      <w:pPr>
        <w:pStyle w:val="Bulletlevel1"/>
      </w:pPr>
      <w:r w:rsidRPr="005B6444">
        <w:t>Compare resulting TC wind hazard estimates, identifying areas where the change is significant</w:t>
      </w:r>
      <w:r w:rsidRPr="00FC0857">
        <w:rPr>
          <w:rStyle w:val="Superscript"/>
        </w:rPr>
        <w:footnoteReference w:id="18"/>
      </w:r>
    </w:p>
    <w:p w:rsidR="008237BB" w:rsidRDefault="008237BB" w:rsidP="004B379B">
      <w:pPr>
        <w:pStyle w:val="Bulletlevel1"/>
      </w:pPr>
      <w:r w:rsidRPr="005B6444">
        <w:t xml:space="preserve">Apply relative change in hazard from TCLVs to the observed </w:t>
      </w:r>
      <w:r>
        <w:t>current-climate</w:t>
      </w:r>
      <w:r w:rsidRPr="005B6444">
        <w:t xml:space="preserve"> (historical) hazard.</w:t>
      </w:r>
    </w:p>
    <w:p w:rsidR="002F691C" w:rsidRDefault="008237BB" w:rsidP="008237BB">
      <w:pPr>
        <w:pStyle w:val="BodyText"/>
      </w:pPr>
      <w:r>
        <w:t>Five thousand years of TC activity were simulated based on the input TCLV dataset for each twenty year time period (1981-2000, 2046-2065 and 2081-2100), and then the associated ARI wind fields calculated for each of those simulated years. For each time period, the TC severe wind hazard (quantified in ARI wind speeds) and the 90</w:t>
      </w:r>
      <w:r w:rsidRPr="00055DCB">
        <w:rPr>
          <w:rStyle w:val="Superscript"/>
        </w:rPr>
        <w:t>th</w:t>
      </w:r>
      <w:r>
        <w:t xml:space="preserve"> percentile range of the hazard was evaluated.</w:t>
      </w:r>
    </w:p>
    <w:p w:rsidR="008237BB" w:rsidRDefault="008237BB" w:rsidP="008237BB">
      <w:pPr>
        <w:pStyle w:val="BodyText"/>
      </w:pPr>
      <w:r>
        <w:t>The 90</w:t>
      </w:r>
      <w:r w:rsidRPr="00055DCB">
        <w:rPr>
          <w:rStyle w:val="Superscript"/>
        </w:rPr>
        <w:t>th</w:t>
      </w:r>
      <w:r>
        <w:t xml:space="preserve"> percentile range was calculated by fitting an extreme value distribution to a subset of the simulated wind fields many times and calculating the 95</w:t>
      </w:r>
      <w:r w:rsidRPr="00055DCB">
        <w:rPr>
          <w:rStyle w:val="Superscript"/>
        </w:rPr>
        <w:t>th</w:t>
      </w:r>
      <w:r>
        <w:t xml:space="preserve"> and 5</w:t>
      </w:r>
      <w:r w:rsidRPr="00055DCB">
        <w:rPr>
          <w:rStyle w:val="Superscript"/>
        </w:rPr>
        <w:t>th</w:t>
      </w:r>
      <w:r>
        <w:t xml:space="preserve"> percentiles of the resulting wind speed values at each ARI. This gives an indication of the possible range of hazard levels arising from a short input dataset. For example, between any two 20-year periods there will be differences in the frequency of TC events. The resulting hazard levels from the two 20-year periods will be different. This process to calculate the 90</w:t>
      </w:r>
      <w:r w:rsidRPr="00055DCB">
        <w:rPr>
          <w:rStyle w:val="Superscript"/>
        </w:rPr>
        <w:t>th</w:t>
      </w:r>
      <w:r>
        <w:t xml:space="preserve"> percentile range aims to capture the potential variability.</w:t>
      </w:r>
    </w:p>
    <w:p w:rsidR="008237BB" w:rsidRPr="006C0A72" w:rsidRDefault="008237BB" w:rsidP="009340CE">
      <w:pPr>
        <w:pStyle w:val="Headingappendix4"/>
      </w:pPr>
      <w:bookmarkStart w:id="2031" w:name="_Toc341336591"/>
      <w:bookmarkStart w:id="2032" w:name="_Toc342638489"/>
      <w:bookmarkStart w:id="2033" w:name="_Toc346260988"/>
      <w:bookmarkStart w:id="2034" w:name="_Toc346632548"/>
      <w:bookmarkStart w:id="2035" w:name="_Toc347402483"/>
      <w:bookmarkStart w:id="2036" w:name="_Toc349055055"/>
      <w:bookmarkStart w:id="2037" w:name="_Toc349116956"/>
      <w:bookmarkStart w:id="2038" w:name="_Toc354402015"/>
      <w:bookmarkStart w:id="2039" w:name="_Toc354476512"/>
      <w:bookmarkStart w:id="2040" w:name="_Toc354492988"/>
      <w:bookmarkStart w:id="2041" w:name="_Toc354493118"/>
      <w:bookmarkStart w:id="2042" w:name="_Toc354493279"/>
      <w:bookmarkStart w:id="2043" w:name="_Toc355164199"/>
      <w:r w:rsidRPr="006C0A72">
        <w:t>Data source</w:t>
      </w:r>
      <w:r>
        <w:t>s</w:t>
      </w:r>
      <w:bookmarkEnd w:id="2031"/>
      <w:bookmarkEnd w:id="2032"/>
      <w:bookmarkEnd w:id="2033"/>
      <w:bookmarkEnd w:id="2034"/>
      <w:bookmarkEnd w:id="2035"/>
      <w:bookmarkEnd w:id="2036"/>
      <w:bookmarkEnd w:id="2037"/>
      <w:bookmarkEnd w:id="2038"/>
      <w:bookmarkEnd w:id="2039"/>
      <w:bookmarkEnd w:id="2040"/>
      <w:bookmarkEnd w:id="2041"/>
      <w:bookmarkEnd w:id="2042"/>
      <w:bookmarkEnd w:id="2043"/>
    </w:p>
    <w:p w:rsidR="002F691C" w:rsidRDefault="008237BB" w:rsidP="008237BB">
      <w:pPr>
        <w:pStyle w:val="BodyText"/>
      </w:pPr>
      <w:r>
        <w:t xml:space="preserve">Historical TC tracks were from the </w:t>
      </w:r>
      <w:r w:rsidRPr="00BB6B54">
        <w:t>Bureau</w:t>
      </w:r>
      <w:r>
        <w:t xml:space="preserve"> of Meteorology’s southern hemisphere best track dataset for the southern hemisphere, from 1981 to 2010</w:t>
      </w:r>
      <w:r>
        <w:rPr>
          <w:rStyle w:val="FootnoteReference"/>
        </w:rPr>
        <w:footnoteReference w:id="19"/>
      </w:r>
      <w:r>
        <w:t>. This represents a quality controlled, homogenised set of TC observations, independently constructed from all available TC warning centres across the world.</w:t>
      </w:r>
    </w:p>
    <w:p w:rsidR="002F691C" w:rsidRDefault="008237BB" w:rsidP="008237BB">
      <w:pPr>
        <w:pStyle w:val="BodyText"/>
      </w:pPr>
      <w:r>
        <w:t xml:space="preserve">Future-climate TCLV data was obtained as part of the </w:t>
      </w:r>
      <w:r w:rsidRPr="00C02F8E">
        <w:t>Regional Tropical Cyclone Hazard for Infrastructure Adaptation to Climate Change</w:t>
      </w:r>
      <w:r>
        <w:t xml:space="preserve"> CSIRO Climate Adaptation Flagship (</w:t>
      </w:r>
      <w:r>
        <w:fldChar w:fldCharType="begin"/>
      </w:r>
      <w:r>
        <w:instrText xml:space="preserve"> ADDIN EN.CITE &lt;EndNote&gt;&lt;Cite&gt;&lt;Author&gt;Lavender&lt;/Author&gt;&lt;Year&gt;2011&lt;/Year&gt;&lt;RecNum&gt;941&lt;/RecNum&gt;&lt;record&gt;&lt;rec-number&gt;941&lt;/rec-number&gt;&lt;foreign-keys&gt;&lt;key app="EN" db-id="xwd2etapvppxeeedez65vef7spew9w5daere"&gt;941&lt;/key&gt;&lt;/foreign-keys&gt;&lt;ref-type name="Generic"&gt;13&lt;/ref-type&gt;&lt;contributors&gt;&lt;authors&gt;&lt;author&gt;Lavender, Sally&lt;/author&gt;&lt;author&gt;Walsh, Kevin&lt;/author&gt;&lt;author&gt;Abbs, Deborah&lt;/author&gt;&lt;author&gt;Thatcher, Marcus&lt;/author&gt;&lt;author&gt;Arthur, Craig&lt;/author&gt;&lt;author&gt;Cechet, Bob&lt;/author&gt;&lt;/authors&gt;&lt;/contributors&gt;&lt;titles&gt;&lt;title&gt;Regional Tropical Cyclone Hazard for Infrastructure Adaptation to Climate Change&lt;/title&gt;&lt;/titles&gt;&lt;dates&gt;&lt;year&gt;2011&lt;/year&gt;&lt;/dates&gt;&lt;pub-location&gt;Melbourne, Australia&lt;/pub-location&gt;&lt;publisher&gt;National Research Flagships, CSIRO&lt;/publisher&gt;&lt;urls&gt;&lt;/urls&gt;&lt;/record&gt;&lt;/Cite&gt;&lt;/EndNote&gt;</w:instrText>
      </w:r>
      <w:r>
        <w:fldChar w:fldCharType="separate"/>
      </w:r>
      <w:r>
        <w:t xml:space="preserve">Lavender </w:t>
      </w:r>
      <w:r w:rsidRPr="009E1AAE">
        <w:rPr>
          <w:rStyle w:val="Bodytextitalic"/>
        </w:rPr>
        <w:t>et al.</w:t>
      </w:r>
      <w:r>
        <w:t>, 2011</w:t>
      </w:r>
      <w:r>
        <w:fldChar w:fldCharType="end"/>
      </w:r>
      <w:r>
        <w:t xml:space="preserve">). These data represent TCLVs extracted from a 15 km horizontal resolution regional climate model (CCAM – </w:t>
      </w:r>
      <w:r>
        <w:fldChar w:fldCharType="begin"/>
      </w:r>
      <w:r>
        <w:instrText xml:space="preserve"> ADDIN EN.CITE &lt;EndNote&gt;&lt;Cite&gt;&lt;Author&gt;McGregor&lt;/Author&gt;&lt;Year&gt;2008&lt;/Year&gt;&lt;RecNum&gt;761&lt;/RecNum&gt;&lt;record&gt;&lt;rec-number&gt;761&lt;/rec-number&gt;&lt;foreign-keys&gt;&lt;key app="EN" db-id="xwd2etapvppxeeedez65vef7spew9w5daere"&gt;761&lt;/key&gt;&lt;/foreign-keys&gt;&lt;ref-type name="Book Section"&gt;5&lt;/ref-type&gt;&lt;contributors&gt;&lt;authors&gt;&lt;author&gt;McGregor, J.&lt;/author&gt;&lt;author&gt;Dix, M. R.&lt;/author&gt;&lt;/authors&gt;&lt;secondary-authors&gt;&lt;author&gt;Kevin Hamilton&lt;/author&gt;&lt;author&gt;Wataru Ohfuchi&lt;/author&gt;&lt;/secondary-authors&gt;&lt;/contributors&gt;&lt;titles&gt;&lt;title&gt;An Updated Description of the Conformal-Cubic Atmospheric Model &lt;/title&gt;&lt;secondary-title&gt;High Resolution Numerical Modelling of the Atmosphere and Ocean &lt;/secondary-title&gt;&lt;/titles&gt;&lt;pages&gt;51-75&lt;/pages&gt;&lt;dates&gt;&lt;year&gt;2008&lt;/year&gt;&lt;/dates&gt;&lt;pub-location&gt;New York&lt;/pub-location&gt;&lt;publisher&gt;Springer &lt;/publisher&gt;&lt;isbn&gt;978-0-387-36671-5 &lt;/isbn&gt;&lt;urls&gt;&lt;/urls&gt;&lt;electronic-resource-num&gt;10.1007/978-0-387-49791-4&lt;/electronic-resource-num&gt;&lt;/record&gt;&lt;/Cite&gt;&lt;/EndNote&gt;</w:instrText>
      </w:r>
      <w:r>
        <w:fldChar w:fldCharType="separate"/>
      </w:r>
      <w:r>
        <w:t>McGregor and Dix, 2008</w:t>
      </w:r>
      <w:r>
        <w:fldChar w:fldCharType="end"/>
      </w:r>
      <w:r>
        <w:t>) for a number of time periods, where the GCM used for external forcing is the CSIRO Mark 3.5 model forced with the SRES A2 GHG emission scenario (</w:t>
      </w:r>
      <w:r>
        <w:fldChar w:fldCharType="begin"/>
      </w:r>
      <w:r>
        <w:instrText xml:space="preserve"> ADDIN EN.CITE &lt;EndNote&gt;&lt;Cite&gt;&lt;Author&gt;Nakicenovic&lt;/Author&gt;&lt;Year&gt;2000&lt;/Year&gt;&lt;RecNum&gt;273&lt;/RecNum&gt;&lt;record&gt;&lt;rec-number&gt;273&lt;/rec-number&gt;&lt;foreign-keys&gt;&lt;key app="EN" db-id="xwd2etapvppxeeedez65vef7spew9w5daere"&gt;273&lt;/key&gt;&lt;/foreign-keys&gt;&lt;ref-type name="Edited Book"&gt;28&lt;/ref-type&gt;&lt;contributors&gt;&lt;authors&gt;&lt;author&gt;Nakicenovic, Nebojsa&lt;/author&gt;&lt;author&gt;Swart, Robert&lt;/author&gt;&lt;/authors&gt;&lt;/contributors&gt;&lt;titles&gt;&lt;title&gt;Special Report on Emissions Scenarios&lt;/title&gt;&lt;secondary-title&gt;IPCC Special Reports&lt;/secondary-title&gt;&lt;/titles&gt;&lt;pages&gt;570&lt;/pages&gt;&lt;dates&gt;&lt;year&gt;2000&lt;/year&gt;&lt;/dates&gt;&lt;pub-location&gt;Cambridge, England&lt;/pub-location&gt;&lt;publisher&gt;Cambridge University Press&lt;/publisher&gt;&lt;urls&gt;&lt;/urls&gt;&lt;/record&gt;&lt;/Cite&gt;&lt;/EndNote&gt;</w:instrText>
      </w:r>
      <w:r>
        <w:fldChar w:fldCharType="separate"/>
      </w:r>
      <w:r>
        <w:t>Nakicenovic and Swart, 2000</w:t>
      </w:r>
      <w:r>
        <w:fldChar w:fldCharType="end"/>
      </w:r>
      <w:r>
        <w:t>).</w:t>
      </w:r>
    </w:p>
    <w:p w:rsidR="008237BB" w:rsidRDefault="008237BB" w:rsidP="006B24B4">
      <w:pPr>
        <w:pStyle w:val="Headingappendix2"/>
      </w:pPr>
      <w:bookmarkStart w:id="2044" w:name="_Toc341336592"/>
      <w:bookmarkStart w:id="2045" w:name="_Toc342638490"/>
      <w:bookmarkStart w:id="2046" w:name="_Toc346260989"/>
      <w:bookmarkStart w:id="2047" w:name="_Toc346632549"/>
      <w:bookmarkStart w:id="2048" w:name="_Toc346632882"/>
      <w:bookmarkStart w:id="2049" w:name="_Toc346632994"/>
      <w:bookmarkStart w:id="2050" w:name="_Toc346633106"/>
      <w:bookmarkStart w:id="2051" w:name="_Toc346633218"/>
      <w:bookmarkStart w:id="2052" w:name="_Toc347401763"/>
      <w:bookmarkStart w:id="2053" w:name="_Toc347401875"/>
      <w:bookmarkStart w:id="2054" w:name="_Toc347401987"/>
      <w:bookmarkStart w:id="2055" w:name="_Toc347402099"/>
      <w:bookmarkStart w:id="2056" w:name="_Toc347402484"/>
      <w:bookmarkStart w:id="2057" w:name="_Toc349055056"/>
      <w:bookmarkStart w:id="2058" w:name="_Toc349055392"/>
      <w:bookmarkStart w:id="2059" w:name="_Toc349055505"/>
      <w:bookmarkStart w:id="2060" w:name="_Toc349055618"/>
      <w:bookmarkStart w:id="2061" w:name="_Toc349055731"/>
      <w:bookmarkStart w:id="2062" w:name="_Toc349116957"/>
      <w:bookmarkStart w:id="2063" w:name="_Toc350330049"/>
      <w:bookmarkStart w:id="2064" w:name="_Toc350344028"/>
      <w:bookmarkStart w:id="2065" w:name="_Toc354402016"/>
      <w:bookmarkStart w:id="2066" w:name="_Toc354404064"/>
      <w:bookmarkStart w:id="2067" w:name="_Toc354476513"/>
      <w:bookmarkStart w:id="2068" w:name="_Toc354492875"/>
      <w:bookmarkStart w:id="2069" w:name="_Toc354492989"/>
      <w:bookmarkStart w:id="2070" w:name="_Toc354493119"/>
      <w:bookmarkStart w:id="2071" w:name="_Toc354493280"/>
      <w:bookmarkStart w:id="2072" w:name="_Toc354493741"/>
      <w:bookmarkStart w:id="2073" w:name="_Toc354494276"/>
      <w:bookmarkStart w:id="2074" w:name="_Toc354494494"/>
      <w:bookmarkStart w:id="2075" w:name="_Toc354494705"/>
      <w:bookmarkStart w:id="2076" w:name="_Toc354494999"/>
      <w:bookmarkStart w:id="2077" w:name="_Toc354497881"/>
      <w:bookmarkStart w:id="2078" w:name="_Toc354561294"/>
      <w:bookmarkStart w:id="2079" w:name="_Toc355164200"/>
      <w:bookmarkStart w:id="2080" w:name="_Toc355249635"/>
      <w:r>
        <w:lastRenderedPageBreak/>
        <w:t>Results</w:t>
      </w:r>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p>
    <w:p w:rsidR="008237BB" w:rsidRPr="0079781B" w:rsidRDefault="008237BB" w:rsidP="00935848">
      <w:pPr>
        <w:pStyle w:val="Headingappendix3"/>
      </w:pPr>
      <w:bookmarkStart w:id="2081" w:name="_Toc341336593"/>
      <w:bookmarkStart w:id="2082" w:name="_Toc342638491"/>
      <w:bookmarkStart w:id="2083" w:name="_Toc346260990"/>
      <w:bookmarkStart w:id="2084" w:name="_Toc346632550"/>
      <w:bookmarkStart w:id="2085" w:name="_Toc346632883"/>
      <w:bookmarkStart w:id="2086" w:name="_Toc346632995"/>
      <w:bookmarkStart w:id="2087" w:name="_Toc346633107"/>
      <w:bookmarkStart w:id="2088" w:name="_Toc346633219"/>
      <w:bookmarkStart w:id="2089" w:name="_Toc347401764"/>
      <w:bookmarkStart w:id="2090" w:name="_Toc347401876"/>
      <w:bookmarkStart w:id="2091" w:name="_Toc347401988"/>
      <w:bookmarkStart w:id="2092" w:name="_Toc347402100"/>
      <w:bookmarkStart w:id="2093" w:name="_Toc347402485"/>
      <w:bookmarkStart w:id="2094" w:name="_Toc349055057"/>
      <w:bookmarkStart w:id="2095" w:name="_Toc349055393"/>
      <w:bookmarkStart w:id="2096" w:name="_Toc349055506"/>
      <w:bookmarkStart w:id="2097" w:name="_Toc349055619"/>
      <w:bookmarkStart w:id="2098" w:name="_Toc349055732"/>
      <w:bookmarkStart w:id="2099" w:name="_Toc349116958"/>
      <w:bookmarkStart w:id="2100" w:name="_Toc350330050"/>
      <w:bookmarkStart w:id="2101" w:name="_Toc350344029"/>
      <w:bookmarkStart w:id="2102" w:name="_Toc354402017"/>
      <w:bookmarkStart w:id="2103" w:name="_Toc354476514"/>
      <w:bookmarkStart w:id="2104" w:name="_Toc354492876"/>
      <w:bookmarkStart w:id="2105" w:name="_Toc354492990"/>
      <w:bookmarkStart w:id="2106" w:name="_Toc354493120"/>
      <w:bookmarkStart w:id="2107" w:name="_Toc354493281"/>
      <w:bookmarkStart w:id="2108" w:name="_Toc354493742"/>
      <w:bookmarkStart w:id="2109" w:name="_Toc354494277"/>
      <w:bookmarkStart w:id="2110" w:name="_Toc354494495"/>
      <w:bookmarkStart w:id="2111" w:name="_Toc354494706"/>
      <w:bookmarkStart w:id="2112" w:name="_Toc354495000"/>
      <w:bookmarkStart w:id="2113" w:name="_Toc354497882"/>
      <w:bookmarkStart w:id="2114" w:name="_Toc354561295"/>
      <w:bookmarkStart w:id="2115" w:name="_Toc355164201"/>
      <w:bookmarkStart w:id="2116" w:name="_Toc355249636"/>
      <w:r>
        <w:t>Current Climate</w:t>
      </w:r>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p>
    <w:p w:rsidR="002F691C" w:rsidRDefault="008237BB" w:rsidP="008237BB">
      <w:pPr>
        <w:pStyle w:val="BodyText"/>
      </w:pPr>
      <w:r>
        <w:t xml:space="preserve">The local wind speed results have been provided for the </w:t>
      </w:r>
      <w:r w:rsidRPr="008C6380">
        <w:t>50, 100, 250 and 1000</w:t>
      </w:r>
      <w:r>
        <w:t xml:space="preserve"> year ARI wind hazard. The 50 and 100 year ARI wind hazard is shown, </w:t>
      </w:r>
      <w:r w:rsidR="00FF6328">
        <w:fldChar w:fldCharType="begin"/>
      </w:r>
      <w:r w:rsidR="00FF6328">
        <w:instrText xml:space="preserve"> REF _Ref354558390 \h </w:instrText>
      </w:r>
      <w:r w:rsidR="00FF6328">
        <w:fldChar w:fldCharType="separate"/>
      </w:r>
      <w:r w:rsidR="00413858">
        <w:t xml:space="preserve">Appendix Figure </w:t>
      </w:r>
      <w:r w:rsidR="00413858">
        <w:rPr>
          <w:noProof/>
        </w:rPr>
        <w:t>A</w:t>
      </w:r>
      <w:r w:rsidR="00413858">
        <w:t>.</w:t>
      </w:r>
      <w:r w:rsidR="00413858">
        <w:rPr>
          <w:noProof/>
        </w:rPr>
        <w:t>4</w:t>
      </w:r>
      <w:r w:rsidR="00FF6328">
        <w:fldChar w:fldCharType="end"/>
      </w:r>
      <w:r w:rsidR="006B5D94">
        <w:t xml:space="preserve"> </w:t>
      </w:r>
      <w:r>
        <w:t xml:space="preserve">and </w:t>
      </w:r>
      <w:r>
        <w:fldChar w:fldCharType="begin"/>
      </w:r>
      <w:r>
        <w:instrText xml:space="preserve"> REF _Ref338766082 \h </w:instrText>
      </w:r>
      <w:r>
        <w:fldChar w:fldCharType="separate"/>
      </w:r>
      <w:r w:rsidR="00413858">
        <w:t xml:space="preserve">Appendix Figure </w:t>
      </w:r>
      <w:r w:rsidR="00413858">
        <w:rPr>
          <w:noProof/>
        </w:rPr>
        <w:t>A</w:t>
      </w:r>
      <w:r w:rsidR="00413858">
        <w:t>.</w:t>
      </w:r>
      <w:r w:rsidR="00413858">
        <w:rPr>
          <w:noProof/>
        </w:rPr>
        <w:t>5</w:t>
      </w:r>
      <w:r>
        <w:fldChar w:fldCharType="end"/>
      </w:r>
      <w:r>
        <w:t xml:space="preserve"> respectively, with the 250 and 1000 year ARI wind hazard provided in the hazard maps.</w:t>
      </w:r>
    </w:p>
    <w:p w:rsidR="00FF6328" w:rsidRDefault="008237BB" w:rsidP="00253307">
      <w:pPr>
        <w:pStyle w:val="Figuresandimagesleft"/>
      </w:pPr>
      <w:r>
        <w:rPr>
          <w:noProof/>
        </w:rPr>
        <w:drawing>
          <wp:inline distT="0" distB="0" distL="0" distR="0" wp14:anchorId="3D98B4BF" wp14:editId="265AE2C6">
            <wp:extent cx="5391150" cy="3609975"/>
            <wp:effectExtent l="0" t="0" r="0" b="9525"/>
            <wp:docPr id="79" name="Picture 79" descr="This figure shows the current climate 50 year average recurrence interval wind hazard for the study region. There is a clear correlation between the topography and the wind hazard as the flat areas have a lesser wind hazard than the areas of greater slope in the ranges within the stud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is figure shows the current climate 50 year average recurrence interval wind hazard for the study region. There is a clear correlation between the topography and the wind hazard as the flat areas have a lesser wind hazard than the areas of greater slope in the ranges within the study regio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91150" cy="3609975"/>
                    </a:xfrm>
                    <a:prstGeom prst="rect">
                      <a:avLst/>
                    </a:prstGeom>
                    <a:noFill/>
                    <a:ln>
                      <a:noFill/>
                    </a:ln>
                  </pic:spPr>
                </pic:pic>
              </a:graphicData>
            </a:graphic>
          </wp:inline>
        </w:drawing>
      </w:r>
    </w:p>
    <w:p w:rsidR="008237BB" w:rsidRDefault="00FF6328" w:rsidP="00FF6328">
      <w:pPr>
        <w:pStyle w:val="Caption"/>
      </w:pPr>
      <w:bookmarkStart w:id="2117" w:name="_Ref354558390"/>
      <w:bookmarkStart w:id="2118" w:name="_Ref354558382"/>
      <w:bookmarkStart w:id="2119" w:name="_Toc354561176"/>
      <w:bookmarkStart w:id="2120" w:name="_Toc354561360"/>
      <w:bookmarkStart w:id="2121" w:name="_Toc354561432"/>
      <w:bookmarkStart w:id="2122" w:name="_Toc354561504"/>
      <w:r>
        <w:t xml:space="preserve">Appendix Figure </w:t>
      </w:r>
      <w:r w:rsidR="007F11CF">
        <w:fldChar w:fldCharType="begin"/>
      </w:r>
      <w:r w:rsidR="007F11CF">
        <w:instrText xml:space="preserve"> STYLEREF 9 \s </w:instrText>
      </w:r>
      <w:r w:rsidR="007F11CF">
        <w:fldChar w:fldCharType="separate"/>
      </w:r>
      <w:r w:rsidR="00413858">
        <w:rPr>
          <w:noProof/>
        </w:rPr>
        <w:t>A</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4</w:t>
      </w:r>
      <w:r w:rsidR="007F11CF">
        <w:rPr>
          <w:noProof/>
        </w:rPr>
        <w:fldChar w:fldCharType="end"/>
      </w:r>
      <w:bookmarkEnd w:id="2117"/>
      <w:r>
        <w:t>. 50 year ARI TC wind hazard</w:t>
      </w:r>
      <w:bookmarkEnd w:id="2118"/>
      <w:bookmarkEnd w:id="2119"/>
      <w:bookmarkEnd w:id="2120"/>
      <w:bookmarkEnd w:id="2121"/>
      <w:bookmarkEnd w:id="2122"/>
      <w:r w:rsidR="00940791">
        <w:t>.</w:t>
      </w:r>
    </w:p>
    <w:p w:rsidR="008237BB" w:rsidRDefault="008237BB" w:rsidP="00253307">
      <w:pPr>
        <w:pStyle w:val="Figuresandimagesleft"/>
      </w:pPr>
      <w:r>
        <w:rPr>
          <w:noProof/>
        </w:rPr>
        <w:lastRenderedPageBreak/>
        <w:drawing>
          <wp:inline distT="0" distB="0" distL="0" distR="0" wp14:anchorId="07BA822D" wp14:editId="1920AD53">
            <wp:extent cx="5391150" cy="3609975"/>
            <wp:effectExtent l="0" t="0" r="0" b="9525"/>
            <wp:docPr id="78" name="Picture 78" descr="The current climate 100 year ARI wind hazard figure shows the same spatial pattern as the current climate 50 year ARI wind hazard. However the wind hazard has increased across the region as describ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e current climate 100 year ARI wind hazard figure shows the same spatial pattern as the current climate 50 year ARI wind hazard. However the wind hazard has increased across the region as described in the tex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91150" cy="3609975"/>
                    </a:xfrm>
                    <a:prstGeom prst="rect">
                      <a:avLst/>
                    </a:prstGeom>
                    <a:noFill/>
                    <a:ln>
                      <a:noFill/>
                    </a:ln>
                  </pic:spPr>
                </pic:pic>
              </a:graphicData>
            </a:graphic>
          </wp:inline>
        </w:drawing>
      </w:r>
    </w:p>
    <w:p w:rsidR="008237BB" w:rsidRDefault="00414D8E" w:rsidP="008237BB">
      <w:pPr>
        <w:pStyle w:val="Caption"/>
      </w:pPr>
      <w:bookmarkStart w:id="2123" w:name="_Ref338766082"/>
      <w:bookmarkStart w:id="2124" w:name="_Toc341336675"/>
      <w:bookmarkStart w:id="2125" w:name="_Toc342638639"/>
      <w:bookmarkStart w:id="2126" w:name="_Toc349055808"/>
      <w:bookmarkStart w:id="2127" w:name="_Toc349114893"/>
      <w:bookmarkStart w:id="2128" w:name="_Toc349114984"/>
      <w:bookmarkStart w:id="2129" w:name="_Toc349115123"/>
      <w:bookmarkStart w:id="2130" w:name="_Toc349115516"/>
      <w:bookmarkStart w:id="2131" w:name="_Toc349115700"/>
      <w:bookmarkStart w:id="2132" w:name="_Toc350325289"/>
      <w:bookmarkStart w:id="2133" w:name="_Toc350325564"/>
      <w:bookmarkStart w:id="2134" w:name="_Toc350326988"/>
      <w:bookmarkStart w:id="2135" w:name="_Toc350327134"/>
      <w:bookmarkStart w:id="2136" w:name="_Toc350327266"/>
      <w:bookmarkStart w:id="2137" w:name="_Toc350339799"/>
      <w:bookmarkStart w:id="2138" w:name="_Toc350341472"/>
      <w:bookmarkStart w:id="2139" w:name="_Toc350341626"/>
      <w:bookmarkStart w:id="2140" w:name="_Toc351449911"/>
      <w:bookmarkStart w:id="2141" w:name="_Toc351449992"/>
      <w:bookmarkStart w:id="2142" w:name="_Toc352243718"/>
      <w:bookmarkStart w:id="2143" w:name="_Toc352243849"/>
      <w:bookmarkStart w:id="2144" w:name="_Toc352244394"/>
      <w:bookmarkStart w:id="2145" w:name="_Toc352244489"/>
      <w:bookmarkStart w:id="2146" w:name="_Toc354493486"/>
      <w:bookmarkStart w:id="2147" w:name="_Toc354493898"/>
      <w:bookmarkStart w:id="2148" w:name="_Toc354494580"/>
      <w:bookmarkStart w:id="2149" w:name="_Toc354494770"/>
      <w:bookmarkStart w:id="2150" w:name="_Toc354497586"/>
      <w:bookmarkStart w:id="2151" w:name="_Toc354561177"/>
      <w:bookmarkStart w:id="2152" w:name="_Toc354561361"/>
      <w:bookmarkStart w:id="2153" w:name="_Toc354561433"/>
      <w:bookmarkStart w:id="2154" w:name="_Toc354561505"/>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A</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5</w:t>
      </w:r>
      <w:r w:rsidR="007F11CF">
        <w:rPr>
          <w:noProof/>
        </w:rPr>
        <w:fldChar w:fldCharType="end"/>
      </w:r>
      <w:bookmarkEnd w:id="2123"/>
      <w:r w:rsidR="008237BB">
        <w:t xml:space="preserve">. 100 year ARI TC wind </w:t>
      </w:r>
      <w:bookmarkEnd w:id="2124"/>
      <w:bookmarkEnd w:id="2125"/>
      <w:r w:rsidR="008237BB">
        <w:t>hazard.</w:t>
      </w:r>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p>
    <w:p w:rsidR="008237BB" w:rsidRDefault="008237BB" w:rsidP="00935848">
      <w:pPr>
        <w:pStyle w:val="Headingappendix3"/>
      </w:pPr>
      <w:bookmarkStart w:id="2155" w:name="_Toc341336594"/>
      <w:bookmarkStart w:id="2156" w:name="_Toc342638492"/>
      <w:bookmarkStart w:id="2157" w:name="_Toc346260991"/>
      <w:bookmarkStart w:id="2158" w:name="_Toc346632551"/>
      <w:bookmarkStart w:id="2159" w:name="_Toc346632884"/>
      <w:bookmarkStart w:id="2160" w:name="_Toc346632996"/>
      <w:bookmarkStart w:id="2161" w:name="_Toc346633108"/>
      <w:bookmarkStart w:id="2162" w:name="_Toc346633220"/>
      <w:bookmarkStart w:id="2163" w:name="_Toc347401765"/>
      <w:bookmarkStart w:id="2164" w:name="_Toc347401877"/>
      <w:bookmarkStart w:id="2165" w:name="_Toc347401989"/>
      <w:bookmarkStart w:id="2166" w:name="_Toc347402101"/>
      <w:bookmarkStart w:id="2167" w:name="_Toc347402486"/>
      <w:bookmarkStart w:id="2168" w:name="_Toc349055058"/>
      <w:bookmarkStart w:id="2169" w:name="_Toc349055394"/>
      <w:bookmarkStart w:id="2170" w:name="_Toc349055507"/>
      <w:bookmarkStart w:id="2171" w:name="_Toc349055620"/>
      <w:bookmarkStart w:id="2172" w:name="_Toc349055733"/>
      <w:bookmarkStart w:id="2173" w:name="_Toc349116959"/>
      <w:bookmarkStart w:id="2174" w:name="_Toc350330051"/>
      <w:bookmarkStart w:id="2175" w:name="_Toc350344030"/>
      <w:bookmarkStart w:id="2176" w:name="_Toc354402018"/>
      <w:bookmarkStart w:id="2177" w:name="_Toc354476515"/>
      <w:bookmarkStart w:id="2178" w:name="_Toc354492877"/>
      <w:bookmarkStart w:id="2179" w:name="_Toc354492991"/>
      <w:bookmarkStart w:id="2180" w:name="_Toc354493121"/>
      <w:bookmarkStart w:id="2181" w:name="_Toc354493282"/>
      <w:bookmarkStart w:id="2182" w:name="_Toc354493743"/>
      <w:bookmarkStart w:id="2183" w:name="_Toc354494278"/>
      <w:bookmarkStart w:id="2184" w:name="_Toc354494496"/>
      <w:bookmarkStart w:id="2185" w:name="_Toc354494707"/>
      <w:bookmarkStart w:id="2186" w:name="_Toc354495001"/>
      <w:bookmarkStart w:id="2187" w:name="_Toc354497883"/>
      <w:bookmarkStart w:id="2188" w:name="_Toc354561296"/>
      <w:bookmarkStart w:id="2189" w:name="_Toc355164202"/>
      <w:bookmarkStart w:id="2190" w:name="_Toc355249637"/>
      <w:r>
        <w:lastRenderedPageBreak/>
        <w:t>Future Climate</w:t>
      </w:r>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p>
    <w:p w:rsidR="008237BB" w:rsidRPr="00D720AF" w:rsidRDefault="008237BB" w:rsidP="009340CE">
      <w:pPr>
        <w:pStyle w:val="Headingappendix4"/>
      </w:pPr>
      <w:bookmarkStart w:id="2191" w:name="_Toc341336595"/>
      <w:bookmarkStart w:id="2192" w:name="_Toc342638493"/>
      <w:bookmarkStart w:id="2193" w:name="_Toc346260992"/>
      <w:bookmarkStart w:id="2194" w:name="_Toc346632552"/>
      <w:bookmarkStart w:id="2195" w:name="_Toc347402487"/>
      <w:bookmarkStart w:id="2196" w:name="_Toc349055059"/>
      <w:bookmarkStart w:id="2197" w:name="_Toc349116960"/>
      <w:bookmarkStart w:id="2198" w:name="_Toc354402019"/>
      <w:bookmarkStart w:id="2199" w:name="_Toc354476516"/>
      <w:bookmarkStart w:id="2200" w:name="_Toc354492992"/>
      <w:bookmarkStart w:id="2201" w:name="_Toc354493122"/>
      <w:bookmarkStart w:id="2202" w:name="_Toc354493283"/>
      <w:bookmarkStart w:id="2203" w:name="_Toc355164203"/>
      <w:r>
        <w:t>Regional wind speed</w:t>
      </w:r>
      <w:bookmarkEnd w:id="2191"/>
      <w:bookmarkEnd w:id="2192"/>
      <w:bookmarkEnd w:id="2193"/>
      <w:bookmarkEnd w:id="2194"/>
      <w:bookmarkEnd w:id="2195"/>
      <w:bookmarkEnd w:id="2196"/>
      <w:bookmarkEnd w:id="2197"/>
      <w:bookmarkEnd w:id="2198"/>
      <w:bookmarkEnd w:id="2199"/>
      <w:bookmarkEnd w:id="2200"/>
      <w:bookmarkEnd w:id="2201"/>
      <w:bookmarkEnd w:id="2202"/>
      <w:bookmarkEnd w:id="2203"/>
    </w:p>
    <w:p w:rsidR="008237BB" w:rsidRPr="008C3B11" w:rsidRDefault="008237BB" w:rsidP="00253307">
      <w:pPr>
        <w:pStyle w:val="Figuresandimagesleft"/>
      </w:pPr>
      <w:r>
        <w:rPr>
          <w:noProof/>
        </w:rPr>
        <w:drawing>
          <wp:inline distT="0" distB="0" distL="0" distR="0" wp14:anchorId="15A60CBE" wp14:editId="1E43825C">
            <wp:extent cx="5400675" cy="3505200"/>
            <wp:effectExtent l="0" t="0" r="9525" b="0"/>
            <wp:docPr id="77" name="Picture 77" descr="This figure shows the ARI curves current and future climate wind hazard from 10 to 100 year ARI. The curves shown include: current climate Region C wind hazard from the AS/NSZ 1170.2:2011 wind loading region design wind speeds and wind hazard estimated by TCRM based on the Bureau of Meteorology best track data. For future climate the TCRM predictions for 2055 and 2090 are shown. The current climate best track TCRM results show the greatest hazard across all ARIs followed by 2055 and 2090 predictions indicating a decline in wind hazard into the future. The current climate Region C wind hazard shows the least wind hazard at 10 year ARI, intersecting the 2090 curve just before 100 year ARI and intersecting the TCRM Best Track curve at 1000 year A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is figure shows the ARI curves current and future climate wind hazard from 10 to 100 year ARI. The curves shown include: current climate Region C wind hazard from the AS/NSZ 1170.2:2011 wind loading region design wind speeds and wind hazard estimated by TCRM based on the Bureau of Meteorology best track data. For future climate the TCRM predictions for 2055 and 2090 are shown. The current climate best track TCRM results show the greatest hazard across all ARIs followed by 2055 and 2090 predictions indicating a decline in wind hazard into the future. The current climate Region C wind hazard shows the least wind hazard at 10 year ARI, intersecting the 2090 curve just before 100 year ARI and intersecting the TCRM Best Track curve at 1000 year ARI."/>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675" cy="3505200"/>
                    </a:xfrm>
                    <a:prstGeom prst="rect">
                      <a:avLst/>
                    </a:prstGeom>
                    <a:noFill/>
                    <a:ln>
                      <a:noFill/>
                    </a:ln>
                  </pic:spPr>
                </pic:pic>
              </a:graphicData>
            </a:graphic>
          </wp:inline>
        </w:drawing>
      </w:r>
    </w:p>
    <w:p w:rsidR="008237BB" w:rsidRDefault="00414D8E" w:rsidP="008237BB">
      <w:pPr>
        <w:pStyle w:val="Caption"/>
      </w:pPr>
      <w:bookmarkStart w:id="2204" w:name="_Ref346621832"/>
      <w:bookmarkStart w:id="2205" w:name="_Toc341336676"/>
      <w:bookmarkStart w:id="2206" w:name="_Toc342638640"/>
      <w:bookmarkStart w:id="2207" w:name="_Toc349055809"/>
      <w:bookmarkStart w:id="2208" w:name="_Toc349114894"/>
      <w:bookmarkStart w:id="2209" w:name="_Toc349114985"/>
      <w:bookmarkStart w:id="2210" w:name="_Toc349115124"/>
      <w:bookmarkStart w:id="2211" w:name="_Toc349115517"/>
      <w:bookmarkStart w:id="2212" w:name="_Toc349115701"/>
      <w:bookmarkStart w:id="2213" w:name="_Toc350325290"/>
      <w:bookmarkStart w:id="2214" w:name="_Toc350325565"/>
      <w:bookmarkStart w:id="2215" w:name="_Toc350326989"/>
      <w:bookmarkStart w:id="2216" w:name="_Toc350327135"/>
      <w:bookmarkStart w:id="2217" w:name="_Toc350327267"/>
      <w:bookmarkStart w:id="2218" w:name="_Toc350339800"/>
      <w:bookmarkStart w:id="2219" w:name="_Toc350341473"/>
      <w:bookmarkStart w:id="2220" w:name="_Toc350341627"/>
      <w:bookmarkStart w:id="2221" w:name="_Toc351449912"/>
      <w:bookmarkStart w:id="2222" w:name="_Toc351449993"/>
      <w:bookmarkStart w:id="2223" w:name="_Toc352243719"/>
      <w:bookmarkStart w:id="2224" w:name="_Toc352243850"/>
      <w:bookmarkStart w:id="2225" w:name="_Toc352244395"/>
      <w:bookmarkStart w:id="2226" w:name="_Toc352244490"/>
      <w:bookmarkStart w:id="2227" w:name="_Toc354493487"/>
      <w:bookmarkStart w:id="2228" w:name="_Toc354493899"/>
      <w:bookmarkStart w:id="2229" w:name="_Toc354494581"/>
      <w:bookmarkStart w:id="2230" w:name="_Toc354494771"/>
      <w:bookmarkStart w:id="2231" w:name="_Toc354497587"/>
      <w:bookmarkStart w:id="2232" w:name="_Toc354561178"/>
      <w:bookmarkStart w:id="2233" w:name="_Toc354561362"/>
      <w:bookmarkStart w:id="2234" w:name="_Toc354561434"/>
      <w:bookmarkStart w:id="2235" w:name="_Toc354561506"/>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A</w:t>
      </w:r>
      <w:r w:rsidR="007F11CF">
        <w:rPr>
          <w:noProof/>
        </w:rPr>
        <w:fldChar w:fldCharType="end"/>
      </w:r>
      <w:r w:rsidR="00162079">
        <w:t>.</w:t>
      </w:r>
      <w:r w:rsidR="007F11CF">
        <w:fldChar w:fldCharType="begin"/>
      </w:r>
      <w:r w:rsidR="007F11CF">
        <w:instrText xml:space="preserve"> SEQ</w:instrText>
      </w:r>
      <w:r w:rsidR="007F11CF">
        <w:instrText xml:space="preserve"> Appendix_Figure \* ARABIC \s 9 </w:instrText>
      </w:r>
      <w:r w:rsidR="007F11CF">
        <w:fldChar w:fldCharType="separate"/>
      </w:r>
      <w:r w:rsidR="00413858">
        <w:rPr>
          <w:noProof/>
        </w:rPr>
        <w:t>6</w:t>
      </w:r>
      <w:r w:rsidR="007F11CF">
        <w:rPr>
          <w:noProof/>
        </w:rPr>
        <w:fldChar w:fldCharType="end"/>
      </w:r>
      <w:bookmarkEnd w:id="2204"/>
      <w:r w:rsidR="008237BB">
        <w:t>. ARI wind speeds for Rockhampton. "BoM best-track” refers to wind speeds estimated from TCRM simulation using BoM best-track data as input. “Region C” refers to AS/NSZ 1170.2:2011 Wind Loading Region design wind speeds. Thin dashed lines indicate the 90</w:t>
      </w:r>
      <w:r w:rsidR="008237BB" w:rsidRPr="006B24B4">
        <w:t>th</w:t>
      </w:r>
      <w:r w:rsidR="008237BB">
        <w:t xml:space="preserve"> percentile range for each period.</w:t>
      </w:r>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p>
    <w:p w:rsidR="002F691C" w:rsidRDefault="008237BB" w:rsidP="008237BB">
      <w:pPr>
        <w:pStyle w:val="BodyText"/>
      </w:pPr>
      <w:r>
        <w:t>The simulations indicate a decline in TC wind hazard into the future, though none of the changes were considered statistically significant</w:t>
      </w:r>
      <w:r>
        <w:rPr>
          <w:rStyle w:val="FootnoteReference"/>
        </w:rPr>
        <w:footnoteReference w:id="20"/>
      </w:r>
      <w:r>
        <w:t xml:space="preserve">. All estimates are similar to the existing design wind speeds for the region, but are much greater than ARI wind speeds estimated from the observational record at Rockhampton Airport (not shown). By 2090, there is approximately a 10-12% reduction in the ARI wind speeds for all recurrence intervals. Critically though, this does </w:t>
      </w:r>
      <w:r w:rsidRPr="007B6C0C">
        <w:rPr>
          <w:rStyle w:val="Bodytextitalic"/>
        </w:rPr>
        <w:t>not</w:t>
      </w:r>
      <w:r>
        <w:t xml:space="preserve"> imply the region will not experience intense TCs (Category 4 and 5) under future-climate conditions.</w:t>
      </w:r>
    </w:p>
    <w:p w:rsidR="008237BB" w:rsidRDefault="008237BB" w:rsidP="009340CE">
      <w:pPr>
        <w:pStyle w:val="Headingappendix4"/>
      </w:pPr>
      <w:bookmarkStart w:id="2236" w:name="_Toc341336596"/>
      <w:bookmarkStart w:id="2237" w:name="_Toc342638494"/>
      <w:bookmarkStart w:id="2238" w:name="_Toc346260993"/>
      <w:bookmarkStart w:id="2239" w:name="_Toc346632553"/>
      <w:bookmarkStart w:id="2240" w:name="_Toc347402488"/>
      <w:bookmarkStart w:id="2241" w:name="_Toc349055060"/>
      <w:bookmarkStart w:id="2242" w:name="_Toc349116961"/>
      <w:bookmarkStart w:id="2243" w:name="_Toc354402020"/>
      <w:bookmarkStart w:id="2244" w:name="_Toc354476517"/>
      <w:bookmarkStart w:id="2245" w:name="_Toc354492993"/>
      <w:bookmarkStart w:id="2246" w:name="_Toc354493123"/>
      <w:bookmarkStart w:id="2247" w:name="_Toc354493284"/>
      <w:bookmarkStart w:id="2248" w:name="_Toc355164204"/>
      <w:r>
        <w:t>Local wind speed</w:t>
      </w:r>
      <w:bookmarkEnd w:id="2236"/>
      <w:bookmarkEnd w:id="2237"/>
      <w:bookmarkEnd w:id="2238"/>
      <w:bookmarkEnd w:id="2239"/>
      <w:bookmarkEnd w:id="2240"/>
      <w:bookmarkEnd w:id="2241"/>
      <w:bookmarkEnd w:id="2242"/>
      <w:bookmarkEnd w:id="2243"/>
      <w:bookmarkEnd w:id="2244"/>
      <w:bookmarkEnd w:id="2245"/>
      <w:bookmarkEnd w:id="2246"/>
      <w:bookmarkEnd w:id="2247"/>
      <w:bookmarkEnd w:id="2248"/>
    </w:p>
    <w:p w:rsidR="008237BB" w:rsidRDefault="008237BB" w:rsidP="008237BB">
      <w:pPr>
        <w:pStyle w:val="BodyText"/>
      </w:pPr>
      <w:r>
        <w:t>As per the current-climate wind hazard results the 50 and 100 year ARI wind hazard is provided for 2055 and 2090 with all ARI wind hazard being provided in the hazard maps.</w:t>
      </w:r>
    </w:p>
    <w:p w:rsidR="008237BB" w:rsidRDefault="008237BB" w:rsidP="00253307">
      <w:pPr>
        <w:pStyle w:val="Figuresandimagesleft"/>
      </w:pPr>
      <w:r>
        <w:rPr>
          <w:noProof/>
        </w:rPr>
        <w:lastRenderedPageBreak/>
        <w:drawing>
          <wp:inline distT="0" distB="0" distL="0" distR="0" wp14:anchorId="1EECB2C7" wp14:editId="79934E56">
            <wp:extent cx="5400675" cy="3600450"/>
            <wp:effectExtent l="0" t="0" r="9525" b="0"/>
            <wp:docPr id="76" name="Picture 76" descr="The 2055 future climate wind hazard shows peak hazard at the same locations as the current climate hazard but with a lesser magnitude. This trend continues across the study area as the local wind hazard influences of topography and terrain remain constant but the regional return period wind hazard dr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he 2055 future climate wind hazard shows peak hazard at the same locations as the current climate hazard but with a lesser magnitude. This trend continues across the study area as the local wind hazard influences of topography and terrain remain constant but the regional return period wind hazard drop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414D8E" w:rsidP="008237BB">
      <w:pPr>
        <w:pStyle w:val="Caption"/>
      </w:pPr>
      <w:bookmarkStart w:id="2249" w:name="_Toc341336677"/>
      <w:bookmarkStart w:id="2250" w:name="_Toc342638641"/>
      <w:bookmarkStart w:id="2251" w:name="_Toc349055810"/>
      <w:bookmarkStart w:id="2252" w:name="_Toc349114895"/>
      <w:bookmarkStart w:id="2253" w:name="_Toc349114986"/>
      <w:bookmarkStart w:id="2254" w:name="_Toc349115125"/>
      <w:bookmarkStart w:id="2255" w:name="_Toc349115518"/>
      <w:bookmarkStart w:id="2256" w:name="_Toc349115702"/>
      <w:bookmarkStart w:id="2257" w:name="_Toc350325291"/>
      <w:bookmarkStart w:id="2258" w:name="_Toc350325566"/>
      <w:bookmarkStart w:id="2259" w:name="_Toc350326990"/>
      <w:bookmarkStart w:id="2260" w:name="_Toc350327136"/>
      <w:bookmarkStart w:id="2261" w:name="_Toc350327268"/>
      <w:bookmarkStart w:id="2262" w:name="_Toc350339801"/>
      <w:bookmarkStart w:id="2263" w:name="_Toc350341474"/>
      <w:bookmarkStart w:id="2264" w:name="_Toc350341628"/>
      <w:bookmarkStart w:id="2265" w:name="_Toc351449913"/>
      <w:bookmarkStart w:id="2266" w:name="_Toc351449994"/>
      <w:bookmarkStart w:id="2267" w:name="_Toc352243720"/>
      <w:bookmarkStart w:id="2268" w:name="_Toc352243851"/>
      <w:bookmarkStart w:id="2269" w:name="_Toc352244396"/>
      <w:bookmarkStart w:id="2270" w:name="_Toc352244491"/>
      <w:bookmarkStart w:id="2271" w:name="_Toc354493488"/>
      <w:bookmarkStart w:id="2272" w:name="_Toc354493900"/>
      <w:bookmarkStart w:id="2273" w:name="_Toc354494582"/>
      <w:bookmarkStart w:id="2274" w:name="_Toc354494772"/>
      <w:bookmarkStart w:id="2275" w:name="_Toc354497588"/>
      <w:bookmarkStart w:id="2276" w:name="_Toc354561179"/>
      <w:bookmarkStart w:id="2277" w:name="_Toc354561363"/>
      <w:bookmarkStart w:id="2278" w:name="_Toc354561435"/>
      <w:bookmarkStart w:id="2279" w:name="_Toc354561507"/>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A</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7</w:t>
      </w:r>
      <w:r w:rsidR="007F11CF">
        <w:rPr>
          <w:noProof/>
        </w:rPr>
        <w:fldChar w:fldCharType="end"/>
      </w:r>
      <w:r w:rsidR="008237BB">
        <w:t>. 2055, 50 year ARI TC wind hazard.</w:t>
      </w:r>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p>
    <w:p w:rsidR="008237BB" w:rsidRDefault="008237BB" w:rsidP="00253307">
      <w:pPr>
        <w:pStyle w:val="Figuresandimagesleft"/>
      </w:pPr>
      <w:r>
        <w:rPr>
          <w:noProof/>
        </w:rPr>
        <w:drawing>
          <wp:inline distT="0" distB="0" distL="0" distR="0" wp14:anchorId="2331357A" wp14:editId="31DD42F1">
            <wp:extent cx="5400675" cy="3600450"/>
            <wp:effectExtent l="0" t="0" r="9525" b="0"/>
            <wp:docPr id="75" name="Picture 75" descr="The trend for the previous figures continues for the 2055 future climate 100 year ARI wind hazard. The spatial pattern of higher and lower hazard, as areas reported previously, remains constant. The 2055 100 year ARI hazard is greater than the 2055 50 year ARI hazard. However, also as mentioned, the 2055 wind hazard is less than that in the current climate (comparing equivalent current and future climate 50 year and 100 year haz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e trend for the previous figures continues for the 2055 future climate 100 year ARI wind hazard. The spatial pattern of higher and lower hazard, as areas reported previously, remains constant. The 2055 100 year ARI hazard is greater than the 2055 50 year ARI hazard. However, also as mentioned, the 2055 wind hazard is less than that in the current climate (comparing equivalent current and future climate 50 year and 100 year hazard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414D8E" w:rsidP="008237BB">
      <w:pPr>
        <w:pStyle w:val="Caption"/>
      </w:pPr>
      <w:bookmarkStart w:id="2280" w:name="_Toc341336678"/>
      <w:bookmarkStart w:id="2281" w:name="_Toc342638642"/>
      <w:bookmarkStart w:id="2282" w:name="_Toc349055811"/>
      <w:bookmarkStart w:id="2283" w:name="_Toc349114896"/>
      <w:bookmarkStart w:id="2284" w:name="_Toc349114987"/>
      <w:bookmarkStart w:id="2285" w:name="_Toc349115126"/>
      <w:bookmarkStart w:id="2286" w:name="_Toc349115519"/>
      <w:bookmarkStart w:id="2287" w:name="_Toc349115703"/>
      <w:bookmarkStart w:id="2288" w:name="_Toc350325292"/>
      <w:bookmarkStart w:id="2289" w:name="_Toc350325567"/>
      <w:bookmarkStart w:id="2290" w:name="_Toc350326991"/>
      <w:bookmarkStart w:id="2291" w:name="_Toc350327137"/>
      <w:bookmarkStart w:id="2292" w:name="_Toc350327269"/>
      <w:bookmarkStart w:id="2293" w:name="_Toc350339802"/>
      <w:bookmarkStart w:id="2294" w:name="_Toc350341475"/>
      <w:bookmarkStart w:id="2295" w:name="_Toc350341629"/>
      <w:bookmarkStart w:id="2296" w:name="_Toc351449914"/>
      <w:bookmarkStart w:id="2297" w:name="_Toc351449995"/>
      <w:bookmarkStart w:id="2298" w:name="_Toc352243721"/>
      <w:bookmarkStart w:id="2299" w:name="_Toc352243852"/>
      <w:bookmarkStart w:id="2300" w:name="_Toc352244397"/>
      <w:bookmarkStart w:id="2301" w:name="_Toc352244492"/>
      <w:bookmarkStart w:id="2302" w:name="_Toc354493489"/>
      <w:bookmarkStart w:id="2303" w:name="_Toc354493901"/>
      <w:bookmarkStart w:id="2304" w:name="_Toc354494583"/>
      <w:bookmarkStart w:id="2305" w:name="_Toc354494773"/>
      <w:bookmarkStart w:id="2306" w:name="_Toc354497589"/>
      <w:bookmarkStart w:id="2307" w:name="_Toc354561180"/>
      <w:bookmarkStart w:id="2308" w:name="_Toc354561364"/>
      <w:bookmarkStart w:id="2309" w:name="_Toc354561436"/>
      <w:bookmarkStart w:id="2310" w:name="_Toc354561508"/>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A</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8</w:t>
      </w:r>
      <w:r w:rsidR="007F11CF">
        <w:rPr>
          <w:noProof/>
        </w:rPr>
        <w:fldChar w:fldCharType="end"/>
      </w:r>
      <w:r w:rsidR="008237BB">
        <w:t>. 2055, 100 year ARI TC wind hazard.</w:t>
      </w:r>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p>
    <w:p w:rsidR="008237BB" w:rsidRDefault="008237BB" w:rsidP="00253307">
      <w:pPr>
        <w:pStyle w:val="Figuresandimagesleft"/>
      </w:pPr>
      <w:r>
        <w:rPr>
          <w:noProof/>
        </w:rPr>
        <w:lastRenderedPageBreak/>
        <w:drawing>
          <wp:inline distT="0" distB="0" distL="0" distR="0" wp14:anchorId="105DE52E" wp14:editId="7D2DD014">
            <wp:extent cx="5400675" cy="3600450"/>
            <wp:effectExtent l="0" t="0" r="9525" b="0"/>
            <wp:docPr id="74" name="Picture 74" descr="For 2090 the spatial trend continues of relatively high and low hazard across the study region. Again for the study region as a whole the hazard is further reduced as would be expected from the previous results provide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or 2090 the spatial trend continues of relatively high and low hazard across the study region. Again for the study region as a whole the hazard is further reduced as would be expected from the previous results provided.&#10;&#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414D8E" w:rsidP="008237BB">
      <w:pPr>
        <w:pStyle w:val="Caption"/>
      </w:pPr>
      <w:bookmarkStart w:id="2311" w:name="_Toc341336679"/>
      <w:bookmarkStart w:id="2312" w:name="_Toc342638643"/>
      <w:bookmarkStart w:id="2313" w:name="_Toc349055812"/>
      <w:bookmarkStart w:id="2314" w:name="_Toc349114897"/>
      <w:bookmarkStart w:id="2315" w:name="_Toc349114988"/>
      <w:bookmarkStart w:id="2316" w:name="_Toc349115127"/>
      <w:bookmarkStart w:id="2317" w:name="_Toc349115520"/>
      <w:bookmarkStart w:id="2318" w:name="_Toc349115704"/>
      <w:bookmarkStart w:id="2319" w:name="_Toc350325293"/>
      <w:bookmarkStart w:id="2320" w:name="_Toc350325568"/>
      <w:bookmarkStart w:id="2321" w:name="_Toc350326992"/>
      <w:bookmarkStart w:id="2322" w:name="_Toc350327138"/>
      <w:bookmarkStart w:id="2323" w:name="_Toc350327270"/>
      <w:bookmarkStart w:id="2324" w:name="_Toc350339803"/>
      <w:bookmarkStart w:id="2325" w:name="_Toc350341476"/>
      <w:bookmarkStart w:id="2326" w:name="_Toc350341630"/>
      <w:bookmarkStart w:id="2327" w:name="_Toc351449915"/>
      <w:bookmarkStart w:id="2328" w:name="_Toc351449996"/>
      <w:bookmarkStart w:id="2329" w:name="_Toc352243722"/>
      <w:bookmarkStart w:id="2330" w:name="_Toc352243853"/>
      <w:bookmarkStart w:id="2331" w:name="_Toc352244398"/>
      <w:bookmarkStart w:id="2332" w:name="_Toc352244493"/>
      <w:bookmarkStart w:id="2333" w:name="_Toc354493490"/>
      <w:bookmarkStart w:id="2334" w:name="_Toc354493902"/>
      <w:bookmarkStart w:id="2335" w:name="_Toc354494584"/>
      <w:bookmarkStart w:id="2336" w:name="_Toc354494774"/>
      <w:bookmarkStart w:id="2337" w:name="_Toc354497590"/>
      <w:bookmarkStart w:id="2338" w:name="_Toc354561181"/>
      <w:bookmarkStart w:id="2339" w:name="_Toc354561365"/>
      <w:bookmarkStart w:id="2340" w:name="_Toc354561437"/>
      <w:bookmarkStart w:id="2341" w:name="_Toc354561509"/>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A</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9</w:t>
      </w:r>
      <w:r w:rsidR="007F11CF">
        <w:rPr>
          <w:noProof/>
        </w:rPr>
        <w:fldChar w:fldCharType="end"/>
      </w:r>
      <w:r w:rsidR="008237BB">
        <w:t>. 2090 50 year ARI TC wind hazard.</w:t>
      </w:r>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p>
    <w:p w:rsidR="008237BB" w:rsidRDefault="008237BB" w:rsidP="00253307">
      <w:pPr>
        <w:pStyle w:val="Figuresandimagesleft"/>
      </w:pPr>
      <w:r>
        <w:rPr>
          <w:noProof/>
        </w:rPr>
        <w:drawing>
          <wp:inline distT="0" distB="0" distL="0" distR="0" wp14:anchorId="61947C36" wp14:editId="186E0181">
            <wp:extent cx="5400675" cy="3600450"/>
            <wp:effectExtent l="0" t="0" r="9525" b="0"/>
            <wp:docPr id="73" name="Picture 73" descr="For 2090 the spatial trend continues of relatively high and low hazard across the study region. Again for the study region as a whole the hazard is further reduced as would be expected from the previous results provide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or 2090 the spatial trend continues of relatively high and low hazard across the study region. Again for the study region as a whole the hazard is further reduced as would be expected from the previous results provided.&#10;&#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414D8E" w:rsidP="008237BB">
      <w:pPr>
        <w:pStyle w:val="Caption"/>
      </w:pPr>
      <w:bookmarkStart w:id="2342" w:name="_Toc341336680"/>
      <w:bookmarkStart w:id="2343" w:name="_Toc342638644"/>
      <w:bookmarkStart w:id="2344" w:name="_Toc349055813"/>
      <w:bookmarkStart w:id="2345" w:name="_Toc349114898"/>
      <w:bookmarkStart w:id="2346" w:name="_Toc349114989"/>
      <w:bookmarkStart w:id="2347" w:name="_Toc349115128"/>
      <w:bookmarkStart w:id="2348" w:name="_Toc349115521"/>
      <w:bookmarkStart w:id="2349" w:name="_Toc349115705"/>
      <w:bookmarkStart w:id="2350" w:name="_Toc350325294"/>
      <w:bookmarkStart w:id="2351" w:name="_Toc350325569"/>
      <w:bookmarkStart w:id="2352" w:name="_Toc350326993"/>
      <w:bookmarkStart w:id="2353" w:name="_Toc350327139"/>
      <w:bookmarkStart w:id="2354" w:name="_Toc350327271"/>
      <w:bookmarkStart w:id="2355" w:name="_Toc350339804"/>
      <w:bookmarkStart w:id="2356" w:name="_Toc350341477"/>
      <w:bookmarkStart w:id="2357" w:name="_Toc350341631"/>
      <w:bookmarkStart w:id="2358" w:name="_Toc351449916"/>
      <w:bookmarkStart w:id="2359" w:name="_Toc351449997"/>
      <w:bookmarkStart w:id="2360" w:name="_Toc352243723"/>
      <w:bookmarkStart w:id="2361" w:name="_Toc352243854"/>
      <w:bookmarkStart w:id="2362" w:name="_Toc352244399"/>
      <w:bookmarkStart w:id="2363" w:name="_Toc352244494"/>
      <w:bookmarkStart w:id="2364" w:name="_Toc354493491"/>
      <w:bookmarkStart w:id="2365" w:name="_Toc354493903"/>
      <w:bookmarkStart w:id="2366" w:name="_Toc354494585"/>
      <w:bookmarkStart w:id="2367" w:name="_Toc354494775"/>
      <w:bookmarkStart w:id="2368" w:name="_Toc354497591"/>
      <w:bookmarkStart w:id="2369" w:name="_Toc354561182"/>
      <w:bookmarkStart w:id="2370" w:name="_Toc354561366"/>
      <w:bookmarkStart w:id="2371" w:name="_Toc354561438"/>
      <w:bookmarkStart w:id="2372" w:name="_Toc354561510"/>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A</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10</w:t>
      </w:r>
      <w:r w:rsidR="007F11CF">
        <w:rPr>
          <w:noProof/>
        </w:rPr>
        <w:fldChar w:fldCharType="end"/>
      </w:r>
      <w:r w:rsidR="008237BB">
        <w:t>. 2090, 100 year ARI TC wind hazard.</w:t>
      </w:r>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p>
    <w:p w:rsidR="008237BB" w:rsidRDefault="008237BB" w:rsidP="006B24B4">
      <w:pPr>
        <w:pStyle w:val="Headingappendix2"/>
      </w:pPr>
      <w:bookmarkStart w:id="2373" w:name="_Toc341336597"/>
      <w:bookmarkStart w:id="2374" w:name="_Toc342638495"/>
      <w:bookmarkStart w:id="2375" w:name="_Ref345597508"/>
      <w:bookmarkStart w:id="2376" w:name="_Toc346260994"/>
      <w:bookmarkStart w:id="2377" w:name="_Toc346632554"/>
      <w:bookmarkStart w:id="2378" w:name="_Toc346632885"/>
      <w:bookmarkStart w:id="2379" w:name="_Toc346632997"/>
      <w:bookmarkStart w:id="2380" w:name="_Toc346633109"/>
      <w:bookmarkStart w:id="2381" w:name="_Toc346633221"/>
      <w:bookmarkStart w:id="2382" w:name="_Toc347401766"/>
      <w:bookmarkStart w:id="2383" w:name="_Toc347401878"/>
      <w:bookmarkStart w:id="2384" w:name="_Toc347401990"/>
      <w:bookmarkStart w:id="2385" w:name="_Toc347402102"/>
      <w:bookmarkStart w:id="2386" w:name="_Toc347402489"/>
      <w:bookmarkStart w:id="2387" w:name="_Toc349055061"/>
      <w:bookmarkStart w:id="2388" w:name="_Toc349055395"/>
      <w:bookmarkStart w:id="2389" w:name="_Toc349055508"/>
      <w:bookmarkStart w:id="2390" w:name="_Toc349055621"/>
      <w:bookmarkStart w:id="2391" w:name="_Toc349055734"/>
      <w:bookmarkStart w:id="2392" w:name="_Toc349116962"/>
      <w:bookmarkStart w:id="2393" w:name="_Toc350330052"/>
      <w:bookmarkStart w:id="2394" w:name="_Toc350344031"/>
      <w:bookmarkStart w:id="2395" w:name="_Toc354402021"/>
      <w:bookmarkStart w:id="2396" w:name="_Toc354404065"/>
      <w:bookmarkStart w:id="2397" w:name="_Toc354476518"/>
      <w:bookmarkStart w:id="2398" w:name="_Toc354492878"/>
      <w:bookmarkStart w:id="2399" w:name="_Toc354492994"/>
      <w:bookmarkStart w:id="2400" w:name="_Toc354493124"/>
      <w:bookmarkStart w:id="2401" w:name="_Toc354493285"/>
      <w:bookmarkStart w:id="2402" w:name="_Toc354493744"/>
      <w:bookmarkStart w:id="2403" w:name="_Toc354494279"/>
      <w:bookmarkStart w:id="2404" w:name="_Toc354494497"/>
      <w:bookmarkStart w:id="2405" w:name="_Toc354494708"/>
      <w:bookmarkStart w:id="2406" w:name="_Toc354495002"/>
      <w:bookmarkStart w:id="2407" w:name="_Toc354497884"/>
      <w:bookmarkStart w:id="2408" w:name="_Toc354561297"/>
      <w:bookmarkStart w:id="2409" w:name="_Toc355164205"/>
      <w:bookmarkStart w:id="2410" w:name="_Toc355249638"/>
      <w:r>
        <w:lastRenderedPageBreak/>
        <w:t>Discussion</w:t>
      </w:r>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p>
    <w:p w:rsidR="008237BB" w:rsidRPr="0079781B" w:rsidRDefault="008237BB" w:rsidP="00935848">
      <w:pPr>
        <w:pStyle w:val="Headingappendix3"/>
      </w:pPr>
      <w:bookmarkStart w:id="2411" w:name="_Toc341336598"/>
      <w:bookmarkStart w:id="2412" w:name="_Toc342638496"/>
      <w:bookmarkStart w:id="2413" w:name="_Toc346260995"/>
      <w:bookmarkStart w:id="2414" w:name="_Toc346632555"/>
      <w:bookmarkStart w:id="2415" w:name="_Toc346632886"/>
      <w:bookmarkStart w:id="2416" w:name="_Toc346632998"/>
      <w:bookmarkStart w:id="2417" w:name="_Toc346633110"/>
      <w:bookmarkStart w:id="2418" w:name="_Toc346633222"/>
      <w:bookmarkStart w:id="2419" w:name="_Toc347401767"/>
      <w:bookmarkStart w:id="2420" w:name="_Toc347401879"/>
      <w:bookmarkStart w:id="2421" w:name="_Toc347401991"/>
      <w:bookmarkStart w:id="2422" w:name="_Toc347402103"/>
      <w:bookmarkStart w:id="2423" w:name="_Toc347402490"/>
      <w:bookmarkStart w:id="2424" w:name="_Toc349055062"/>
      <w:bookmarkStart w:id="2425" w:name="_Toc349055396"/>
      <w:bookmarkStart w:id="2426" w:name="_Toc349055509"/>
      <w:bookmarkStart w:id="2427" w:name="_Toc349055622"/>
      <w:bookmarkStart w:id="2428" w:name="_Toc349055735"/>
      <w:bookmarkStart w:id="2429" w:name="_Toc349116963"/>
      <w:bookmarkStart w:id="2430" w:name="_Toc350330053"/>
      <w:bookmarkStart w:id="2431" w:name="_Toc350344032"/>
      <w:bookmarkStart w:id="2432" w:name="_Toc354402022"/>
      <w:bookmarkStart w:id="2433" w:name="_Toc354476519"/>
      <w:bookmarkStart w:id="2434" w:name="_Toc354492879"/>
      <w:bookmarkStart w:id="2435" w:name="_Toc354492995"/>
      <w:bookmarkStart w:id="2436" w:name="_Toc354493125"/>
      <w:bookmarkStart w:id="2437" w:name="_Toc354493286"/>
      <w:bookmarkStart w:id="2438" w:name="_Toc354493745"/>
      <w:bookmarkStart w:id="2439" w:name="_Toc354494280"/>
      <w:bookmarkStart w:id="2440" w:name="_Toc354494498"/>
      <w:bookmarkStart w:id="2441" w:name="_Toc354494709"/>
      <w:bookmarkStart w:id="2442" w:name="_Toc354495003"/>
      <w:bookmarkStart w:id="2443" w:name="_Toc354497885"/>
      <w:bookmarkStart w:id="2444" w:name="_Toc354561298"/>
      <w:bookmarkStart w:id="2445" w:name="_Toc355164206"/>
      <w:bookmarkStart w:id="2446" w:name="_Toc355249639"/>
      <w:r>
        <w:t>Current Climate</w:t>
      </w:r>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p>
    <w:p w:rsidR="002F691C" w:rsidRDefault="008237BB" w:rsidP="008237BB">
      <w:pPr>
        <w:pStyle w:val="BodyText"/>
      </w:pPr>
      <w:r>
        <w:t>As an example, the current-climate 500 year ARI wind hazard demonstrates wind speeds of TC category 3 and above within the study area (</w:t>
      </w:r>
      <w:r>
        <w:fldChar w:fldCharType="begin"/>
      </w:r>
      <w:r>
        <w:instrText xml:space="preserve"> REF _Ref338936493 \h </w:instrText>
      </w:r>
      <w:r>
        <w:fldChar w:fldCharType="separate"/>
      </w:r>
      <w:r w:rsidR="00413858">
        <w:t xml:space="preserve">Appendix Figure </w:t>
      </w:r>
      <w:r w:rsidR="00413858">
        <w:rPr>
          <w:noProof/>
        </w:rPr>
        <w:t>A</w:t>
      </w:r>
      <w:r w:rsidR="00413858">
        <w:t>.</w:t>
      </w:r>
      <w:r w:rsidR="00413858">
        <w:rPr>
          <w:noProof/>
        </w:rPr>
        <w:t>11</w:t>
      </w:r>
      <w:r>
        <w:fldChar w:fldCharType="end"/>
      </w:r>
      <w:r>
        <w:t>). The TC category 3, 4 and 5 wind speeds are the threshold at which the Bureau of Meteorology (BoM) indicates significant structural damage occurs</w:t>
      </w:r>
      <w:r w:rsidR="009D7E82">
        <w:t xml:space="preserve"> (</w:t>
      </w:r>
      <w:r w:rsidR="009D7E82">
        <w:fldChar w:fldCharType="begin"/>
      </w:r>
      <w:r w:rsidR="009D7E82">
        <w:instrText xml:space="preserve"> REF _Ref355162092 \h </w:instrText>
      </w:r>
      <w:r w:rsidR="009D7E82">
        <w:fldChar w:fldCharType="separate"/>
      </w:r>
      <w:r w:rsidR="00413858">
        <w:t xml:space="preserve">Appendix Table </w:t>
      </w:r>
      <w:r w:rsidR="00413858">
        <w:rPr>
          <w:noProof/>
        </w:rPr>
        <w:t>A</w:t>
      </w:r>
      <w:r w:rsidR="00413858">
        <w:t>.</w:t>
      </w:r>
      <w:r w:rsidR="00413858">
        <w:rPr>
          <w:noProof/>
        </w:rPr>
        <w:t>1</w:t>
      </w:r>
      <w:r w:rsidR="009D7E82">
        <w:fldChar w:fldCharType="end"/>
      </w:r>
      <w:r w:rsidR="009D7E82">
        <w:t>)</w:t>
      </w:r>
      <w:r>
        <w:t>.</w:t>
      </w:r>
    </w:p>
    <w:p w:rsidR="009D7E82" w:rsidRDefault="009D7E82" w:rsidP="00CD3EE2">
      <w:pPr>
        <w:pStyle w:val="Tabletitle"/>
      </w:pPr>
      <w:bookmarkStart w:id="2447" w:name="_Ref355162092"/>
      <w:bookmarkStart w:id="2448" w:name="_Toc355162313"/>
      <w:bookmarkStart w:id="2449" w:name="_Toc355249456"/>
      <w:r>
        <w:t xml:space="preserve">Appendix Table </w:t>
      </w:r>
      <w:r w:rsidR="007F11CF">
        <w:fldChar w:fldCharType="begin"/>
      </w:r>
      <w:r w:rsidR="007F11CF">
        <w:instrText xml:space="preserve"> STYLEREF 9 \s </w:instrText>
      </w:r>
      <w:r w:rsidR="007F11CF">
        <w:fldChar w:fldCharType="separate"/>
      </w:r>
      <w:r w:rsidR="00413858">
        <w:rPr>
          <w:noProof/>
        </w:rPr>
        <w:t>A</w:t>
      </w:r>
      <w:r w:rsidR="007F11CF">
        <w:rPr>
          <w:noProof/>
        </w:rPr>
        <w:fldChar w:fldCharType="end"/>
      </w:r>
      <w:r w:rsidR="00162079">
        <w:t>.</w:t>
      </w:r>
      <w:r w:rsidR="007F11CF">
        <w:fldChar w:fldCharType="begin"/>
      </w:r>
      <w:r w:rsidR="007F11CF">
        <w:instrText xml:space="preserve"> SEQ Appendix_Table \* ARABIC \s 9 </w:instrText>
      </w:r>
      <w:r w:rsidR="007F11CF">
        <w:fldChar w:fldCharType="separate"/>
      </w:r>
      <w:r w:rsidR="00413858">
        <w:rPr>
          <w:noProof/>
        </w:rPr>
        <w:t>1</w:t>
      </w:r>
      <w:r w:rsidR="007F11CF">
        <w:rPr>
          <w:noProof/>
        </w:rPr>
        <w:fldChar w:fldCharType="end"/>
      </w:r>
      <w:bookmarkEnd w:id="2447"/>
      <w:r>
        <w:t>. Bureau of Meteorology TC category and damage description.</w:t>
      </w:r>
      <w:bookmarkEnd w:id="2448"/>
      <w:bookmarkEnd w:id="2449"/>
    </w:p>
    <w:tbl>
      <w:tblPr>
        <w:tblStyle w:val="TableGAHeaderRow"/>
        <w:tblW w:w="0" w:type="auto"/>
        <w:tblLook w:val="04A0" w:firstRow="1" w:lastRow="0" w:firstColumn="1" w:lastColumn="0" w:noHBand="0" w:noVBand="1"/>
        <w:tblDescription w:val="This table defines the Bureau of Meteorology TC wind categories with a general description of damage. They are as follows:Category 3 - “Some roof and structural damage. Some caravans destroyed. Power failures likely.”.Category 4 - “Significant roofing loss and structural damage. Many caravans destroyed and blown away. Dangerous airborne debris. Widespread power failures.”. Category 5 - “Extremely dangerous with widespread destruction.”&#10;"/>
      </w:tblPr>
      <w:tblGrid>
        <w:gridCol w:w="1276"/>
        <w:gridCol w:w="6804"/>
      </w:tblGrid>
      <w:tr w:rsidR="009551D1" w:rsidTr="00931278">
        <w:trPr>
          <w:cnfStyle w:val="100000000000" w:firstRow="1" w:lastRow="0" w:firstColumn="0" w:lastColumn="0" w:oddVBand="0" w:evenVBand="0" w:oddHBand="0" w:evenHBand="0" w:firstRowFirstColumn="0" w:firstRowLastColumn="0" w:lastRowFirstColumn="0" w:lastRowLastColumn="0"/>
          <w:tblHeader/>
        </w:trPr>
        <w:tc>
          <w:tcPr>
            <w:tcW w:w="1276" w:type="dxa"/>
          </w:tcPr>
          <w:p w:rsidR="009551D1" w:rsidRDefault="009551D1" w:rsidP="001D132F">
            <w:pPr>
              <w:pStyle w:val="Tabletextleft"/>
            </w:pPr>
            <w:r>
              <w:t>Category</w:t>
            </w:r>
          </w:p>
        </w:tc>
        <w:tc>
          <w:tcPr>
            <w:tcW w:w="6804" w:type="dxa"/>
          </w:tcPr>
          <w:p w:rsidR="009551D1" w:rsidRDefault="009551D1" w:rsidP="001D132F">
            <w:pPr>
              <w:pStyle w:val="Tabletextleft"/>
            </w:pPr>
            <w:r>
              <w:t>Description</w:t>
            </w:r>
          </w:p>
        </w:tc>
      </w:tr>
      <w:tr w:rsidR="009551D1" w:rsidTr="009551D1">
        <w:trPr>
          <w:cnfStyle w:val="000000100000" w:firstRow="0" w:lastRow="0" w:firstColumn="0" w:lastColumn="0" w:oddVBand="0" w:evenVBand="0" w:oddHBand="1" w:evenHBand="0" w:firstRowFirstColumn="0" w:firstRowLastColumn="0" w:lastRowFirstColumn="0" w:lastRowLastColumn="0"/>
        </w:trPr>
        <w:tc>
          <w:tcPr>
            <w:tcW w:w="1276" w:type="dxa"/>
          </w:tcPr>
          <w:p w:rsidR="009551D1" w:rsidRDefault="009551D1" w:rsidP="001D132F">
            <w:pPr>
              <w:pStyle w:val="Tabletextleft"/>
            </w:pPr>
            <w:r>
              <w:t>Category 3</w:t>
            </w:r>
          </w:p>
        </w:tc>
        <w:tc>
          <w:tcPr>
            <w:tcW w:w="6804" w:type="dxa"/>
          </w:tcPr>
          <w:p w:rsidR="009551D1" w:rsidRDefault="009551D1" w:rsidP="001D132F">
            <w:pPr>
              <w:pStyle w:val="Tabletextleft"/>
            </w:pPr>
            <w:r w:rsidRPr="00B412E6">
              <w:rPr>
                <w:rStyle w:val="Italic"/>
              </w:rPr>
              <w:t>“Some roof and structural damage. Some caravans destroyed. Power failures likely.”</w:t>
            </w:r>
          </w:p>
        </w:tc>
      </w:tr>
      <w:tr w:rsidR="009551D1" w:rsidTr="009551D1">
        <w:trPr>
          <w:cnfStyle w:val="000000010000" w:firstRow="0" w:lastRow="0" w:firstColumn="0" w:lastColumn="0" w:oddVBand="0" w:evenVBand="0" w:oddHBand="0" w:evenHBand="1" w:firstRowFirstColumn="0" w:firstRowLastColumn="0" w:lastRowFirstColumn="0" w:lastRowLastColumn="0"/>
        </w:trPr>
        <w:tc>
          <w:tcPr>
            <w:tcW w:w="1276" w:type="dxa"/>
          </w:tcPr>
          <w:p w:rsidR="009551D1" w:rsidRDefault="009551D1" w:rsidP="001D132F">
            <w:pPr>
              <w:pStyle w:val="Tabletextleft"/>
            </w:pPr>
            <w:r>
              <w:t>Category 4</w:t>
            </w:r>
          </w:p>
        </w:tc>
        <w:tc>
          <w:tcPr>
            <w:tcW w:w="6804" w:type="dxa"/>
          </w:tcPr>
          <w:p w:rsidR="009551D1" w:rsidRDefault="009551D1" w:rsidP="001D132F">
            <w:pPr>
              <w:pStyle w:val="Tabletextleft"/>
            </w:pPr>
            <w:r w:rsidRPr="00B412E6">
              <w:rPr>
                <w:rStyle w:val="Italic"/>
              </w:rPr>
              <w:t>“Significant roofing loss and structural damage. Many caravans destroyed and blown away. Dangerous airborne debris. Widespread power failures.”</w:t>
            </w:r>
          </w:p>
        </w:tc>
      </w:tr>
      <w:tr w:rsidR="009551D1" w:rsidTr="009551D1">
        <w:trPr>
          <w:cnfStyle w:val="000000100000" w:firstRow="0" w:lastRow="0" w:firstColumn="0" w:lastColumn="0" w:oddVBand="0" w:evenVBand="0" w:oddHBand="1" w:evenHBand="0" w:firstRowFirstColumn="0" w:firstRowLastColumn="0" w:lastRowFirstColumn="0" w:lastRowLastColumn="0"/>
        </w:trPr>
        <w:tc>
          <w:tcPr>
            <w:tcW w:w="1276" w:type="dxa"/>
          </w:tcPr>
          <w:p w:rsidR="009551D1" w:rsidRDefault="009551D1" w:rsidP="001D132F">
            <w:pPr>
              <w:pStyle w:val="Tabletextleft"/>
            </w:pPr>
            <w:r>
              <w:t>Category 5</w:t>
            </w:r>
          </w:p>
        </w:tc>
        <w:tc>
          <w:tcPr>
            <w:tcW w:w="6804" w:type="dxa"/>
          </w:tcPr>
          <w:p w:rsidR="009551D1" w:rsidRDefault="009551D1" w:rsidP="001D132F">
            <w:pPr>
              <w:pStyle w:val="Tabletextleft"/>
            </w:pPr>
            <w:r w:rsidRPr="004B379B">
              <w:t>“</w:t>
            </w:r>
            <w:r w:rsidRPr="004B379B">
              <w:rPr>
                <w:rStyle w:val="Italic"/>
              </w:rPr>
              <w:t>Extremely dangerous with widespread destruction.”</w:t>
            </w:r>
          </w:p>
        </w:tc>
      </w:tr>
    </w:tbl>
    <w:p w:rsidR="002F691C" w:rsidRDefault="008237BB" w:rsidP="008237BB">
      <w:pPr>
        <w:pStyle w:val="BodyText"/>
      </w:pPr>
      <w:r>
        <w:fldChar w:fldCharType="begin"/>
      </w:r>
      <w:r>
        <w:instrText xml:space="preserve"> REF _Ref338936493 \h </w:instrText>
      </w:r>
      <w:r>
        <w:fldChar w:fldCharType="separate"/>
      </w:r>
      <w:r w:rsidR="00413858">
        <w:t xml:space="preserve">Appendix Figure </w:t>
      </w:r>
      <w:r w:rsidR="00413858">
        <w:rPr>
          <w:noProof/>
        </w:rPr>
        <w:t>A</w:t>
      </w:r>
      <w:r w:rsidR="00413858">
        <w:t>.</w:t>
      </w:r>
      <w:r w:rsidR="00413858">
        <w:rPr>
          <w:noProof/>
        </w:rPr>
        <w:t>11</w:t>
      </w:r>
      <w:r>
        <w:fldChar w:fldCharType="end"/>
      </w:r>
      <w:r>
        <w:t xml:space="preserve"> shows areas of wind hazard by TC category and the higher hazard values occurring in the higher elevations and/or higher gradients within the study region and conversely the lower wind hazard occurring on the lower elevations and/or flatter terrain.</w:t>
      </w:r>
    </w:p>
    <w:p w:rsidR="008237BB" w:rsidRDefault="008237BB" w:rsidP="00253307">
      <w:pPr>
        <w:pStyle w:val="Figuresandimagesleft"/>
      </w:pPr>
      <w:r>
        <w:rPr>
          <w:noProof/>
        </w:rPr>
        <w:drawing>
          <wp:inline distT="0" distB="0" distL="0" distR="0" wp14:anchorId="102DBBB0" wp14:editId="4585FB38">
            <wp:extent cx="5112000" cy="3408000"/>
            <wp:effectExtent l="0" t="0" r="0" b="2540"/>
            <wp:docPr id="72" name="Picture 72" descr="This figure shows the reclassified current climate 500 year ARI wind hazard for the study region. The influence of topography is clear as the higher wind hazard areas, as defined by the grouped TC Category 4 and 5 wind speeds, are in the areas of higher elevation and slope. The specific areas of higher wind hazard are described in the text following thi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his figure shows the reclassified current climate 500 year ARI wind hazard for the study region. The influence of topography is clear as the higher wind hazard areas, as defined by the grouped TC Category 4 and 5 wind speeds, are in the areas of higher elevation and slope. The specific areas of higher wind hazard are described in the text following this figur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112000" cy="3408000"/>
                    </a:xfrm>
                    <a:prstGeom prst="rect">
                      <a:avLst/>
                    </a:prstGeom>
                    <a:noFill/>
                    <a:ln>
                      <a:noFill/>
                    </a:ln>
                  </pic:spPr>
                </pic:pic>
              </a:graphicData>
            </a:graphic>
          </wp:inline>
        </w:drawing>
      </w:r>
    </w:p>
    <w:p w:rsidR="008237BB" w:rsidRDefault="00414D8E" w:rsidP="008237BB">
      <w:pPr>
        <w:pStyle w:val="Caption"/>
      </w:pPr>
      <w:bookmarkStart w:id="2450" w:name="_Ref338936493"/>
      <w:bookmarkStart w:id="2451" w:name="_Toc341336681"/>
      <w:bookmarkStart w:id="2452" w:name="_Toc342638645"/>
      <w:bookmarkStart w:id="2453" w:name="_Toc349055814"/>
      <w:bookmarkStart w:id="2454" w:name="_Toc349114899"/>
      <w:bookmarkStart w:id="2455" w:name="_Toc349114990"/>
      <w:bookmarkStart w:id="2456" w:name="_Toc349115129"/>
      <w:bookmarkStart w:id="2457" w:name="_Toc349115522"/>
      <w:bookmarkStart w:id="2458" w:name="_Toc349115706"/>
      <w:bookmarkStart w:id="2459" w:name="_Toc350325295"/>
      <w:bookmarkStart w:id="2460" w:name="_Toc350325570"/>
      <w:bookmarkStart w:id="2461" w:name="_Toc350326994"/>
      <w:bookmarkStart w:id="2462" w:name="_Toc350327140"/>
      <w:bookmarkStart w:id="2463" w:name="_Toc350327272"/>
      <w:bookmarkStart w:id="2464" w:name="_Toc350339805"/>
      <w:bookmarkStart w:id="2465" w:name="_Toc350341478"/>
      <w:bookmarkStart w:id="2466" w:name="_Toc350341632"/>
      <w:bookmarkStart w:id="2467" w:name="_Toc351449917"/>
      <w:bookmarkStart w:id="2468" w:name="_Toc351449998"/>
      <w:bookmarkStart w:id="2469" w:name="_Toc352243724"/>
      <w:bookmarkStart w:id="2470" w:name="_Toc352243855"/>
      <w:bookmarkStart w:id="2471" w:name="_Toc352244400"/>
      <w:bookmarkStart w:id="2472" w:name="_Toc352244495"/>
      <w:bookmarkStart w:id="2473" w:name="_Toc354493492"/>
      <w:bookmarkStart w:id="2474" w:name="_Toc354493904"/>
      <w:bookmarkStart w:id="2475" w:name="_Toc354494586"/>
      <w:bookmarkStart w:id="2476" w:name="_Toc354494776"/>
      <w:bookmarkStart w:id="2477" w:name="_Toc354497592"/>
      <w:bookmarkStart w:id="2478" w:name="_Toc354561183"/>
      <w:bookmarkStart w:id="2479" w:name="_Toc354561367"/>
      <w:bookmarkStart w:id="2480" w:name="_Toc354561439"/>
      <w:bookmarkStart w:id="2481" w:name="_Toc354561511"/>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A</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11</w:t>
      </w:r>
      <w:r w:rsidR="007F11CF">
        <w:rPr>
          <w:noProof/>
        </w:rPr>
        <w:fldChar w:fldCharType="end"/>
      </w:r>
      <w:bookmarkEnd w:id="2450"/>
      <w:r w:rsidR="008237BB">
        <w:t>. 500 year ARI wind hazard combining TC category 4 (split) and 5 wind hazard and combining the remaining wind hazard categories.</w:t>
      </w:r>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p>
    <w:p w:rsidR="008237BB" w:rsidRDefault="008237BB" w:rsidP="009D7E82">
      <w:pPr>
        <w:pStyle w:val="BodyText"/>
        <w:keepNext/>
      </w:pPr>
      <w:r>
        <w:lastRenderedPageBreak/>
        <w:t>The larger homogenous, less exposed areas (TC category 3 wind speeds) in proximity to Rockhampton include:</w:t>
      </w:r>
    </w:p>
    <w:p w:rsidR="002F691C" w:rsidRDefault="008237BB" w:rsidP="004B379B">
      <w:pPr>
        <w:pStyle w:val="Bulletlevel1"/>
      </w:pPr>
      <w:r>
        <w:t xml:space="preserve">an arc east to </w:t>
      </w:r>
      <w:r w:rsidRPr="005B6444">
        <w:t>north-west of Rockhampton</w:t>
      </w:r>
    </w:p>
    <w:p w:rsidR="008237BB" w:rsidRPr="005B6444" w:rsidRDefault="008237BB" w:rsidP="004B379B">
      <w:pPr>
        <w:pStyle w:val="Bulletlevel1"/>
      </w:pPr>
      <w:r w:rsidRPr="005B6444">
        <w:t>south of Rockhampton between the Bruce and Burnett highways</w:t>
      </w:r>
    </w:p>
    <w:p w:rsidR="008237BB" w:rsidRPr="005B6444" w:rsidRDefault="008237BB" w:rsidP="004B379B">
      <w:pPr>
        <w:pStyle w:val="Bulletlevel1"/>
      </w:pPr>
      <w:r w:rsidRPr="005B6444">
        <w:t>eastern side of the Capricorn Highway</w:t>
      </w:r>
      <w:r>
        <w:t xml:space="preserve"> (Gracemere to Bouldercombe)</w:t>
      </w:r>
    </w:p>
    <w:p w:rsidR="008237BB" w:rsidRDefault="008237BB" w:rsidP="004B379B">
      <w:pPr>
        <w:pStyle w:val="Bulletlevel1"/>
      </w:pPr>
      <w:r w:rsidRPr="005B6444">
        <w:t>south of Bajool and Marmor</w:t>
      </w:r>
      <w:r>
        <w:t>.</w:t>
      </w:r>
    </w:p>
    <w:p w:rsidR="008237BB" w:rsidRDefault="008237BB" w:rsidP="008237BB">
      <w:pPr>
        <w:pStyle w:val="BodyText"/>
      </w:pPr>
      <w:r>
        <w:t>Notable areas of peak hazard include:</w:t>
      </w:r>
    </w:p>
    <w:p w:rsidR="008237BB" w:rsidRPr="005B6444" w:rsidRDefault="008237BB" w:rsidP="004B379B">
      <w:pPr>
        <w:pStyle w:val="Bulletlevel1"/>
      </w:pPr>
      <w:r w:rsidRPr="005B6444">
        <w:t>Flat Top Range</w:t>
      </w:r>
    </w:p>
    <w:p w:rsidR="008237BB" w:rsidRPr="005B6444" w:rsidRDefault="008237BB" w:rsidP="004B379B">
      <w:pPr>
        <w:pStyle w:val="Bulletlevel1"/>
      </w:pPr>
      <w:r w:rsidRPr="005B6444">
        <w:t>Mount Morgan</w:t>
      </w:r>
    </w:p>
    <w:p w:rsidR="008237BB" w:rsidRDefault="008237BB" w:rsidP="004B379B">
      <w:pPr>
        <w:pStyle w:val="Bulletlevel1"/>
      </w:pPr>
      <w:r w:rsidRPr="005B6444">
        <w:t>Mount Archer National Park.</w:t>
      </w:r>
    </w:p>
    <w:p w:rsidR="008237BB" w:rsidRDefault="008237BB" w:rsidP="008237BB">
      <w:pPr>
        <w:pStyle w:val="BodyText"/>
      </w:pPr>
      <w:r>
        <w:t xml:space="preserve">These peak areas show higher TC wind hazard in the 50 year ARI hazard which increases throughout the range through to the 1000 year ARI hazard. For the area of interest generally, as expected, the wind speeds increases as the events become rarer although the rate of increase varies across the landscape. The comparison between current climate local ARI wind hazard is shown in </w:t>
      </w:r>
      <w:r>
        <w:fldChar w:fldCharType="begin"/>
      </w:r>
      <w:r>
        <w:instrText xml:space="preserve"> REF _Ref338935450 \h </w:instrText>
      </w:r>
      <w:r>
        <w:fldChar w:fldCharType="separate"/>
      </w:r>
      <w:r w:rsidR="00413858">
        <w:t xml:space="preserve">Appendix Figure </w:t>
      </w:r>
      <w:r w:rsidR="00413858">
        <w:rPr>
          <w:noProof/>
        </w:rPr>
        <w:t>A</w:t>
      </w:r>
      <w:r w:rsidR="00413858">
        <w:t>.</w:t>
      </w:r>
      <w:r w:rsidR="00413858">
        <w:rPr>
          <w:noProof/>
        </w:rPr>
        <w:t>12</w:t>
      </w:r>
      <w:r>
        <w:fldChar w:fldCharType="end"/>
      </w:r>
      <w:r>
        <w:t xml:space="preserve">, </w:t>
      </w:r>
      <w:r>
        <w:fldChar w:fldCharType="begin"/>
      </w:r>
      <w:r>
        <w:instrText xml:space="preserve"> REF _Ref338935452 \h </w:instrText>
      </w:r>
      <w:r>
        <w:fldChar w:fldCharType="separate"/>
      </w:r>
      <w:r w:rsidR="00413858">
        <w:t xml:space="preserve">Appendix Figure </w:t>
      </w:r>
      <w:r w:rsidR="00413858">
        <w:rPr>
          <w:noProof/>
        </w:rPr>
        <w:t>A</w:t>
      </w:r>
      <w:r w:rsidR="00413858">
        <w:t>.</w:t>
      </w:r>
      <w:r w:rsidR="00413858">
        <w:rPr>
          <w:noProof/>
        </w:rPr>
        <w:t>13</w:t>
      </w:r>
      <w:r>
        <w:fldChar w:fldCharType="end"/>
      </w:r>
      <w:r>
        <w:t xml:space="preserve"> and </w:t>
      </w:r>
      <w:r>
        <w:fldChar w:fldCharType="begin"/>
      </w:r>
      <w:r>
        <w:instrText xml:space="preserve"> REF _Ref338935455 \h </w:instrText>
      </w:r>
      <w:r>
        <w:fldChar w:fldCharType="separate"/>
      </w:r>
      <w:r w:rsidR="00413858">
        <w:t xml:space="preserve">Appendix Figure </w:t>
      </w:r>
      <w:r w:rsidR="00413858">
        <w:rPr>
          <w:noProof/>
        </w:rPr>
        <w:t>A</w:t>
      </w:r>
      <w:r w:rsidR="00413858">
        <w:t>.</w:t>
      </w:r>
      <w:r w:rsidR="00413858">
        <w:rPr>
          <w:noProof/>
        </w:rPr>
        <w:t>14</w:t>
      </w:r>
      <w:r>
        <w:fldChar w:fldCharType="end"/>
      </w:r>
      <w:r>
        <w:t>.</w:t>
      </w:r>
    </w:p>
    <w:p w:rsidR="008237BB" w:rsidRDefault="008237BB" w:rsidP="00253307">
      <w:pPr>
        <w:pStyle w:val="Figuresandimagesleft"/>
      </w:pPr>
      <w:r>
        <w:rPr>
          <w:noProof/>
        </w:rPr>
        <w:drawing>
          <wp:inline distT="0" distB="0" distL="0" distR="0" wp14:anchorId="40037A98" wp14:editId="6082FE98">
            <wp:extent cx="5391150" cy="3600450"/>
            <wp:effectExtent l="0" t="0" r="0" b="0"/>
            <wp:docPr id="71" name="Picture 71" descr="Across the study area there is variation of +6 km/h to +16 km/h between the current climate 50 and 100 year ARI wind hazard. The majority of the study region is relatively flat and the increase in hazard here is in the range of 10 km/h to 12 km/h on top of the current climate 50 year ARI wind hazard. The more elevated the location and higher the slope the greater the increase with the previously mentioned peak wind hazard areas increasing in the range of 12 km/h to 16 km/h with very limited exposure increase above a 14 km/h in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cross the study area there is variation of +6 km/h to +16 km/h between the current climate 50 and 100 year ARI wind hazard. The majority of the study region is relatively flat and the increase in hazard here is in the range of 10 km/h to 12 km/h on top of the current climate 50 year ARI wind hazard. The more elevated the location and higher the slope the greater the increase with the previously mentioned peak wind hazard areas increasing in the range of 12 km/h to 16 km/h with very limited exposure increase above a 14 km/h increas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91150" cy="3600450"/>
                    </a:xfrm>
                    <a:prstGeom prst="rect">
                      <a:avLst/>
                    </a:prstGeom>
                    <a:noFill/>
                    <a:ln>
                      <a:noFill/>
                    </a:ln>
                  </pic:spPr>
                </pic:pic>
              </a:graphicData>
            </a:graphic>
          </wp:inline>
        </w:drawing>
      </w:r>
    </w:p>
    <w:p w:rsidR="008237BB" w:rsidRDefault="00414D8E" w:rsidP="008237BB">
      <w:pPr>
        <w:pStyle w:val="Caption"/>
      </w:pPr>
      <w:bookmarkStart w:id="2482" w:name="_Ref338935450"/>
      <w:bookmarkStart w:id="2483" w:name="_Ref338935446"/>
      <w:bookmarkStart w:id="2484" w:name="_Toc341336682"/>
      <w:bookmarkStart w:id="2485" w:name="_Toc342638646"/>
      <w:bookmarkStart w:id="2486" w:name="_Toc349055815"/>
      <w:bookmarkStart w:id="2487" w:name="_Toc349114900"/>
      <w:bookmarkStart w:id="2488" w:name="_Toc349114991"/>
      <w:bookmarkStart w:id="2489" w:name="_Toc349115130"/>
      <w:bookmarkStart w:id="2490" w:name="_Toc349115523"/>
      <w:bookmarkStart w:id="2491" w:name="_Toc349115707"/>
      <w:bookmarkStart w:id="2492" w:name="_Toc350325296"/>
      <w:bookmarkStart w:id="2493" w:name="_Toc350325571"/>
      <w:bookmarkStart w:id="2494" w:name="_Toc350326995"/>
      <w:bookmarkStart w:id="2495" w:name="_Toc350327141"/>
      <w:bookmarkStart w:id="2496" w:name="_Toc350327273"/>
      <w:bookmarkStart w:id="2497" w:name="_Toc350339806"/>
      <w:bookmarkStart w:id="2498" w:name="_Toc350341479"/>
      <w:bookmarkStart w:id="2499" w:name="_Toc350341633"/>
      <w:bookmarkStart w:id="2500" w:name="_Toc351449918"/>
      <w:bookmarkStart w:id="2501" w:name="_Toc351449999"/>
      <w:bookmarkStart w:id="2502" w:name="_Toc352243725"/>
      <w:bookmarkStart w:id="2503" w:name="_Toc352243856"/>
      <w:bookmarkStart w:id="2504" w:name="_Toc352244401"/>
      <w:bookmarkStart w:id="2505" w:name="_Toc352244496"/>
      <w:bookmarkStart w:id="2506" w:name="_Toc354493493"/>
      <w:bookmarkStart w:id="2507" w:name="_Toc354493905"/>
      <w:bookmarkStart w:id="2508" w:name="_Toc354494587"/>
      <w:bookmarkStart w:id="2509" w:name="_Toc354494777"/>
      <w:bookmarkStart w:id="2510" w:name="_Toc354497593"/>
      <w:bookmarkStart w:id="2511" w:name="_Toc354561184"/>
      <w:bookmarkStart w:id="2512" w:name="_Toc354561368"/>
      <w:bookmarkStart w:id="2513" w:name="_Toc354561440"/>
      <w:bookmarkStart w:id="2514" w:name="_Toc354561512"/>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A</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12</w:t>
      </w:r>
      <w:r w:rsidR="007F11CF">
        <w:rPr>
          <w:noProof/>
        </w:rPr>
        <w:fldChar w:fldCharType="end"/>
      </w:r>
      <w:bookmarkEnd w:id="2482"/>
      <w:r w:rsidR="008237BB">
        <w:t>. Difference between 100 year ARI wind speed and 50 year ARI wind speed</w:t>
      </w:r>
      <w:bookmarkEnd w:id="2483"/>
      <w:r w:rsidR="008237BB">
        <w:t>.</w:t>
      </w:r>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p>
    <w:p w:rsidR="008237BB" w:rsidRDefault="008237BB" w:rsidP="00253307">
      <w:pPr>
        <w:pStyle w:val="Figuresandimagesleft"/>
      </w:pPr>
      <w:r>
        <w:rPr>
          <w:noProof/>
        </w:rPr>
        <w:lastRenderedPageBreak/>
        <w:drawing>
          <wp:inline distT="0" distB="0" distL="0" distR="0" wp14:anchorId="1C6E0435" wp14:editId="43A429D0">
            <wp:extent cx="5391150" cy="3600450"/>
            <wp:effectExtent l="0" t="0" r="0" b="0"/>
            <wp:docPr id="70" name="Picture 70" descr="The patterns of spatial variation in the study region for the 100 year ARI to 50 year ARI hazard remain true for the 250 year ARI to 100 year ARI current climate wind hazard. However there is a trend towards a lesser difference between the 250 and 100 year ARI wind hazard shown here with  the largest area being the +8 to +10 km/h wind hazard and the mountain ranges now showing increases mostly in the range +10 to +12 km/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e patterns of spatial variation in the study region for the 100 year ARI to 50 year ARI hazard remain true for the 250 year ARI to 100 year ARI current climate wind hazard. However there is a trend towards a lesser difference between the 250 and 100 year ARI wind hazard shown here with  the largest area being the +8 to +10 km/h wind hazard and the mountain ranges now showing increases mostly in the range +10 to +12 km/h. "/>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91150" cy="3600450"/>
                    </a:xfrm>
                    <a:prstGeom prst="rect">
                      <a:avLst/>
                    </a:prstGeom>
                    <a:noFill/>
                    <a:ln>
                      <a:noFill/>
                    </a:ln>
                  </pic:spPr>
                </pic:pic>
              </a:graphicData>
            </a:graphic>
          </wp:inline>
        </w:drawing>
      </w:r>
    </w:p>
    <w:p w:rsidR="008237BB" w:rsidRDefault="00414D8E" w:rsidP="008237BB">
      <w:pPr>
        <w:pStyle w:val="Caption"/>
      </w:pPr>
      <w:bookmarkStart w:id="2515" w:name="_Ref338935452"/>
      <w:bookmarkStart w:id="2516" w:name="_Toc341336683"/>
      <w:bookmarkStart w:id="2517" w:name="_Toc342638647"/>
      <w:bookmarkStart w:id="2518" w:name="_Toc349055816"/>
      <w:bookmarkStart w:id="2519" w:name="_Toc349114901"/>
      <w:bookmarkStart w:id="2520" w:name="_Toc349114992"/>
      <w:bookmarkStart w:id="2521" w:name="_Toc349115131"/>
      <w:bookmarkStart w:id="2522" w:name="_Toc349115524"/>
      <w:bookmarkStart w:id="2523" w:name="_Toc349115708"/>
      <w:bookmarkStart w:id="2524" w:name="_Toc350325297"/>
      <w:bookmarkStart w:id="2525" w:name="_Toc350325572"/>
      <w:bookmarkStart w:id="2526" w:name="_Toc350326996"/>
      <w:bookmarkStart w:id="2527" w:name="_Toc350327142"/>
      <w:bookmarkStart w:id="2528" w:name="_Toc350327274"/>
      <w:bookmarkStart w:id="2529" w:name="_Toc350339807"/>
      <w:bookmarkStart w:id="2530" w:name="_Toc350341480"/>
      <w:bookmarkStart w:id="2531" w:name="_Toc350341634"/>
      <w:bookmarkStart w:id="2532" w:name="_Toc351449919"/>
      <w:bookmarkStart w:id="2533" w:name="_Toc351450000"/>
      <w:bookmarkStart w:id="2534" w:name="_Toc352243726"/>
      <w:bookmarkStart w:id="2535" w:name="_Toc352243857"/>
      <w:bookmarkStart w:id="2536" w:name="_Toc352244402"/>
      <w:bookmarkStart w:id="2537" w:name="_Toc352244497"/>
      <w:bookmarkStart w:id="2538" w:name="_Toc354493494"/>
      <w:bookmarkStart w:id="2539" w:name="_Toc354493906"/>
      <w:bookmarkStart w:id="2540" w:name="_Toc354494588"/>
      <w:bookmarkStart w:id="2541" w:name="_Toc354494778"/>
      <w:bookmarkStart w:id="2542" w:name="_Toc354497594"/>
      <w:bookmarkStart w:id="2543" w:name="_Toc354561185"/>
      <w:bookmarkStart w:id="2544" w:name="_Toc354561369"/>
      <w:bookmarkStart w:id="2545" w:name="_Toc354561441"/>
      <w:bookmarkStart w:id="2546" w:name="_Toc354561513"/>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A</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13</w:t>
      </w:r>
      <w:r w:rsidR="007F11CF">
        <w:rPr>
          <w:noProof/>
        </w:rPr>
        <w:fldChar w:fldCharType="end"/>
      </w:r>
      <w:bookmarkEnd w:id="2515"/>
      <w:r w:rsidR="008237BB">
        <w:t>. Difference between 250 year ARI wind and 100 year ARI wind</w:t>
      </w:r>
      <w:r w:rsidR="00FF6328">
        <w:t xml:space="preserve"> speed</w:t>
      </w:r>
      <w:r w:rsidR="008237BB">
        <w:t>.</w:t>
      </w:r>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p>
    <w:p w:rsidR="008237BB" w:rsidRDefault="008237BB" w:rsidP="00253307">
      <w:pPr>
        <w:pStyle w:val="Figuresandimagesleft"/>
      </w:pPr>
      <w:r>
        <w:rPr>
          <w:noProof/>
        </w:rPr>
        <w:drawing>
          <wp:inline distT="0" distB="0" distL="0" distR="0" wp14:anchorId="0BE4F21F" wp14:editId="692955C4">
            <wp:extent cx="5391150" cy="3600450"/>
            <wp:effectExtent l="0" t="0" r="0" b="0"/>
            <wp:docPr id="69" name="Picture 69" descr="The patterns of spatial variation in the study region for the 250 year ARI to 1000 year ARI hazard remain true for the 100 year ARI to 250 year ARI current climate wind hazard.  Again however there is a trend towards a lesser magnitude of difference from the previous comparisons.Still remaining the largest area is the +8 to +10 km/h wind hazard and the mountain ranges are increasing showing reduce wind hazard (i.e. larger areas of +10 to +12 km/h wind ha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he patterns of spatial variation in the study region for the 250 year ARI to 1000 year ARI hazard remain true for the 100 year ARI to 250 year ARI current climate wind hazard.  Again however there is a trend towards a lesser magnitude of difference from the previous comparisons.Still remaining the largest area is the +8 to +10 km/h wind hazard and the mountain ranges are increasing showing reduce wind hazard (i.e. larger areas of +10 to +12 km/h wind hazar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91150" cy="3600450"/>
                    </a:xfrm>
                    <a:prstGeom prst="rect">
                      <a:avLst/>
                    </a:prstGeom>
                    <a:noFill/>
                    <a:ln>
                      <a:noFill/>
                    </a:ln>
                  </pic:spPr>
                </pic:pic>
              </a:graphicData>
            </a:graphic>
          </wp:inline>
        </w:drawing>
      </w:r>
    </w:p>
    <w:p w:rsidR="008237BB" w:rsidRDefault="00414D8E" w:rsidP="008237BB">
      <w:pPr>
        <w:pStyle w:val="Caption"/>
      </w:pPr>
      <w:bookmarkStart w:id="2547" w:name="_Ref338935455"/>
      <w:bookmarkStart w:id="2548" w:name="_Toc341336684"/>
      <w:bookmarkStart w:id="2549" w:name="_Toc342638648"/>
      <w:bookmarkStart w:id="2550" w:name="_Toc349055817"/>
      <w:bookmarkStart w:id="2551" w:name="_Toc349114902"/>
      <w:bookmarkStart w:id="2552" w:name="_Toc349114993"/>
      <w:bookmarkStart w:id="2553" w:name="_Toc349115132"/>
      <w:bookmarkStart w:id="2554" w:name="_Toc349115525"/>
      <w:bookmarkStart w:id="2555" w:name="_Toc349115709"/>
      <w:bookmarkStart w:id="2556" w:name="_Toc350325298"/>
      <w:bookmarkStart w:id="2557" w:name="_Toc350325573"/>
      <w:bookmarkStart w:id="2558" w:name="_Toc350326997"/>
      <w:bookmarkStart w:id="2559" w:name="_Toc350327143"/>
      <w:bookmarkStart w:id="2560" w:name="_Toc350327275"/>
      <w:bookmarkStart w:id="2561" w:name="_Toc350339808"/>
      <w:bookmarkStart w:id="2562" w:name="_Toc350341481"/>
      <w:bookmarkStart w:id="2563" w:name="_Toc350341635"/>
      <w:bookmarkStart w:id="2564" w:name="_Toc351449920"/>
      <w:bookmarkStart w:id="2565" w:name="_Toc351450001"/>
      <w:bookmarkStart w:id="2566" w:name="_Toc352243727"/>
      <w:bookmarkStart w:id="2567" w:name="_Toc352243858"/>
      <w:bookmarkStart w:id="2568" w:name="_Toc352244403"/>
      <w:bookmarkStart w:id="2569" w:name="_Toc352244498"/>
      <w:bookmarkStart w:id="2570" w:name="_Toc354493495"/>
      <w:bookmarkStart w:id="2571" w:name="_Toc354493907"/>
      <w:bookmarkStart w:id="2572" w:name="_Toc354494589"/>
      <w:bookmarkStart w:id="2573" w:name="_Toc354494779"/>
      <w:bookmarkStart w:id="2574" w:name="_Toc354497595"/>
      <w:bookmarkStart w:id="2575" w:name="_Toc354561186"/>
      <w:bookmarkStart w:id="2576" w:name="_Toc354561370"/>
      <w:bookmarkStart w:id="2577" w:name="_Toc354561442"/>
      <w:bookmarkStart w:id="2578" w:name="_Toc354561514"/>
      <w:r>
        <w:t>Appendix Figure</w:t>
      </w:r>
      <w:r w:rsidR="008237BB">
        <w:t xml:space="preserve"> </w:t>
      </w:r>
      <w:r w:rsidR="007F11CF">
        <w:fldChar w:fldCharType="begin"/>
      </w:r>
      <w:r w:rsidR="007F11CF">
        <w:instrText xml:space="preserve"> STYLEREF 9 \</w:instrText>
      </w:r>
      <w:r w:rsidR="007F11CF">
        <w:instrText xml:space="preserve">s </w:instrText>
      </w:r>
      <w:r w:rsidR="007F11CF">
        <w:fldChar w:fldCharType="separate"/>
      </w:r>
      <w:r w:rsidR="00413858">
        <w:rPr>
          <w:noProof/>
        </w:rPr>
        <w:t>A</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14</w:t>
      </w:r>
      <w:r w:rsidR="007F11CF">
        <w:rPr>
          <w:noProof/>
        </w:rPr>
        <w:fldChar w:fldCharType="end"/>
      </w:r>
      <w:bookmarkEnd w:id="2547"/>
      <w:r w:rsidR="008237BB">
        <w:t>. Difference between 1000 year ARI wind and 250 year ARI wind</w:t>
      </w:r>
      <w:r w:rsidR="00FF6328">
        <w:t xml:space="preserve"> speed</w:t>
      </w:r>
      <w:r w:rsidR="008237BB">
        <w:t>.</w:t>
      </w:r>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p>
    <w:p w:rsidR="008237BB" w:rsidRPr="006C0A72" w:rsidRDefault="008237BB" w:rsidP="00935848">
      <w:pPr>
        <w:pStyle w:val="Headingappendix3"/>
      </w:pPr>
      <w:bookmarkStart w:id="2579" w:name="_Toc341336599"/>
      <w:bookmarkStart w:id="2580" w:name="_Toc342638497"/>
      <w:bookmarkStart w:id="2581" w:name="_Toc346260996"/>
      <w:bookmarkStart w:id="2582" w:name="_Toc346632556"/>
      <w:bookmarkStart w:id="2583" w:name="_Toc346632887"/>
      <w:bookmarkStart w:id="2584" w:name="_Toc346632999"/>
      <w:bookmarkStart w:id="2585" w:name="_Toc346633111"/>
      <w:bookmarkStart w:id="2586" w:name="_Toc346633223"/>
      <w:bookmarkStart w:id="2587" w:name="_Toc347401768"/>
      <w:bookmarkStart w:id="2588" w:name="_Toc347401880"/>
      <w:bookmarkStart w:id="2589" w:name="_Toc347401992"/>
      <w:bookmarkStart w:id="2590" w:name="_Toc347402104"/>
      <w:bookmarkStart w:id="2591" w:name="_Toc347402491"/>
      <w:bookmarkStart w:id="2592" w:name="_Toc349055063"/>
      <w:bookmarkStart w:id="2593" w:name="_Toc349055397"/>
      <w:bookmarkStart w:id="2594" w:name="_Toc349055510"/>
      <w:bookmarkStart w:id="2595" w:name="_Toc349055623"/>
      <w:bookmarkStart w:id="2596" w:name="_Toc349055736"/>
      <w:bookmarkStart w:id="2597" w:name="_Toc349116964"/>
      <w:bookmarkStart w:id="2598" w:name="_Toc350330054"/>
      <w:bookmarkStart w:id="2599" w:name="_Toc350344033"/>
      <w:bookmarkStart w:id="2600" w:name="_Toc354402023"/>
      <w:bookmarkStart w:id="2601" w:name="_Toc354476520"/>
      <w:bookmarkStart w:id="2602" w:name="_Toc354492880"/>
      <w:bookmarkStart w:id="2603" w:name="_Toc354492996"/>
      <w:bookmarkStart w:id="2604" w:name="_Toc354493126"/>
      <w:bookmarkStart w:id="2605" w:name="_Toc354493287"/>
      <w:bookmarkStart w:id="2606" w:name="_Toc354493746"/>
      <w:bookmarkStart w:id="2607" w:name="_Toc354494281"/>
      <w:bookmarkStart w:id="2608" w:name="_Toc354494499"/>
      <w:bookmarkStart w:id="2609" w:name="_Toc354494710"/>
      <w:bookmarkStart w:id="2610" w:name="_Toc354495004"/>
      <w:bookmarkStart w:id="2611" w:name="_Toc354497886"/>
      <w:bookmarkStart w:id="2612" w:name="_Toc354561299"/>
      <w:bookmarkStart w:id="2613" w:name="_Toc355164207"/>
      <w:bookmarkStart w:id="2614" w:name="_Toc355249640"/>
      <w:r>
        <w:lastRenderedPageBreak/>
        <w:t>Future Climate</w:t>
      </w:r>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p>
    <w:p w:rsidR="002F691C" w:rsidRDefault="008237BB" w:rsidP="008237BB">
      <w:pPr>
        <w:pStyle w:val="BodyText"/>
      </w:pPr>
      <w:r>
        <w:t>The results in this study are in line with current understanding of the projected changes in cyclone hazard across Australia associated with climate change. Recent studies indicate that in the future cyclone frequency may decline overall, but a larger proportion of those cyclones will be intense (Category 4 and 5). This shift could result in average hazard levels very similar to those experienced currently. Cyclone tracks may also occur further southward, especially on the east coast of Australia (Abbs, 2012). While such a shift in tracks might mean an increase in cyclone risk for some areas of Queensland, this may not be an issue for Rockhampton, which is already in an active cyclone region.</w:t>
      </w:r>
    </w:p>
    <w:p w:rsidR="002F691C" w:rsidRDefault="008237BB" w:rsidP="008237BB">
      <w:pPr>
        <w:pStyle w:val="BodyText"/>
      </w:pPr>
      <w:r>
        <w:t>Predicted ARI wind hazard for 2050 can be compared to the current-climate ARI hazard. Although the regional ARI wind hazard has declined (</w:t>
      </w:r>
      <w:r>
        <w:fldChar w:fldCharType="begin"/>
      </w:r>
      <w:r>
        <w:instrText xml:space="preserve"> REF _Ref346621832 \h </w:instrText>
      </w:r>
      <w:r>
        <w:fldChar w:fldCharType="separate"/>
      </w:r>
      <w:r w:rsidR="00413858">
        <w:t xml:space="preserve">Appendix Figure </w:t>
      </w:r>
      <w:r w:rsidR="00413858">
        <w:rPr>
          <w:noProof/>
        </w:rPr>
        <w:t>A</w:t>
      </w:r>
      <w:r w:rsidR="00413858">
        <w:t>.</w:t>
      </w:r>
      <w:r w:rsidR="00413858">
        <w:rPr>
          <w:noProof/>
        </w:rPr>
        <w:t>6</w:t>
      </w:r>
      <w:r>
        <w:fldChar w:fldCharType="end"/>
      </w:r>
      <w:r>
        <w:t>), spatially there is variation in the local wind hazard. A comparison was completed between current climate and 2050 wind hazard (</w:t>
      </w:r>
      <w:r>
        <w:fldChar w:fldCharType="begin"/>
      </w:r>
      <w:r>
        <w:instrText xml:space="preserve"> REF _Ref352240209 \h </w:instrText>
      </w:r>
      <w:r>
        <w:fldChar w:fldCharType="separate"/>
      </w:r>
      <w:r w:rsidR="00413858">
        <w:t xml:space="preserve">Appendix Figure </w:t>
      </w:r>
      <w:r w:rsidR="00413858">
        <w:rPr>
          <w:noProof/>
        </w:rPr>
        <w:t>A</w:t>
      </w:r>
      <w:r w:rsidR="00413858">
        <w:t>.</w:t>
      </w:r>
      <w:r w:rsidR="00413858">
        <w:rPr>
          <w:noProof/>
        </w:rPr>
        <w:t>15</w:t>
      </w:r>
      <w:r>
        <w:fldChar w:fldCharType="end"/>
      </w:r>
      <w:r>
        <w:t xml:space="preserve"> to </w:t>
      </w:r>
      <w:r>
        <w:fldChar w:fldCharType="begin"/>
      </w:r>
      <w:r>
        <w:instrText xml:space="preserve"> REF _Ref352240212 \h </w:instrText>
      </w:r>
      <w:r>
        <w:fldChar w:fldCharType="separate"/>
      </w:r>
      <w:r w:rsidR="00413858">
        <w:t xml:space="preserve">Appendix Figure </w:t>
      </w:r>
      <w:r w:rsidR="00413858">
        <w:rPr>
          <w:noProof/>
        </w:rPr>
        <w:t>A</w:t>
      </w:r>
      <w:r w:rsidR="00413858">
        <w:t>.</w:t>
      </w:r>
      <w:r w:rsidR="00413858">
        <w:rPr>
          <w:noProof/>
        </w:rPr>
        <w:t>18</w:t>
      </w:r>
      <w:r>
        <w:fldChar w:fldCharType="end"/>
      </w:r>
      <w:r>
        <w:t>) and subsequently for the 2050 and 2090 wind hazard (</w:t>
      </w:r>
      <w:r>
        <w:fldChar w:fldCharType="begin"/>
      </w:r>
      <w:r>
        <w:instrText xml:space="preserve"> REF _Ref350329942 \h </w:instrText>
      </w:r>
      <w:r>
        <w:fldChar w:fldCharType="separate"/>
      </w:r>
      <w:r w:rsidR="00413858">
        <w:t xml:space="preserve">Appendix Figure </w:t>
      </w:r>
      <w:r w:rsidR="00413858">
        <w:rPr>
          <w:noProof/>
        </w:rPr>
        <w:t>A</w:t>
      </w:r>
      <w:r w:rsidR="00413858">
        <w:t>.</w:t>
      </w:r>
      <w:r w:rsidR="00413858">
        <w:rPr>
          <w:noProof/>
        </w:rPr>
        <w:t>19</w:t>
      </w:r>
      <w:r>
        <w:fldChar w:fldCharType="end"/>
      </w:r>
      <w:r>
        <w:t xml:space="preserve"> to </w:t>
      </w:r>
      <w:r>
        <w:fldChar w:fldCharType="begin"/>
      </w:r>
      <w:r>
        <w:instrText xml:space="preserve"> REF _Ref350329959 \h </w:instrText>
      </w:r>
      <w:r>
        <w:fldChar w:fldCharType="separate"/>
      </w:r>
      <w:r w:rsidR="00413858">
        <w:t xml:space="preserve">Appendix Figure </w:t>
      </w:r>
      <w:r w:rsidR="00413858">
        <w:rPr>
          <w:noProof/>
        </w:rPr>
        <w:t>A</w:t>
      </w:r>
      <w:r w:rsidR="00413858">
        <w:t>.</w:t>
      </w:r>
      <w:r w:rsidR="00413858">
        <w:rPr>
          <w:noProof/>
        </w:rPr>
        <w:t>22</w:t>
      </w:r>
      <w:r>
        <w:fldChar w:fldCharType="end"/>
      </w:r>
      <w:r>
        <w:t>). The predicted change in local wind speeds is caused by the topography and shielding. Throughout the comparisons there is a consistent pattern of the greatest reduction in wind hazard occurring at the higher elevations.</w:t>
      </w:r>
    </w:p>
    <w:p w:rsidR="008237BB" w:rsidRDefault="008237BB" w:rsidP="00253307">
      <w:pPr>
        <w:pStyle w:val="Figuresandimagesleft"/>
      </w:pPr>
      <w:r>
        <w:rPr>
          <w:noProof/>
        </w:rPr>
        <w:drawing>
          <wp:inline distT="0" distB="0" distL="0" distR="0" wp14:anchorId="71CC3D7B" wp14:editId="435F8C7F">
            <wp:extent cx="5400675" cy="3600450"/>
            <wp:effectExtent l="0" t="0" r="9525" b="0"/>
            <wp:docPr id="68" name="Picture 68" descr="In comparing the 2050 50 year ARI wind hazard to the current climate 50 year ARI wind hazard the range of wind hazard differnce is -4.7 to -20.6 km/h. The least change (-6 to -8 km/h is around the city of Rockhampton and on the flatter terrain such as the Fitzroy River flood plain. The greatest change is observed in the mountain ranges (Mount Archer National Park and Flat Top Range) with values in the range -16 to -20.6 km/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n comparing the 2050 50 year ARI wind hazard to the current climate 50 year ARI wind hazard the range of wind hazard differnce is -4.7 to -20.6 km/h. The least change (-6 to -8 km/h is around the city of Rockhampton and on the flatter terrain such as the Fitzroy River flood plain. The greatest change is observed in the mountain ranges (Mount Archer National Park and Flat Top Range) with values in the range -16 to -20.6 km/h. "/>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414D8E" w:rsidP="008237BB">
      <w:pPr>
        <w:pStyle w:val="Caption"/>
      </w:pPr>
      <w:bookmarkStart w:id="2615" w:name="_Ref352240209"/>
      <w:bookmarkStart w:id="2616" w:name="_Toc352243728"/>
      <w:bookmarkStart w:id="2617" w:name="_Toc352243859"/>
      <w:bookmarkStart w:id="2618" w:name="_Toc352244404"/>
      <w:bookmarkStart w:id="2619" w:name="_Toc352244499"/>
      <w:bookmarkStart w:id="2620" w:name="_Toc354493496"/>
      <w:bookmarkStart w:id="2621" w:name="_Toc354493908"/>
      <w:bookmarkStart w:id="2622" w:name="_Toc354494590"/>
      <w:bookmarkStart w:id="2623" w:name="_Toc354494780"/>
      <w:bookmarkStart w:id="2624" w:name="_Toc354497596"/>
      <w:bookmarkStart w:id="2625" w:name="_Toc354561187"/>
      <w:bookmarkStart w:id="2626" w:name="_Toc354561371"/>
      <w:bookmarkStart w:id="2627" w:name="_Toc354561443"/>
      <w:bookmarkStart w:id="2628" w:name="_Toc354561515"/>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A</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15</w:t>
      </w:r>
      <w:r w:rsidR="007F11CF">
        <w:rPr>
          <w:noProof/>
        </w:rPr>
        <w:fldChar w:fldCharType="end"/>
      </w:r>
      <w:bookmarkEnd w:id="2615"/>
      <w:r w:rsidR="008237BB">
        <w:t>. 2050 – 50 year ARI minus current-climate 50 year ARI.</w:t>
      </w:r>
      <w:bookmarkEnd w:id="2616"/>
      <w:bookmarkEnd w:id="2617"/>
      <w:bookmarkEnd w:id="2618"/>
      <w:bookmarkEnd w:id="2619"/>
      <w:bookmarkEnd w:id="2620"/>
      <w:bookmarkEnd w:id="2621"/>
      <w:bookmarkEnd w:id="2622"/>
      <w:bookmarkEnd w:id="2623"/>
      <w:bookmarkEnd w:id="2624"/>
      <w:bookmarkEnd w:id="2625"/>
      <w:bookmarkEnd w:id="2626"/>
      <w:bookmarkEnd w:id="2627"/>
      <w:bookmarkEnd w:id="2628"/>
    </w:p>
    <w:p w:rsidR="008237BB" w:rsidRDefault="008237BB" w:rsidP="00253307">
      <w:pPr>
        <w:pStyle w:val="Figuresandimagesleft"/>
      </w:pPr>
      <w:r>
        <w:rPr>
          <w:noProof/>
        </w:rPr>
        <w:lastRenderedPageBreak/>
        <w:drawing>
          <wp:inline distT="0" distB="0" distL="0" distR="0" wp14:anchorId="439DC4DF" wp14:editId="16966599">
            <wp:extent cx="5400675" cy="3600450"/>
            <wp:effectExtent l="0" t="0" r="9525" b="0"/>
            <wp:docPr id="67" name="Picture 67" descr="In comparing the 2050 100 year ARI wind hazard to the current climate 100 year ARI wind hazard the range of wind hazard differnce is -5.7 to -23.1 km/h. The spatial variation is consistent with the 2050 50 year ARI comparison to the 50 year ARI current climate hazard although the magnitued of the negative difference is increa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n comparing the 2050 100 year ARI wind hazard to the current climate 100 year ARI wind hazard the range of wind hazard differnce is -5.7 to -23.1 km/h. The spatial variation is consistent with the 2050 50 year ARI comparison to the 50 year ARI current climate hazard although the magnitued of the negative difference is increasi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414D8E" w:rsidP="008237BB">
      <w:pPr>
        <w:pStyle w:val="Caption"/>
      </w:pPr>
      <w:bookmarkStart w:id="2629" w:name="_Toc352243729"/>
      <w:bookmarkStart w:id="2630" w:name="_Toc352243860"/>
      <w:bookmarkStart w:id="2631" w:name="_Toc352244405"/>
      <w:bookmarkStart w:id="2632" w:name="_Toc352244500"/>
      <w:bookmarkStart w:id="2633" w:name="_Toc354493497"/>
      <w:bookmarkStart w:id="2634" w:name="_Toc354493909"/>
      <w:bookmarkStart w:id="2635" w:name="_Toc354494591"/>
      <w:bookmarkStart w:id="2636" w:name="_Toc354494781"/>
      <w:bookmarkStart w:id="2637" w:name="_Toc354497597"/>
      <w:bookmarkStart w:id="2638" w:name="_Toc354561188"/>
      <w:bookmarkStart w:id="2639" w:name="_Toc354561372"/>
      <w:bookmarkStart w:id="2640" w:name="_Toc354561444"/>
      <w:bookmarkStart w:id="2641" w:name="_Toc354561516"/>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A</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16</w:t>
      </w:r>
      <w:r w:rsidR="007F11CF">
        <w:rPr>
          <w:noProof/>
        </w:rPr>
        <w:fldChar w:fldCharType="end"/>
      </w:r>
      <w:r w:rsidR="008237BB">
        <w:t>. 2050 – 100 year ARI minus current-climate 100 year ARI.</w:t>
      </w:r>
      <w:bookmarkEnd w:id="2629"/>
      <w:bookmarkEnd w:id="2630"/>
      <w:bookmarkEnd w:id="2631"/>
      <w:bookmarkEnd w:id="2632"/>
      <w:bookmarkEnd w:id="2633"/>
      <w:bookmarkEnd w:id="2634"/>
      <w:bookmarkEnd w:id="2635"/>
      <w:bookmarkEnd w:id="2636"/>
      <w:bookmarkEnd w:id="2637"/>
      <w:bookmarkEnd w:id="2638"/>
      <w:bookmarkEnd w:id="2639"/>
      <w:bookmarkEnd w:id="2640"/>
      <w:bookmarkEnd w:id="2641"/>
    </w:p>
    <w:p w:rsidR="008237BB" w:rsidRDefault="008237BB" w:rsidP="00253307">
      <w:pPr>
        <w:pStyle w:val="Figuresandimagesleft"/>
      </w:pPr>
      <w:r>
        <w:rPr>
          <w:noProof/>
        </w:rPr>
        <w:drawing>
          <wp:inline distT="0" distB="0" distL="0" distR="0" wp14:anchorId="22C4561B" wp14:editId="61281423">
            <wp:extent cx="5400675" cy="3600450"/>
            <wp:effectExtent l="0" t="0" r="9525" b="0"/>
            <wp:docPr id="66" name="Picture 66" descr="In comparing the 2050 250 year ARI wind hazard to the current climate 250 year ARI wind hazard the range of wind hazard differnce is -5.3 to -22.2 km/h. The shift to increased negative values is expaninding the -18.1 to -23.1 km/h areas in Mount Archer National Park and Flat Top Range. The flatter terrain, such as the Fitzroy River flood plain is expanding the area identified in the range -10 to -14 km/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n comparing the 2050 250 year ARI wind hazard to the current climate 250 year ARI wind hazard the range of wind hazard differnce is -5.3 to -22.2 km/h. The shift to increased negative values is expaninding the -18.1 to -23.1 km/h areas in Mount Archer National Park and Flat Top Range. The flatter terrain, such as the Fitzroy River flood plain is expanding the area identified in the range -10 to -14 km/h."/>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414D8E" w:rsidP="008237BB">
      <w:pPr>
        <w:pStyle w:val="Caption"/>
      </w:pPr>
      <w:bookmarkStart w:id="2642" w:name="_Toc352243730"/>
      <w:bookmarkStart w:id="2643" w:name="_Toc352243861"/>
      <w:bookmarkStart w:id="2644" w:name="_Toc352244406"/>
      <w:bookmarkStart w:id="2645" w:name="_Toc352244501"/>
      <w:bookmarkStart w:id="2646" w:name="_Toc354493498"/>
      <w:bookmarkStart w:id="2647" w:name="_Toc354493910"/>
      <w:bookmarkStart w:id="2648" w:name="_Toc354494592"/>
      <w:bookmarkStart w:id="2649" w:name="_Toc354494782"/>
      <w:bookmarkStart w:id="2650" w:name="_Toc354497598"/>
      <w:bookmarkStart w:id="2651" w:name="_Toc354561189"/>
      <w:bookmarkStart w:id="2652" w:name="_Toc354561373"/>
      <w:bookmarkStart w:id="2653" w:name="_Toc354561445"/>
      <w:bookmarkStart w:id="2654" w:name="_Toc354561517"/>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A</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17</w:t>
      </w:r>
      <w:r w:rsidR="007F11CF">
        <w:rPr>
          <w:noProof/>
        </w:rPr>
        <w:fldChar w:fldCharType="end"/>
      </w:r>
      <w:r w:rsidR="008237BB">
        <w:t>. 2050 – 250 year ARI minus current-climate 250 year ARI.</w:t>
      </w:r>
      <w:bookmarkEnd w:id="2642"/>
      <w:bookmarkEnd w:id="2643"/>
      <w:bookmarkEnd w:id="2644"/>
      <w:bookmarkEnd w:id="2645"/>
      <w:bookmarkEnd w:id="2646"/>
      <w:bookmarkEnd w:id="2647"/>
      <w:bookmarkEnd w:id="2648"/>
      <w:bookmarkEnd w:id="2649"/>
      <w:bookmarkEnd w:id="2650"/>
      <w:bookmarkEnd w:id="2651"/>
      <w:bookmarkEnd w:id="2652"/>
      <w:bookmarkEnd w:id="2653"/>
      <w:bookmarkEnd w:id="2654"/>
    </w:p>
    <w:p w:rsidR="008237BB" w:rsidRDefault="008237BB" w:rsidP="00253307">
      <w:pPr>
        <w:pStyle w:val="Figuresandimagesleft"/>
      </w:pPr>
      <w:r>
        <w:rPr>
          <w:noProof/>
        </w:rPr>
        <w:lastRenderedPageBreak/>
        <w:drawing>
          <wp:inline distT="0" distB="0" distL="0" distR="0" wp14:anchorId="599963BF" wp14:editId="6C9478D7">
            <wp:extent cx="5400675" cy="3600450"/>
            <wp:effectExtent l="0" t="0" r="9525" b="0"/>
            <wp:docPr id="65" name="Picture 65" descr="In comparing the 2050 1000 year ARI wind hazard to the current climate 1000 year ARI wind hazard the range of wind hazard differnce is -5.7 to -22.2 km/h. The shift to increased negative values is expaninding the -18.1 to -23.1 km/h areas in Mount Archer National Park and Flat Top Range. The flatter terrain, such as the Fitzroy River flood plain is expanding the area identified in the range -10 to -14 km/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n comparing the 2050 1000 year ARI wind hazard to the current climate 1000 year ARI wind hazard the range of wind hazard differnce is -5.7 to -22.2 km/h. The shift to increased negative values is expaninding the -18.1 to -23.1 km/h areas in Mount Archer National Park and Flat Top Range. The flatter terrain, such as the Fitzroy River flood plain is expanding the area identified in the range -10 to -14 km/h."/>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414D8E" w:rsidP="008237BB">
      <w:pPr>
        <w:pStyle w:val="Caption"/>
      </w:pPr>
      <w:bookmarkStart w:id="2655" w:name="_Ref352240212"/>
      <w:bookmarkStart w:id="2656" w:name="_Toc352243731"/>
      <w:bookmarkStart w:id="2657" w:name="_Toc352243862"/>
      <w:bookmarkStart w:id="2658" w:name="_Toc352244407"/>
      <w:bookmarkStart w:id="2659" w:name="_Toc352244502"/>
      <w:bookmarkStart w:id="2660" w:name="_Toc354493499"/>
      <w:bookmarkStart w:id="2661" w:name="_Toc354493911"/>
      <w:bookmarkStart w:id="2662" w:name="_Toc354494593"/>
      <w:bookmarkStart w:id="2663" w:name="_Toc354494783"/>
      <w:bookmarkStart w:id="2664" w:name="_Toc354497599"/>
      <w:bookmarkStart w:id="2665" w:name="_Toc354561190"/>
      <w:bookmarkStart w:id="2666" w:name="_Toc354561374"/>
      <w:bookmarkStart w:id="2667" w:name="_Toc354561446"/>
      <w:bookmarkStart w:id="2668" w:name="_Toc354561518"/>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A</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18</w:t>
      </w:r>
      <w:r w:rsidR="007F11CF">
        <w:rPr>
          <w:noProof/>
        </w:rPr>
        <w:fldChar w:fldCharType="end"/>
      </w:r>
      <w:bookmarkEnd w:id="2655"/>
      <w:r w:rsidR="008237BB">
        <w:t>. 2050 – 1000 year ARI minus current-climate 1000 year ARI.</w:t>
      </w:r>
      <w:bookmarkEnd w:id="2656"/>
      <w:bookmarkEnd w:id="2657"/>
      <w:bookmarkEnd w:id="2658"/>
      <w:bookmarkEnd w:id="2659"/>
      <w:bookmarkEnd w:id="2660"/>
      <w:bookmarkEnd w:id="2661"/>
      <w:bookmarkEnd w:id="2662"/>
      <w:bookmarkEnd w:id="2663"/>
      <w:bookmarkEnd w:id="2664"/>
      <w:bookmarkEnd w:id="2665"/>
      <w:bookmarkEnd w:id="2666"/>
      <w:bookmarkEnd w:id="2667"/>
      <w:bookmarkEnd w:id="2668"/>
    </w:p>
    <w:p w:rsidR="008237BB" w:rsidRDefault="008237BB" w:rsidP="00253307">
      <w:pPr>
        <w:pStyle w:val="Figuresandimagesleft"/>
      </w:pPr>
      <w:r>
        <w:rPr>
          <w:noProof/>
        </w:rPr>
        <w:drawing>
          <wp:inline distT="0" distB="0" distL="0" distR="0" wp14:anchorId="16ECC3DF" wp14:editId="14230DEB">
            <wp:extent cx="5400675" cy="3600450"/>
            <wp:effectExtent l="0" t="0" r="9525" b="0"/>
            <wp:docPr id="64" name="Picture 64" descr="In comparing the 2090 50 year ARI wind hazard to the current climate 50 year ARI wind hazard the radial pattern identified in the equivalent 2050 to current climate wind hazard comparisons is no longer present. The range of wind hazard differnce is much less than the 2050 to current climate wind hazard comparisons also now being, for all 2090 to current climate comparisons, in the range of -7.5 to -22.5 km/h. The least change (7.5 to -15 km/h is around the Fitzroy River mounth and the flood plain down stream  and upstream of Rockhampton. The greatest change is observed in the mountain ranges with values in the range -15 to -22.5 km/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n comparing the 2090 50 year ARI wind hazard to the current climate 50 year ARI wind hazard the radial pattern identified in the equivalent 2050 to current climate wind hazard comparisons is no longer present. The range of wind hazard differnce is much less than the 2050 to current climate wind hazard comparisons also now being, for all 2090 to current climate comparisons, in the range of -7.5 to -22.5 km/h. The least change (7.5 to -15 km/h is around the Fitzroy River mounth and the flood plain down stream  and upstream of Rockhampton. The greatest change is observed in the mountain ranges with values in the range -15 to -22.5 km/h. "/>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414D8E" w:rsidP="009D7E82">
      <w:pPr>
        <w:pStyle w:val="Caption"/>
      </w:pPr>
      <w:bookmarkStart w:id="2669" w:name="_Ref350329942"/>
      <w:bookmarkStart w:id="2670" w:name="_Toc349055822"/>
      <w:bookmarkStart w:id="2671" w:name="_Toc349114907"/>
      <w:bookmarkStart w:id="2672" w:name="_Toc349114998"/>
      <w:bookmarkStart w:id="2673" w:name="_Toc349115137"/>
      <w:bookmarkStart w:id="2674" w:name="_Toc349115530"/>
      <w:bookmarkStart w:id="2675" w:name="_Toc349115714"/>
      <w:bookmarkStart w:id="2676" w:name="_Toc350325303"/>
      <w:bookmarkStart w:id="2677" w:name="_Toc350325578"/>
      <w:bookmarkStart w:id="2678" w:name="_Toc350327002"/>
      <w:bookmarkStart w:id="2679" w:name="_Toc350327148"/>
      <w:bookmarkStart w:id="2680" w:name="_Toc350327280"/>
      <w:bookmarkStart w:id="2681" w:name="_Toc350339809"/>
      <w:bookmarkStart w:id="2682" w:name="_Toc350341482"/>
      <w:bookmarkStart w:id="2683" w:name="_Toc350341636"/>
      <w:bookmarkStart w:id="2684" w:name="_Toc351449921"/>
      <w:bookmarkStart w:id="2685" w:name="_Toc351450002"/>
      <w:bookmarkStart w:id="2686" w:name="_Toc352243732"/>
      <w:bookmarkStart w:id="2687" w:name="_Toc352243863"/>
      <w:bookmarkStart w:id="2688" w:name="_Toc352244408"/>
      <w:bookmarkStart w:id="2689" w:name="_Toc352244503"/>
      <w:bookmarkStart w:id="2690" w:name="_Toc354493500"/>
      <w:bookmarkStart w:id="2691" w:name="_Toc354493912"/>
      <w:bookmarkStart w:id="2692" w:name="_Toc354494594"/>
      <w:bookmarkStart w:id="2693" w:name="_Toc354494784"/>
      <w:bookmarkStart w:id="2694" w:name="_Toc354497600"/>
      <w:bookmarkStart w:id="2695" w:name="_Toc354561191"/>
      <w:bookmarkStart w:id="2696" w:name="_Toc354561375"/>
      <w:bookmarkStart w:id="2697" w:name="_Toc354561447"/>
      <w:bookmarkStart w:id="2698" w:name="_Toc354561519"/>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A</w:t>
      </w:r>
      <w:r w:rsidR="007F11CF">
        <w:rPr>
          <w:noProof/>
        </w:rPr>
        <w:fldChar w:fldCharType="end"/>
      </w:r>
      <w:r w:rsidR="00162079">
        <w:t>.</w:t>
      </w:r>
      <w:r w:rsidR="007F11CF">
        <w:fldChar w:fldCharType="begin"/>
      </w:r>
      <w:r w:rsidR="007F11CF">
        <w:instrText xml:space="preserve"> SEQ Appendix_Figure \* ARAB</w:instrText>
      </w:r>
      <w:r w:rsidR="007F11CF">
        <w:instrText xml:space="preserve">IC \s 9 </w:instrText>
      </w:r>
      <w:r w:rsidR="007F11CF">
        <w:fldChar w:fldCharType="separate"/>
      </w:r>
      <w:r w:rsidR="00413858">
        <w:rPr>
          <w:noProof/>
        </w:rPr>
        <w:t>19</w:t>
      </w:r>
      <w:r w:rsidR="007F11CF">
        <w:rPr>
          <w:noProof/>
        </w:rPr>
        <w:fldChar w:fldCharType="end"/>
      </w:r>
      <w:bookmarkEnd w:id="2669"/>
      <w:r w:rsidR="008237BB">
        <w:t>. 2090 – 50 year ARI minus 2050 - 50 year ARI.</w:t>
      </w:r>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p>
    <w:p w:rsidR="00FF6328" w:rsidRDefault="008237BB" w:rsidP="00253307">
      <w:pPr>
        <w:pStyle w:val="Figuresandimagesleft"/>
      </w:pPr>
      <w:r>
        <w:rPr>
          <w:noProof/>
        </w:rPr>
        <w:lastRenderedPageBreak/>
        <w:drawing>
          <wp:inline distT="0" distB="0" distL="0" distR="0" wp14:anchorId="1FD9A3ED" wp14:editId="7B726D5F">
            <wp:extent cx="5400675" cy="3600450"/>
            <wp:effectExtent l="0" t="0" r="9525" b="0"/>
            <wp:docPr id="63" name="Picture 63" descr="In comparing the 2090 100 year ARI wind hazard to the current climate 100 year ARI wind hazard description provided for the 50 year ARI equivalent also describes the 100 year comparison. The 50 year ARI description is provided again as follows.&#10;&#10;The radial pattern identified in the equivalent 2050 to current climate wind hazard comparisons is no longer present. The range of wind hazard differnce is much less than the 2050 to current climate wind hazard comparisons also now being, for all 2090 to current climate comparisons, in the range of -7.5 to -22.5 km/h. The least change (7.5 to -15 km/h is around the Fitzroy River mounth and the flood plain down stream  and upstream of Rockhampton. The greatest change is observed in the mountain ranges with values in the range -15 to -22.5 km/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n comparing the 2090 100 year ARI wind hazard to the current climate 100 year ARI wind hazard description provided for the 50 year ARI equivalent also describes the 100 year comparison. The 50 year ARI description is provided again as follows.&#10;&#10;The radial pattern identified in the equivalent 2050 to current climate wind hazard comparisons is no longer present. The range of wind hazard differnce is much less than the 2050 to current climate wind hazard comparisons also now being, for all 2090 to current climate comparisons, in the range of -7.5 to -22.5 km/h. The least change (7.5 to -15 km/h is around the Fitzroy River mounth and the flood plain down stream  and upstream of Rockhampton. The greatest change is observed in the mountain ranges with values in the range -15 to -22.5 km/h. "/>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FF6328" w:rsidP="00FF6328">
      <w:pPr>
        <w:pStyle w:val="Caption"/>
      </w:pPr>
      <w:bookmarkStart w:id="2699" w:name="_Toc354561192"/>
      <w:bookmarkStart w:id="2700" w:name="_Toc354561376"/>
      <w:bookmarkStart w:id="2701" w:name="_Toc354561448"/>
      <w:bookmarkStart w:id="2702" w:name="_Toc354561520"/>
      <w:r>
        <w:t xml:space="preserve">Appendix Figure </w:t>
      </w:r>
      <w:r w:rsidR="007F11CF">
        <w:fldChar w:fldCharType="begin"/>
      </w:r>
      <w:r w:rsidR="007F11CF">
        <w:instrText xml:space="preserve"> STYLEREF 9 \s </w:instrText>
      </w:r>
      <w:r w:rsidR="007F11CF">
        <w:fldChar w:fldCharType="separate"/>
      </w:r>
      <w:r w:rsidR="00413858">
        <w:rPr>
          <w:noProof/>
        </w:rPr>
        <w:t>A</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20</w:t>
      </w:r>
      <w:r w:rsidR="007F11CF">
        <w:rPr>
          <w:noProof/>
        </w:rPr>
        <w:fldChar w:fldCharType="end"/>
      </w:r>
      <w:r>
        <w:t>. 2090 – 100 year ARI minus 2050 – 100 year ARI.</w:t>
      </w:r>
      <w:bookmarkEnd w:id="2699"/>
      <w:bookmarkEnd w:id="2700"/>
      <w:bookmarkEnd w:id="2701"/>
      <w:bookmarkEnd w:id="2702"/>
    </w:p>
    <w:p w:rsidR="008237BB" w:rsidRDefault="008237BB" w:rsidP="00253307">
      <w:pPr>
        <w:pStyle w:val="Figuresandimagesleft"/>
      </w:pPr>
      <w:bookmarkStart w:id="2703" w:name="_Toc349055824"/>
      <w:bookmarkStart w:id="2704" w:name="_Toc349114909"/>
      <w:bookmarkStart w:id="2705" w:name="_Toc349115000"/>
      <w:bookmarkStart w:id="2706" w:name="_Toc349115139"/>
      <w:bookmarkStart w:id="2707" w:name="_Toc349115532"/>
      <w:bookmarkStart w:id="2708" w:name="_Toc349115716"/>
      <w:bookmarkStart w:id="2709" w:name="_Toc350325305"/>
      <w:bookmarkStart w:id="2710" w:name="_Toc350325580"/>
      <w:bookmarkStart w:id="2711" w:name="_Toc350327004"/>
      <w:bookmarkStart w:id="2712" w:name="_Toc350327150"/>
      <w:bookmarkStart w:id="2713" w:name="_Toc350327282"/>
      <w:r>
        <w:rPr>
          <w:noProof/>
        </w:rPr>
        <w:drawing>
          <wp:inline distT="0" distB="0" distL="0" distR="0" wp14:anchorId="6FDAD124" wp14:editId="3896470B">
            <wp:extent cx="5400675" cy="3600450"/>
            <wp:effectExtent l="0" t="0" r="9525" b="0"/>
            <wp:docPr id="62" name="Picture 62" descr="In comparing the 2090 250 year ARI wind hazard to the current climate 250 year ARI wind hazard description provided for the 50 year ARI equivalent also describes the 250 year comparison. The 50 year ARI description is provided again as follows.&#10;&#10;The radial pattern identified in the equivalent 2050 to current climate wind hazard comparisons is no longer present. The range of wind hazard differnce is much less than the 2050 to current climate wind hazard comparisons also now being, for all 2090 to current climate comparisons, in the range of -7.5 to -22.5 km/h. The least change (7.5 to -15 km/h is around the Fitzroy River mounth and the flood plain down stream  and upstream of Rockhampton. The greatest change is observed in the mountain ranges with values in the range -15 to -22.5 km/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n comparing the 2090 250 year ARI wind hazard to the current climate 250 year ARI wind hazard description provided for the 50 year ARI equivalent also describes the 250 year comparison. The 50 year ARI description is provided again as follows.&#10;&#10;The radial pattern identified in the equivalent 2050 to current climate wind hazard comparisons is no longer present. The range of wind hazard differnce is much less than the 2050 to current climate wind hazard comparisons also now being, for all 2090 to current climate comparisons, in the range of -7.5 to -22.5 km/h. The least change (7.5 to -15 km/h is around the Fitzroy River mounth and the flood plain down stream  and upstream of Rockhampton. The greatest change is observed in the mountain ranges with values in the range -15 to -22.5 km/h. "/>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414D8E" w:rsidP="008237BB">
      <w:pPr>
        <w:pStyle w:val="Caption"/>
      </w:pPr>
      <w:bookmarkStart w:id="2714" w:name="_Toc350339811"/>
      <w:bookmarkStart w:id="2715" w:name="_Toc350341484"/>
      <w:bookmarkStart w:id="2716" w:name="_Toc350341638"/>
      <w:bookmarkStart w:id="2717" w:name="_Toc351449923"/>
      <w:bookmarkStart w:id="2718" w:name="_Toc351450004"/>
      <w:bookmarkStart w:id="2719" w:name="_Toc352243734"/>
      <w:bookmarkStart w:id="2720" w:name="_Toc352243865"/>
      <w:bookmarkStart w:id="2721" w:name="_Toc352244410"/>
      <w:bookmarkStart w:id="2722" w:name="_Toc352244505"/>
      <w:bookmarkStart w:id="2723" w:name="_Toc354493502"/>
      <w:bookmarkStart w:id="2724" w:name="_Toc354493914"/>
      <w:bookmarkStart w:id="2725" w:name="_Toc354494596"/>
      <w:bookmarkStart w:id="2726" w:name="_Toc354494786"/>
      <w:bookmarkStart w:id="2727" w:name="_Toc354497602"/>
      <w:bookmarkStart w:id="2728" w:name="_Toc354561193"/>
      <w:bookmarkStart w:id="2729" w:name="_Toc354561377"/>
      <w:bookmarkStart w:id="2730" w:name="_Toc354561449"/>
      <w:bookmarkStart w:id="2731" w:name="_Toc354561521"/>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A</w:t>
      </w:r>
      <w:r w:rsidR="007F11CF">
        <w:rPr>
          <w:noProof/>
        </w:rPr>
        <w:fldChar w:fldCharType="end"/>
      </w:r>
      <w:r w:rsidR="00162079">
        <w:t>.</w:t>
      </w:r>
      <w:r w:rsidR="007F11CF">
        <w:fldChar w:fldCharType="begin"/>
      </w:r>
      <w:r w:rsidR="007F11CF">
        <w:instrText xml:space="preserve"> SEQ Appendix_Figure \* ARABIC</w:instrText>
      </w:r>
      <w:r w:rsidR="007F11CF">
        <w:instrText xml:space="preserve"> \s 9 </w:instrText>
      </w:r>
      <w:r w:rsidR="007F11CF">
        <w:fldChar w:fldCharType="separate"/>
      </w:r>
      <w:r w:rsidR="00413858">
        <w:rPr>
          <w:noProof/>
        </w:rPr>
        <w:t>21</w:t>
      </w:r>
      <w:r w:rsidR="007F11CF">
        <w:rPr>
          <w:noProof/>
        </w:rPr>
        <w:fldChar w:fldCharType="end"/>
      </w:r>
      <w:r w:rsidR="008237BB">
        <w:t>. 2090 – 250 year ARI minus 2050 – 250 year ARI.</w:t>
      </w:r>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p>
    <w:p w:rsidR="008237BB" w:rsidRDefault="008237BB" w:rsidP="00253307">
      <w:pPr>
        <w:pStyle w:val="Figuresandimagesleft"/>
      </w:pPr>
      <w:bookmarkStart w:id="2732" w:name="_Toc349055825"/>
      <w:bookmarkStart w:id="2733" w:name="_Toc349114910"/>
      <w:bookmarkStart w:id="2734" w:name="_Toc349115001"/>
      <w:bookmarkStart w:id="2735" w:name="_Toc349115140"/>
      <w:bookmarkStart w:id="2736" w:name="_Toc349115533"/>
      <w:bookmarkStart w:id="2737" w:name="_Toc349115717"/>
      <w:bookmarkStart w:id="2738" w:name="_Toc350325306"/>
      <w:bookmarkStart w:id="2739" w:name="_Toc350325581"/>
      <w:bookmarkStart w:id="2740" w:name="_Toc350327005"/>
      <w:bookmarkStart w:id="2741" w:name="_Toc350327151"/>
      <w:bookmarkStart w:id="2742" w:name="_Toc350327283"/>
      <w:r>
        <w:rPr>
          <w:noProof/>
        </w:rPr>
        <w:lastRenderedPageBreak/>
        <w:drawing>
          <wp:inline distT="0" distB="0" distL="0" distR="0" wp14:anchorId="7830394C" wp14:editId="6D1323AD">
            <wp:extent cx="5400675" cy="3600450"/>
            <wp:effectExtent l="0" t="0" r="9525" b="0"/>
            <wp:docPr id="61" name="Picture 61" descr="In comparing the 2090 1000 year ARI wind hazard to the current climate 1000 year ARI wind hazard description provided for the 50 year ARI equivalent also describes the 1000 year comparison. The 50 year ARI description is provided again as follows.&#10;&#10;The radial pattern identified in the equivalent 2050 to current climate wind hazard comparisons is no longer present. The range of wind hazard differnce is much less than the 2050 to current climate wind hazard comparisons also now being, for all 2090 to current climate comparisons, in the range of -7.5 to -22.5 km/h. The least change (7.5 to -15 km/h is around the Fitzroy River mounth and the flood plain down stream  and upstream of Rockhampton. The greatest change is observed in the mountain ranges with values in the range -15 to -22.5 km/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n comparing the 2090 1000 year ARI wind hazard to the current climate 1000 year ARI wind hazard description provided for the 50 year ARI equivalent also describes the 1000 year comparison. The 50 year ARI description is provided again as follows.&#10;&#10;The radial pattern identified in the equivalent 2050 to current climate wind hazard comparisons is no longer present. The range of wind hazard differnce is much less than the 2050 to current climate wind hazard comparisons also now being, for all 2090 to current climate comparisons, in the range of -7.5 to -22.5 km/h. The least change (7.5 to -15 km/h is around the Fitzroy River mounth and the flood plain down stream  and upstream of Rockhampton. The greatest change is observed in the mountain ranges with values in the range -15 to -22.5 km/h. "/>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414D8E" w:rsidP="008237BB">
      <w:pPr>
        <w:pStyle w:val="Caption"/>
      </w:pPr>
      <w:bookmarkStart w:id="2743" w:name="_Ref350329959"/>
      <w:bookmarkStart w:id="2744" w:name="_Toc350339812"/>
      <w:bookmarkStart w:id="2745" w:name="_Toc350341485"/>
      <w:bookmarkStart w:id="2746" w:name="_Toc350341639"/>
      <w:bookmarkStart w:id="2747" w:name="_Toc351449924"/>
      <w:bookmarkStart w:id="2748" w:name="_Toc351450005"/>
      <w:bookmarkStart w:id="2749" w:name="_Toc352243735"/>
      <w:bookmarkStart w:id="2750" w:name="_Toc352243866"/>
      <w:bookmarkStart w:id="2751" w:name="_Toc352244411"/>
      <w:bookmarkStart w:id="2752" w:name="_Toc352244506"/>
      <w:bookmarkStart w:id="2753" w:name="_Toc354493503"/>
      <w:bookmarkStart w:id="2754" w:name="_Toc354493915"/>
      <w:bookmarkStart w:id="2755" w:name="_Toc354494597"/>
      <w:bookmarkStart w:id="2756" w:name="_Toc354494787"/>
      <w:bookmarkStart w:id="2757" w:name="_Toc354497603"/>
      <w:bookmarkStart w:id="2758" w:name="_Toc354561194"/>
      <w:bookmarkStart w:id="2759" w:name="_Toc354561378"/>
      <w:bookmarkStart w:id="2760" w:name="_Toc354561450"/>
      <w:bookmarkStart w:id="2761" w:name="_Toc354561522"/>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A</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22</w:t>
      </w:r>
      <w:r w:rsidR="007F11CF">
        <w:rPr>
          <w:noProof/>
        </w:rPr>
        <w:fldChar w:fldCharType="end"/>
      </w:r>
      <w:bookmarkEnd w:id="2743"/>
      <w:r w:rsidR="008237BB">
        <w:t>. 2090 – 1000 year ARI minus 2050 1000 year ARI.</w:t>
      </w:r>
      <w:bookmarkEnd w:id="2732"/>
      <w:bookmarkEnd w:id="2733"/>
      <w:bookmarkEnd w:id="2734"/>
      <w:bookmarkEnd w:id="2735"/>
      <w:bookmarkEnd w:id="2736"/>
      <w:bookmarkEnd w:id="2737"/>
      <w:bookmarkEnd w:id="2738"/>
      <w:bookmarkEnd w:id="2739"/>
      <w:bookmarkEnd w:id="2740"/>
      <w:bookmarkEnd w:id="2741"/>
      <w:bookmarkEnd w:id="2742"/>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p>
    <w:p w:rsidR="008237BB" w:rsidRDefault="008237BB" w:rsidP="00935848">
      <w:pPr>
        <w:pStyle w:val="Headingappendix3"/>
      </w:pPr>
      <w:bookmarkStart w:id="2762" w:name="_Toc346632557"/>
      <w:bookmarkStart w:id="2763" w:name="_Toc346632888"/>
      <w:bookmarkStart w:id="2764" w:name="_Toc346633000"/>
      <w:bookmarkStart w:id="2765" w:name="_Toc346633112"/>
      <w:bookmarkStart w:id="2766" w:name="_Toc346633224"/>
      <w:bookmarkStart w:id="2767" w:name="_Toc347401769"/>
      <w:bookmarkStart w:id="2768" w:name="_Toc347401881"/>
      <w:bookmarkStart w:id="2769" w:name="_Toc347401993"/>
      <w:bookmarkStart w:id="2770" w:name="_Toc347402105"/>
      <w:bookmarkStart w:id="2771" w:name="_Toc347402492"/>
      <w:bookmarkStart w:id="2772" w:name="_Toc349055064"/>
      <w:bookmarkStart w:id="2773" w:name="_Toc349055398"/>
      <w:bookmarkStart w:id="2774" w:name="_Toc349055511"/>
      <w:bookmarkStart w:id="2775" w:name="_Toc349055624"/>
      <w:bookmarkStart w:id="2776" w:name="_Toc349055737"/>
      <w:bookmarkStart w:id="2777" w:name="_Toc349116965"/>
      <w:bookmarkStart w:id="2778" w:name="_Toc350330055"/>
      <w:bookmarkStart w:id="2779" w:name="_Toc350344034"/>
      <w:bookmarkStart w:id="2780" w:name="_Toc354402024"/>
      <w:bookmarkStart w:id="2781" w:name="_Toc354476521"/>
      <w:bookmarkStart w:id="2782" w:name="_Toc354492881"/>
      <w:bookmarkStart w:id="2783" w:name="_Toc354492997"/>
      <w:bookmarkStart w:id="2784" w:name="_Toc354493127"/>
      <w:bookmarkStart w:id="2785" w:name="_Toc354493288"/>
      <w:bookmarkStart w:id="2786" w:name="_Toc354493747"/>
      <w:bookmarkStart w:id="2787" w:name="_Toc354494282"/>
      <w:bookmarkStart w:id="2788" w:name="_Toc354494500"/>
      <w:bookmarkStart w:id="2789" w:name="_Toc354494711"/>
      <w:bookmarkStart w:id="2790" w:name="_Toc354495005"/>
      <w:bookmarkStart w:id="2791" w:name="_Toc354497887"/>
      <w:bookmarkStart w:id="2792" w:name="_Toc354561300"/>
      <w:bookmarkStart w:id="2793" w:name="_Toc355164208"/>
      <w:bookmarkStart w:id="2794" w:name="_Toc355249641"/>
      <w:r>
        <w:t>Limitations</w:t>
      </w:r>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p>
    <w:p w:rsidR="008237BB" w:rsidRPr="00120CCC" w:rsidRDefault="008237BB" w:rsidP="009D7E82">
      <w:pPr>
        <w:pStyle w:val="BodyText"/>
        <w:keepNext/>
      </w:pPr>
      <w:r>
        <w:t>There were two significant limitations in the process used for this analysis:</w:t>
      </w:r>
    </w:p>
    <w:p w:rsidR="008237BB" w:rsidRPr="005B6444" w:rsidRDefault="008237BB" w:rsidP="004B379B">
      <w:pPr>
        <w:pStyle w:val="Bulletlevel1"/>
      </w:pPr>
      <w:r w:rsidRPr="005B6444">
        <w:t>Sensitivity to downscaling technique</w:t>
      </w:r>
    </w:p>
    <w:p w:rsidR="008237BB" w:rsidRDefault="008237BB" w:rsidP="004B379B">
      <w:pPr>
        <w:pStyle w:val="Bulletlevel1"/>
      </w:pPr>
      <w:r w:rsidRPr="005B6444">
        <w:t xml:space="preserve">Use of a single simulation of </w:t>
      </w:r>
      <w:r>
        <w:t>future-climate</w:t>
      </w:r>
      <w:r w:rsidRPr="005B6444">
        <w:t xml:space="preserve"> TCLV data.</w:t>
      </w:r>
    </w:p>
    <w:p w:rsidR="008237BB" w:rsidRDefault="008237BB" w:rsidP="008237BB">
      <w:pPr>
        <w:pStyle w:val="BodyText"/>
      </w:pPr>
      <w:r>
        <w:t>The first limitation was identified through comparing the distribution of minimum central pressures from historical TC events used in the analysis and the same data from the TCLV dataset representing current-climate conditions (1981-2000). Due to the relatively coarse nature of the Regional Climate Model (</w:t>
      </w:r>
      <w:r w:rsidRPr="00A63890">
        <w:t>RCM</w:t>
      </w:r>
      <w:r w:rsidRPr="00055DCB">
        <w:rPr>
          <w:rStyle w:val="Superscript"/>
        </w:rPr>
        <w:footnoteReference w:id="21"/>
      </w:r>
      <w:r w:rsidRPr="00A63890">
        <w:t>)</w:t>
      </w:r>
      <w:r>
        <w:t xml:space="preserve"> data (in this case 15 km horizontal resolution), the fine scale processes that control TC intensity cannot be properly resolved, so the TCLVs will in general display a lower mean intensity when compared to the historical record. To address this issue, the relative change in TC wind hazard between the 2055 and current-climate simulations was calculated and combined with the historical record to result in the 2055 TC wind hazard (and similarly for the 2090 simulation). This results in a baseline estimate and a change relative to that baseline for the two future time periods.</w:t>
      </w:r>
    </w:p>
    <w:p w:rsidR="008237BB" w:rsidRDefault="008237BB" w:rsidP="008237BB">
      <w:pPr>
        <w:pStyle w:val="BodyText"/>
      </w:pPr>
      <w:r>
        <w:t>The second limitation was the small sample size used in training TCRM for future climate. The behaviour of TCLVs is strongly modulated by a range of drivers, including the RCMs representation of features such as the El Ni</w:t>
      </w:r>
      <w:r w:rsidRPr="00493E11">
        <w:t>ñ</w:t>
      </w:r>
      <w:r>
        <w:t>o–Southern Oscillation (</w:t>
      </w:r>
      <w:r w:rsidRPr="00A63890">
        <w:t>ENSO).</w:t>
      </w:r>
      <w:r>
        <w:t xml:space="preserve"> This may reduce or enhance the simulated TC activity during the period of sampling (e.g. 2046-2065), or influence the intensity or tracks of TCLVs. As such, the results were sensitive to that single RCM run and the simulated broader </w:t>
      </w:r>
      <w:r>
        <w:lastRenderedPageBreak/>
        <w:t>environment. This could be addressed by running the RCM multiple times and from each simulation, extracting TCLVs for the periods of interest. Multiple RCM simulations downscaled from one GCM were not available for this project.</w:t>
      </w:r>
    </w:p>
    <w:p w:rsidR="00884478" w:rsidRDefault="00884478" w:rsidP="00884478">
      <w:pPr>
        <w:pStyle w:val="Bodyblankpage"/>
      </w:pPr>
      <w:r>
        <w:lastRenderedPageBreak/>
        <w:t>This page is intentionally blank</w:t>
      </w:r>
    </w:p>
    <w:p w:rsidR="00884478" w:rsidRDefault="00884478" w:rsidP="008237BB">
      <w:pPr>
        <w:pStyle w:val="BodyText"/>
      </w:pPr>
    </w:p>
    <w:p w:rsidR="002F691C" w:rsidRDefault="008237BB" w:rsidP="00000DA7">
      <w:pPr>
        <w:pStyle w:val="Heading9"/>
      </w:pPr>
      <w:bookmarkStart w:id="2795" w:name="_Toc346261478"/>
      <w:bookmarkStart w:id="2796" w:name="_Toc346632777"/>
      <w:bookmarkStart w:id="2797" w:name="_Toc346632889"/>
      <w:bookmarkStart w:id="2798" w:name="_Toc346633001"/>
      <w:bookmarkStart w:id="2799" w:name="_Toc346633113"/>
      <w:bookmarkStart w:id="2800" w:name="_Toc346633225"/>
      <w:bookmarkStart w:id="2801" w:name="_Toc347401658"/>
      <w:bookmarkStart w:id="2802" w:name="_Toc347401770"/>
      <w:bookmarkStart w:id="2803" w:name="_Toc347401882"/>
      <w:bookmarkStart w:id="2804" w:name="_Toc347401994"/>
      <w:bookmarkStart w:id="2805" w:name="_Toc347402106"/>
      <w:bookmarkStart w:id="2806" w:name="_Toc349055286"/>
      <w:bookmarkStart w:id="2807" w:name="_Toc349055399"/>
      <w:bookmarkStart w:id="2808" w:name="_Toc349055512"/>
      <w:bookmarkStart w:id="2809" w:name="_Toc349055625"/>
      <w:bookmarkStart w:id="2810" w:name="_Toc349055738"/>
      <w:bookmarkStart w:id="2811" w:name="_Toc349116966"/>
      <w:bookmarkStart w:id="2812" w:name="_Toc350330056"/>
      <w:bookmarkStart w:id="2813" w:name="_Toc350344035"/>
      <w:bookmarkStart w:id="2814" w:name="_Toc354492751"/>
      <w:bookmarkStart w:id="2815" w:name="_Toc354492998"/>
      <w:bookmarkStart w:id="2816" w:name="_Toc354493128"/>
      <w:bookmarkStart w:id="2817" w:name="_Toc354493289"/>
      <w:bookmarkStart w:id="2818" w:name="_Ref354555049"/>
      <w:bookmarkStart w:id="2819" w:name="_Ref354555059"/>
      <w:bookmarkStart w:id="2820" w:name="_Toc357586097"/>
      <w:r>
        <w:lastRenderedPageBreak/>
        <w:t>Bushfire</w:t>
      </w:r>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p>
    <w:p w:rsidR="00DF77DB" w:rsidRDefault="008237BB" w:rsidP="00462463">
      <w:pPr>
        <w:pStyle w:val="HeadingApxnonumbers"/>
        <w:rPr>
          <w:noProof/>
        </w:rPr>
      </w:pPr>
      <w:bookmarkStart w:id="2821" w:name="_Toc349116967"/>
      <w:bookmarkStart w:id="2822" w:name="_Toc350330057"/>
      <w:bookmarkStart w:id="2823" w:name="_Toc350344036"/>
      <w:bookmarkStart w:id="2824" w:name="_Toc354493129"/>
      <w:bookmarkStart w:id="2825" w:name="_Toc354493290"/>
      <w:bookmarkStart w:id="2826" w:name="_Toc354493748"/>
      <w:bookmarkStart w:id="2827" w:name="_Toc354494283"/>
      <w:bookmarkStart w:id="2828" w:name="_Toc354494501"/>
      <w:bookmarkStart w:id="2829" w:name="_Toc354494712"/>
      <w:bookmarkStart w:id="2830" w:name="_Toc354495006"/>
      <w:bookmarkStart w:id="2831" w:name="_Toc354497888"/>
      <w:bookmarkStart w:id="2832" w:name="_Toc354561301"/>
      <w:bookmarkStart w:id="2833" w:name="_Toc355164210"/>
      <w:bookmarkStart w:id="2834" w:name="_Toc355249642"/>
      <w:r>
        <w:t>Contents</w:t>
      </w:r>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r>
        <w:fldChar w:fldCharType="begin"/>
      </w:r>
      <w:r>
        <w:instrText xml:space="preserve"> TOC \o "1-3" \h \z \u </w:instrText>
      </w:r>
      <w:r>
        <w:fldChar w:fldCharType="separate"/>
      </w:r>
    </w:p>
    <w:p w:rsidR="00DF77DB" w:rsidRDefault="007F11CF" w:rsidP="000067F7">
      <w:pPr>
        <w:pStyle w:val="TOC2"/>
        <w:rPr>
          <w:rFonts w:asciiTheme="minorHAnsi" w:eastAsiaTheme="minorEastAsia" w:hAnsiTheme="minorHAnsi" w:cstheme="minorBidi"/>
          <w:sz w:val="22"/>
          <w:szCs w:val="22"/>
        </w:rPr>
      </w:pPr>
      <w:hyperlink w:anchor="_Toc354561302" w:history="1">
        <w:r w:rsidR="00DF77DB" w:rsidRPr="006B186D">
          <w:rPr>
            <w:rStyle w:val="Hyperlink"/>
          </w:rPr>
          <w:t>Figures</w:t>
        </w:r>
        <w:r w:rsidR="00DF77DB">
          <w:rPr>
            <w:webHidden/>
          </w:rPr>
          <w:tab/>
        </w:r>
        <w:r w:rsidR="00DF77DB">
          <w:rPr>
            <w:webHidden/>
          </w:rPr>
          <w:fldChar w:fldCharType="begin"/>
        </w:r>
        <w:r w:rsidR="00DF77DB">
          <w:rPr>
            <w:webHidden/>
          </w:rPr>
          <w:instrText xml:space="preserve"> PAGEREF _Toc354561302 \h </w:instrText>
        </w:r>
        <w:r w:rsidR="00DF77DB">
          <w:rPr>
            <w:webHidden/>
          </w:rPr>
        </w:r>
        <w:r w:rsidR="00DF77DB">
          <w:rPr>
            <w:webHidden/>
          </w:rPr>
          <w:fldChar w:fldCharType="separate"/>
        </w:r>
        <w:r w:rsidR="00413858">
          <w:rPr>
            <w:webHidden/>
          </w:rPr>
          <w:t>71</w:t>
        </w:r>
        <w:r w:rsidR="00DF77DB">
          <w:rPr>
            <w:webHidden/>
          </w:rPr>
          <w:fldChar w:fldCharType="end"/>
        </w:r>
      </w:hyperlink>
    </w:p>
    <w:p w:rsidR="00DF77DB" w:rsidRDefault="007F11CF" w:rsidP="000067F7">
      <w:pPr>
        <w:pStyle w:val="TOC2"/>
        <w:rPr>
          <w:rFonts w:asciiTheme="minorHAnsi" w:eastAsiaTheme="minorEastAsia" w:hAnsiTheme="minorHAnsi" w:cstheme="minorBidi"/>
          <w:sz w:val="22"/>
          <w:szCs w:val="22"/>
        </w:rPr>
      </w:pPr>
      <w:hyperlink w:anchor="_Toc354561303" w:history="1">
        <w:r w:rsidR="00DF77DB" w:rsidRPr="006B186D">
          <w:rPr>
            <w:rStyle w:val="Hyperlink"/>
          </w:rPr>
          <w:t>Tables</w:t>
        </w:r>
        <w:r w:rsidR="00DF77DB">
          <w:rPr>
            <w:webHidden/>
          </w:rPr>
          <w:tab/>
        </w:r>
        <w:r w:rsidR="00DF77DB">
          <w:rPr>
            <w:webHidden/>
          </w:rPr>
          <w:fldChar w:fldCharType="begin"/>
        </w:r>
        <w:r w:rsidR="00DF77DB">
          <w:rPr>
            <w:webHidden/>
          </w:rPr>
          <w:instrText xml:space="preserve"> PAGEREF _Toc354561303 \h </w:instrText>
        </w:r>
        <w:r w:rsidR="00DF77DB">
          <w:rPr>
            <w:webHidden/>
          </w:rPr>
        </w:r>
        <w:r w:rsidR="00DF77DB">
          <w:rPr>
            <w:webHidden/>
          </w:rPr>
          <w:fldChar w:fldCharType="separate"/>
        </w:r>
        <w:r w:rsidR="00413858">
          <w:rPr>
            <w:webHidden/>
          </w:rPr>
          <w:t>72</w:t>
        </w:r>
        <w:r w:rsidR="00DF77DB">
          <w:rPr>
            <w:webHidden/>
          </w:rPr>
          <w:fldChar w:fldCharType="end"/>
        </w:r>
      </w:hyperlink>
    </w:p>
    <w:p w:rsidR="00DF77DB" w:rsidRDefault="007F11CF" w:rsidP="000067F7">
      <w:pPr>
        <w:pStyle w:val="TOC2"/>
        <w:rPr>
          <w:rFonts w:asciiTheme="minorHAnsi" w:eastAsiaTheme="minorEastAsia" w:hAnsiTheme="minorHAnsi" w:cstheme="minorBidi"/>
          <w:sz w:val="22"/>
          <w:szCs w:val="22"/>
        </w:rPr>
      </w:pPr>
      <w:hyperlink w:anchor="_Toc354561304" w:history="1">
        <w:r w:rsidR="00DF77DB" w:rsidRPr="006B186D">
          <w:rPr>
            <w:rStyle w:val="Hyperlink"/>
          </w:rPr>
          <w:t>B.1. Introduction</w:t>
        </w:r>
        <w:r w:rsidR="00DF77DB">
          <w:rPr>
            <w:webHidden/>
          </w:rPr>
          <w:tab/>
        </w:r>
        <w:r w:rsidR="00DF77DB">
          <w:rPr>
            <w:webHidden/>
          </w:rPr>
          <w:fldChar w:fldCharType="begin"/>
        </w:r>
        <w:r w:rsidR="00DF77DB">
          <w:rPr>
            <w:webHidden/>
          </w:rPr>
          <w:instrText xml:space="preserve"> PAGEREF _Toc354561304 \h </w:instrText>
        </w:r>
        <w:r w:rsidR="00DF77DB">
          <w:rPr>
            <w:webHidden/>
          </w:rPr>
        </w:r>
        <w:r w:rsidR="00DF77DB">
          <w:rPr>
            <w:webHidden/>
          </w:rPr>
          <w:fldChar w:fldCharType="separate"/>
        </w:r>
        <w:r w:rsidR="00413858">
          <w:rPr>
            <w:webHidden/>
          </w:rPr>
          <w:t>73</w:t>
        </w:r>
        <w:r w:rsidR="00DF77DB">
          <w:rPr>
            <w:webHidden/>
          </w:rPr>
          <w:fldChar w:fldCharType="end"/>
        </w:r>
      </w:hyperlink>
    </w:p>
    <w:p w:rsidR="00DF77DB" w:rsidRDefault="007F11CF" w:rsidP="000067F7">
      <w:pPr>
        <w:pStyle w:val="TOC2"/>
        <w:rPr>
          <w:rFonts w:asciiTheme="minorHAnsi" w:eastAsiaTheme="minorEastAsia" w:hAnsiTheme="minorHAnsi" w:cstheme="minorBidi"/>
          <w:sz w:val="22"/>
          <w:szCs w:val="22"/>
        </w:rPr>
      </w:pPr>
      <w:hyperlink w:anchor="_Toc354561305" w:history="1">
        <w:r w:rsidR="00DF77DB" w:rsidRPr="006B186D">
          <w:rPr>
            <w:rStyle w:val="Hyperlink"/>
          </w:rPr>
          <w:t>B.2. Method</w:t>
        </w:r>
        <w:r w:rsidR="00DF77DB">
          <w:rPr>
            <w:webHidden/>
          </w:rPr>
          <w:tab/>
        </w:r>
        <w:r w:rsidR="00DF77DB">
          <w:rPr>
            <w:webHidden/>
          </w:rPr>
          <w:fldChar w:fldCharType="begin"/>
        </w:r>
        <w:r w:rsidR="00DF77DB">
          <w:rPr>
            <w:webHidden/>
          </w:rPr>
          <w:instrText xml:space="preserve"> PAGEREF _Toc354561305 \h </w:instrText>
        </w:r>
        <w:r w:rsidR="00DF77DB">
          <w:rPr>
            <w:webHidden/>
          </w:rPr>
        </w:r>
        <w:r w:rsidR="00DF77DB">
          <w:rPr>
            <w:webHidden/>
          </w:rPr>
          <w:fldChar w:fldCharType="separate"/>
        </w:r>
        <w:r w:rsidR="00413858">
          <w:rPr>
            <w:webHidden/>
          </w:rPr>
          <w:t>73</w:t>
        </w:r>
        <w:r w:rsidR="00DF77DB">
          <w:rPr>
            <w:webHidden/>
          </w:rPr>
          <w:fldChar w:fldCharType="end"/>
        </w:r>
      </w:hyperlink>
    </w:p>
    <w:p w:rsidR="00DF77DB" w:rsidRDefault="007F11CF" w:rsidP="000067F7">
      <w:pPr>
        <w:pStyle w:val="TOC3"/>
        <w:rPr>
          <w:rFonts w:asciiTheme="minorHAnsi" w:eastAsiaTheme="minorEastAsia" w:hAnsiTheme="minorHAnsi" w:cstheme="minorBidi"/>
          <w:sz w:val="22"/>
          <w:szCs w:val="22"/>
        </w:rPr>
      </w:pPr>
      <w:hyperlink w:anchor="_Toc354561306" w:history="1">
        <w:r w:rsidR="00DF77DB" w:rsidRPr="006B186D">
          <w:rPr>
            <w:rStyle w:val="Hyperlink"/>
          </w:rPr>
          <w:t>B.2.1. Current Climate</w:t>
        </w:r>
        <w:r w:rsidR="00DF77DB">
          <w:rPr>
            <w:webHidden/>
          </w:rPr>
          <w:tab/>
        </w:r>
        <w:r w:rsidR="00DF77DB">
          <w:rPr>
            <w:webHidden/>
          </w:rPr>
          <w:fldChar w:fldCharType="begin"/>
        </w:r>
        <w:r w:rsidR="00DF77DB">
          <w:rPr>
            <w:webHidden/>
          </w:rPr>
          <w:instrText xml:space="preserve"> PAGEREF _Toc354561306 \h </w:instrText>
        </w:r>
        <w:r w:rsidR="00DF77DB">
          <w:rPr>
            <w:webHidden/>
          </w:rPr>
        </w:r>
        <w:r w:rsidR="00DF77DB">
          <w:rPr>
            <w:webHidden/>
          </w:rPr>
          <w:fldChar w:fldCharType="separate"/>
        </w:r>
        <w:r w:rsidR="00413858">
          <w:rPr>
            <w:webHidden/>
          </w:rPr>
          <w:t>73</w:t>
        </w:r>
        <w:r w:rsidR="00DF77DB">
          <w:rPr>
            <w:webHidden/>
          </w:rPr>
          <w:fldChar w:fldCharType="end"/>
        </w:r>
      </w:hyperlink>
    </w:p>
    <w:p w:rsidR="00DF77DB" w:rsidRDefault="007F11CF" w:rsidP="000067F7">
      <w:pPr>
        <w:pStyle w:val="TOC3"/>
        <w:rPr>
          <w:rFonts w:asciiTheme="minorHAnsi" w:eastAsiaTheme="minorEastAsia" w:hAnsiTheme="minorHAnsi" w:cstheme="minorBidi"/>
          <w:sz w:val="22"/>
          <w:szCs w:val="22"/>
        </w:rPr>
      </w:pPr>
      <w:hyperlink w:anchor="_Toc354561307" w:history="1">
        <w:r w:rsidR="00DF77DB" w:rsidRPr="006B186D">
          <w:rPr>
            <w:rStyle w:val="Hyperlink"/>
          </w:rPr>
          <w:t>B.2.2. Future Climate</w:t>
        </w:r>
        <w:r w:rsidR="00DF77DB">
          <w:rPr>
            <w:webHidden/>
          </w:rPr>
          <w:tab/>
        </w:r>
        <w:r w:rsidR="00DF77DB">
          <w:rPr>
            <w:webHidden/>
          </w:rPr>
          <w:fldChar w:fldCharType="begin"/>
        </w:r>
        <w:r w:rsidR="00DF77DB">
          <w:rPr>
            <w:webHidden/>
          </w:rPr>
          <w:instrText xml:space="preserve"> PAGEREF _Toc354561307 \h </w:instrText>
        </w:r>
        <w:r w:rsidR="00DF77DB">
          <w:rPr>
            <w:webHidden/>
          </w:rPr>
        </w:r>
        <w:r w:rsidR="00DF77DB">
          <w:rPr>
            <w:webHidden/>
          </w:rPr>
          <w:fldChar w:fldCharType="separate"/>
        </w:r>
        <w:r w:rsidR="00413858">
          <w:rPr>
            <w:webHidden/>
          </w:rPr>
          <w:t>78</w:t>
        </w:r>
        <w:r w:rsidR="00DF77DB">
          <w:rPr>
            <w:webHidden/>
          </w:rPr>
          <w:fldChar w:fldCharType="end"/>
        </w:r>
      </w:hyperlink>
    </w:p>
    <w:p w:rsidR="00DF77DB" w:rsidRDefault="007F11CF" w:rsidP="000067F7">
      <w:pPr>
        <w:pStyle w:val="TOC3"/>
        <w:rPr>
          <w:rFonts w:asciiTheme="minorHAnsi" w:eastAsiaTheme="minorEastAsia" w:hAnsiTheme="minorHAnsi" w:cstheme="minorBidi"/>
          <w:sz w:val="22"/>
          <w:szCs w:val="22"/>
        </w:rPr>
      </w:pPr>
      <w:hyperlink w:anchor="_Toc354561308" w:history="1">
        <w:r w:rsidR="00DF77DB" w:rsidRPr="006B186D">
          <w:rPr>
            <w:rStyle w:val="Hyperlink"/>
          </w:rPr>
          <w:t>B.2.3. Forest Fire Danger Index</w:t>
        </w:r>
        <w:r w:rsidR="00DF77DB">
          <w:rPr>
            <w:webHidden/>
          </w:rPr>
          <w:tab/>
        </w:r>
        <w:r w:rsidR="00DF77DB">
          <w:rPr>
            <w:webHidden/>
          </w:rPr>
          <w:fldChar w:fldCharType="begin"/>
        </w:r>
        <w:r w:rsidR="00DF77DB">
          <w:rPr>
            <w:webHidden/>
          </w:rPr>
          <w:instrText xml:space="preserve"> PAGEREF _Toc354561308 \h </w:instrText>
        </w:r>
        <w:r w:rsidR="00DF77DB">
          <w:rPr>
            <w:webHidden/>
          </w:rPr>
        </w:r>
        <w:r w:rsidR="00DF77DB">
          <w:rPr>
            <w:webHidden/>
          </w:rPr>
          <w:fldChar w:fldCharType="separate"/>
        </w:r>
        <w:r w:rsidR="00413858">
          <w:rPr>
            <w:webHidden/>
          </w:rPr>
          <w:t>79</w:t>
        </w:r>
        <w:r w:rsidR="00DF77DB">
          <w:rPr>
            <w:webHidden/>
          </w:rPr>
          <w:fldChar w:fldCharType="end"/>
        </w:r>
      </w:hyperlink>
    </w:p>
    <w:p w:rsidR="00DF77DB" w:rsidRDefault="007F11CF" w:rsidP="000067F7">
      <w:pPr>
        <w:pStyle w:val="TOC2"/>
        <w:rPr>
          <w:rFonts w:asciiTheme="minorHAnsi" w:eastAsiaTheme="minorEastAsia" w:hAnsiTheme="minorHAnsi" w:cstheme="minorBidi"/>
          <w:sz w:val="22"/>
          <w:szCs w:val="22"/>
        </w:rPr>
      </w:pPr>
      <w:hyperlink w:anchor="_Toc354561309" w:history="1">
        <w:r w:rsidR="00DF77DB" w:rsidRPr="006B186D">
          <w:rPr>
            <w:rStyle w:val="Hyperlink"/>
          </w:rPr>
          <w:t>B.3. Results</w:t>
        </w:r>
        <w:r w:rsidR="00DF77DB">
          <w:rPr>
            <w:webHidden/>
          </w:rPr>
          <w:tab/>
        </w:r>
        <w:r w:rsidR="00DF77DB">
          <w:rPr>
            <w:webHidden/>
          </w:rPr>
          <w:fldChar w:fldCharType="begin"/>
        </w:r>
        <w:r w:rsidR="00DF77DB">
          <w:rPr>
            <w:webHidden/>
          </w:rPr>
          <w:instrText xml:space="preserve"> PAGEREF _Toc354561309 \h </w:instrText>
        </w:r>
        <w:r w:rsidR="00DF77DB">
          <w:rPr>
            <w:webHidden/>
          </w:rPr>
        </w:r>
        <w:r w:rsidR="00DF77DB">
          <w:rPr>
            <w:webHidden/>
          </w:rPr>
          <w:fldChar w:fldCharType="separate"/>
        </w:r>
        <w:r w:rsidR="00413858">
          <w:rPr>
            <w:webHidden/>
          </w:rPr>
          <w:t>80</w:t>
        </w:r>
        <w:r w:rsidR="00DF77DB">
          <w:rPr>
            <w:webHidden/>
          </w:rPr>
          <w:fldChar w:fldCharType="end"/>
        </w:r>
      </w:hyperlink>
    </w:p>
    <w:p w:rsidR="00DF77DB" w:rsidRDefault="007F11CF" w:rsidP="000067F7">
      <w:pPr>
        <w:pStyle w:val="TOC3"/>
        <w:rPr>
          <w:rFonts w:asciiTheme="minorHAnsi" w:eastAsiaTheme="minorEastAsia" w:hAnsiTheme="minorHAnsi" w:cstheme="minorBidi"/>
          <w:sz w:val="22"/>
          <w:szCs w:val="22"/>
        </w:rPr>
      </w:pPr>
      <w:hyperlink w:anchor="_Toc354561310" w:history="1">
        <w:r w:rsidR="00DF77DB" w:rsidRPr="006B186D">
          <w:rPr>
            <w:rStyle w:val="Hyperlink"/>
          </w:rPr>
          <w:t>B.3.1. Current Climate</w:t>
        </w:r>
        <w:r w:rsidR="00DF77DB">
          <w:rPr>
            <w:webHidden/>
          </w:rPr>
          <w:tab/>
        </w:r>
        <w:r w:rsidR="00DF77DB">
          <w:rPr>
            <w:webHidden/>
          </w:rPr>
          <w:fldChar w:fldCharType="begin"/>
        </w:r>
        <w:r w:rsidR="00DF77DB">
          <w:rPr>
            <w:webHidden/>
          </w:rPr>
          <w:instrText xml:space="preserve"> PAGEREF _Toc354561310 \h </w:instrText>
        </w:r>
        <w:r w:rsidR="00DF77DB">
          <w:rPr>
            <w:webHidden/>
          </w:rPr>
        </w:r>
        <w:r w:rsidR="00DF77DB">
          <w:rPr>
            <w:webHidden/>
          </w:rPr>
          <w:fldChar w:fldCharType="separate"/>
        </w:r>
        <w:r w:rsidR="00413858">
          <w:rPr>
            <w:webHidden/>
          </w:rPr>
          <w:t>80</w:t>
        </w:r>
        <w:r w:rsidR="00DF77DB">
          <w:rPr>
            <w:webHidden/>
          </w:rPr>
          <w:fldChar w:fldCharType="end"/>
        </w:r>
      </w:hyperlink>
    </w:p>
    <w:p w:rsidR="00DF77DB" w:rsidRDefault="007F11CF" w:rsidP="000067F7">
      <w:pPr>
        <w:pStyle w:val="TOC3"/>
        <w:rPr>
          <w:rFonts w:asciiTheme="minorHAnsi" w:eastAsiaTheme="minorEastAsia" w:hAnsiTheme="minorHAnsi" w:cstheme="minorBidi"/>
          <w:sz w:val="22"/>
          <w:szCs w:val="22"/>
        </w:rPr>
      </w:pPr>
      <w:hyperlink w:anchor="_Toc354561311" w:history="1">
        <w:r w:rsidR="00DF77DB" w:rsidRPr="006B186D">
          <w:rPr>
            <w:rStyle w:val="Hyperlink"/>
          </w:rPr>
          <w:t>B.3.2. Future Climate</w:t>
        </w:r>
        <w:r w:rsidR="00DF77DB">
          <w:rPr>
            <w:webHidden/>
          </w:rPr>
          <w:tab/>
        </w:r>
        <w:r w:rsidR="00DF77DB">
          <w:rPr>
            <w:webHidden/>
          </w:rPr>
          <w:fldChar w:fldCharType="begin"/>
        </w:r>
        <w:r w:rsidR="00DF77DB">
          <w:rPr>
            <w:webHidden/>
          </w:rPr>
          <w:instrText xml:space="preserve"> PAGEREF _Toc354561311 \h </w:instrText>
        </w:r>
        <w:r w:rsidR="00DF77DB">
          <w:rPr>
            <w:webHidden/>
          </w:rPr>
        </w:r>
        <w:r w:rsidR="00DF77DB">
          <w:rPr>
            <w:webHidden/>
          </w:rPr>
          <w:fldChar w:fldCharType="separate"/>
        </w:r>
        <w:r w:rsidR="00413858">
          <w:rPr>
            <w:webHidden/>
          </w:rPr>
          <w:t>82</w:t>
        </w:r>
        <w:r w:rsidR="00DF77DB">
          <w:rPr>
            <w:webHidden/>
          </w:rPr>
          <w:fldChar w:fldCharType="end"/>
        </w:r>
      </w:hyperlink>
    </w:p>
    <w:p w:rsidR="00DF77DB" w:rsidRDefault="007F11CF" w:rsidP="000067F7">
      <w:pPr>
        <w:pStyle w:val="TOC2"/>
        <w:rPr>
          <w:rFonts w:asciiTheme="minorHAnsi" w:eastAsiaTheme="minorEastAsia" w:hAnsiTheme="minorHAnsi" w:cstheme="minorBidi"/>
          <w:sz w:val="22"/>
          <w:szCs w:val="22"/>
        </w:rPr>
      </w:pPr>
      <w:hyperlink w:anchor="_Toc354561312" w:history="1">
        <w:r w:rsidR="00DF77DB" w:rsidRPr="006B186D">
          <w:rPr>
            <w:rStyle w:val="Hyperlink"/>
          </w:rPr>
          <w:t>B.4. Discussion - Current Climate</w:t>
        </w:r>
        <w:r w:rsidR="00DF77DB">
          <w:rPr>
            <w:webHidden/>
          </w:rPr>
          <w:tab/>
        </w:r>
        <w:r w:rsidR="00DF77DB">
          <w:rPr>
            <w:webHidden/>
          </w:rPr>
          <w:fldChar w:fldCharType="begin"/>
        </w:r>
        <w:r w:rsidR="00DF77DB">
          <w:rPr>
            <w:webHidden/>
          </w:rPr>
          <w:instrText xml:space="preserve"> PAGEREF _Toc354561312 \h </w:instrText>
        </w:r>
        <w:r w:rsidR="00DF77DB">
          <w:rPr>
            <w:webHidden/>
          </w:rPr>
        </w:r>
        <w:r w:rsidR="00DF77DB">
          <w:rPr>
            <w:webHidden/>
          </w:rPr>
          <w:fldChar w:fldCharType="separate"/>
        </w:r>
        <w:r w:rsidR="00413858">
          <w:rPr>
            <w:webHidden/>
          </w:rPr>
          <w:t>84</w:t>
        </w:r>
        <w:r w:rsidR="00DF77DB">
          <w:rPr>
            <w:webHidden/>
          </w:rPr>
          <w:fldChar w:fldCharType="end"/>
        </w:r>
      </w:hyperlink>
    </w:p>
    <w:p w:rsidR="00DF77DB" w:rsidRDefault="007F11CF" w:rsidP="000067F7">
      <w:pPr>
        <w:pStyle w:val="TOC2"/>
        <w:rPr>
          <w:rFonts w:asciiTheme="minorHAnsi" w:eastAsiaTheme="minorEastAsia" w:hAnsiTheme="minorHAnsi" w:cstheme="minorBidi"/>
          <w:sz w:val="22"/>
          <w:szCs w:val="22"/>
        </w:rPr>
      </w:pPr>
      <w:hyperlink w:anchor="_Toc354561313" w:history="1">
        <w:r w:rsidR="00DF77DB" w:rsidRPr="006B186D">
          <w:rPr>
            <w:rStyle w:val="Hyperlink"/>
          </w:rPr>
          <w:t>B.5. Discussion - Future Climate</w:t>
        </w:r>
        <w:r w:rsidR="00DF77DB">
          <w:rPr>
            <w:webHidden/>
          </w:rPr>
          <w:tab/>
        </w:r>
        <w:r w:rsidR="00DF77DB">
          <w:rPr>
            <w:webHidden/>
          </w:rPr>
          <w:fldChar w:fldCharType="begin"/>
        </w:r>
        <w:r w:rsidR="00DF77DB">
          <w:rPr>
            <w:webHidden/>
          </w:rPr>
          <w:instrText xml:space="preserve"> PAGEREF _Toc354561313 \h </w:instrText>
        </w:r>
        <w:r w:rsidR="00DF77DB">
          <w:rPr>
            <w:webHidden/>
          </w:rPr>
        </w:r>
        <w:r w:rsidR="00DF77DB">
          <w:rPr>
            <w:webHidden/>
          </w:rPr>
          <w:fldChar w:fldCharType="separate"/>
        </w:r>
        <w:r w:rsidR="00413858">
          <w:rPr>
            <w:webHidden/>
          </w:rPr>
          <w:t>87</w:t>
        </w:r>
        <w:r w:rsidR="00DF77DB">
          <w:rPr>
            <w:webHidden/>
          </w:rPr>
          <w:fldChar w:fldCharType="end"/>
        </w:r>
      </w:hyperlink>
    </w:p>
    <w:p w:rsidR="00DF77DB" w:rsidRDefault="007F11CF" w:rsidP="000067F7">
      <w:pPr>
        <w:pStyle w:val="TOC3"/>
        <w:rPr>
          <w:rFonts w:asciiTheme="minorHAnsi" w:eastAsiaTheme="minorEastAsia" w:hAnsiTheme="minorHAnsi" w:cstheme="minorBidi"/>
          <w:sz w:val="22"/>
          <w:szCs w:val="22"/>
        </w:rPr>
      </w:pPr>
      <w:hyperlink w:anchor="_Toc354561314" w:history="1">
        <w:r w:rsidR="00DF77DB" w:rsidRPr="006B186D">
          <w:rPr>
            <w:rStyle w:val="Hyperlink"/>
          </w:rPr>
          <w:t>B.5.1. Bushfire hazard reclassified</w:t>
        </w:r>
        <w:r w:rsidR="00DF77DB">
          <w:rPr>
            <w:webHidden/>
          </w:rPr>
          <w:tab/>
        </w:r>
        <w:r w:rsidR="00DF77DB">
          <w:rPr>
            <w:webHidden/>
          </w:rPr>
          <w:fldChar w:fldCharType="begin"/>
        </w:r>
        <w:r w:rsidR="00DF77DB">
          <w:rPr>
            <w:webHidden/>
          </w:rPr>
          <w:instrText xml:space="preserve"> PAGEREF _Toc354561314 \h </w:instrText>
        </w:r>
        <w:r w:rsidR="00DF77DB">
          <w:rPr>
            <w:webHidden/>
          </w:rPr>
        </w:r>
        <w:r w:rsidR="00DF77DB">
          <w:rPr>
            <w:webHidden/>
          </w:rPr>
          <w:fldChar w:fldCharType="separate"/>
        </w:r>
        <w:r w:rsidR="00413858">
          <w:rPr>
            <w:webHidden/>
          </w:rPr>
          <w:t>87</w:t>
        </w:r>
        <w:r w:rsidR="00DF77DB">
          <w:rPr>
            <w:webHidden/>
          </w:rPr>
          <w:fldChar w:fldCharType="end"/>
        </w:r>
      </w:hyperlink>
    </w:p>
    <w:p w:rsidR="00DF77DB" w:rsidRDefault="007F11CF" w:rsidP="000067F7">
      <w:pPr>
        <w:pStyle w:val="TOC3"/>
        <w:rPr>
          <w:rFonts w:asciiTheme="minorHAnsi" w:eastAsiaTheme="minorEastAsia" w:hAnsiTheme="minorHAnsi" w:cstheme="minorBidi"/>
          <w:sz w:val="22"/>
          <w:szCs w:val="22"/>
        </w:rPr>
      </w:pPr>
      <w:hyperlink w:anchor="_Toc354561315" w:history="1">
        <w:r w:rsidR="00DF77DB" w:rsidRPr="006B186D">
          <w:rPr>
            <w:rStyle w:val="Hyperlink"/>
          </w:rPr>
          <w:t>B.5.2. Future-climate 50 vs. 100 year ARI bushfire hazard</w:t>
        </w:r>
        <w:r w:rsidR="00DF77DB">
          <w:rPr>
            <w:webHidden/>
          </w:rPr>
          <w:tab/>
        </w:r>
        <w:r w:rsidR="00DF77DB">
          <w:rPr>
            <w:webHidden/>
          </w:rPr>
          <w:fldChar w:fldCharType="begin"/>
        </w:r>
        <w:r w:rsidR="00DF77DB">
          <w:rPr>
            <w:webHidden/>
          </w:rPr>
          <w:instrText xml:space="preserve"> PAGEREF _Toc354561315 \h </w:instrText>
        </w:r>
        <w:r w:rsidR="00DF77DB">
          <w:rPr>
            <w:webHidden/>
          </w:rPr>
        </w:r>
        <w:r w:rsidR="00DF77DB">
          <w:rPr>
            <w:webHidden/>
          </w:rPr>
          <w:fldChar w:fldCharType="separate"/>
        </w:r>
        <w:r w:rsidR="00413858">
          <w:rPr>
            <w:webHidden/>
          </w:rPr>
          <w:t>90</w:t>
        </w:r>
        <w:r w:rsidR="00DF77DB">
          <w:rPr>
            <w:webHidden/>
          </w:rPr>
          <w:fldChar w:fldCharType="end"/>
        </w:r>
      </w:hyperlink>
    </w:p>
    <w:p w:rsidR="00DF77DB" w:rsidRDefault="007F11CF" w:rsidP="000067F7">
      <w:pPr>
        <w:pStyle w:val="TOC3"/>
        <w:rPr>
          <w:rFonts w:asciiTheme="minorHAnsi" w:eastAsiaTheme="minorEastAsia" w:hAnsiTheme="minorHAnsi" w:cstheme="minorBidi"/>
          <w:sz w:val="22"/>
          <w:szCs w:val="22"/>
        </w:rPr>
      </w:pPr>
      <w:hyperlink w:anchor="_Toc354561316" w:history="1">
        <w:r w:rsidR="00DF77DB" w:rsidRPr="006B186D">
          <w:rPr>
            <w:rStyle w:val="Hyperlink"/>
          </w:rPr>
          <w:t>B.5.3. Future climate vs. current climate</w:t>
        </w:r>
        <w:r w:rsidR="00DF77DB">
          <w:rPr>
            <w:webHidden/>
          </w:rPr>
          <w:tab/>
        </w:r>
        <w:r w:rsidR="00DF77DB">
          <w:rPr>
            <w:webHidden/>
          </w:rPr>
          <w:fldChar w:fldCharType="begin"/>
        </w:r>
        <w:r w:rsidR="00DF77DB">
          <w:rPr>
            <w:webHidden/>
          </w:rPr>
          <w:instrText xml:space="preserve"> PAGEREF _Toc354561316 \h </w:instrText>
        </w:r>
        <w:r w:rsidR="00DF77DB">
          <w:rPr>
            <w:webHidden/>
          </w:rPr>
        </w:r>
        <w:r w:rsidR="00DF77DB">
          <w:rPr>
            <w:webHidden/>
          </w:rPr>
          <w:fldChar w:fldCharType="separate"/>
        </w:r>
        <w:r w:rsidR="00413858">
          <w:rPr>
            <w:webHidden/>
          </w:rPr>
          <w:t>91</w:t>
        </w:r>
        <w:r w:rsidR="00DF77DB">
          <w:rPr>
            <w:webHidden/>
          </w:rPr>
          <w:fldChar w:fldCharType="end"/>
        </w:r>
      </w:hyperlink>
    </w:p>
    <w:p w:rsidR="00DF77DB" w:rsidRDefault="007F11CF" w:rsidP="000067F7">
      <w:pPr>
        <w:pStyle w:val="TOC2"/>
        <w:rPr>
          <w:rFonts w:asciiTheme="minorHAnsi" w:eastAsiaTheme="minorEastAsia" w:hAnsiTheme="minorHAnsi" w:cstheme="minorBidi"/>
          <w:sz w:val="22"/>
          <w:szCs w:val="22"/>
        </w:rPr>
      </w:pPr>
      <w:hyperlink w:anchor="_Toc354561317" w:history="1">
        <w:r w:rsidR="00DF77DB" w:rsidRPr="006B186D">
          <w:rPr>
            <w:rStyle w:val="Hyperlink"/>
          </w:rPr>
          <w:t>B.6. Further Modelling</w:t>
        </w:r>
        <w:r w:rsidR="00DF77DB">
          <w:rPr>
            <w:webHidden/>
          </w:rPr>
          <w:tab/>
        </w:r>
        <w:r w:rsidR="00DF77DB">
          <w:rPr>
            <w:webHidden/>
          </w:rPr>
          <w:fldChar w:fldCharType="begin"/>
        </w:r>
        <w:r w:rsidR="00DF77DB">
          <w:rPr>
            <w:webHidden/>
          </w:rPr>
          <w:instrText xml:space="preserve"> PAGEREF _Toc354561317 \h </w:instrText>
        </w:r>
        <w:r w:rsidR="00DF77DB">
          <w:rPr>
            <w:webHidden/>
          </w:rPr>
        </w:r>
        <w:r w:rsidR="00DF77DB">
          <w:rPr>
            <w:webHidden/>
          </w:rPr>
          <w:fldChar w:fldCharType="separate"/>
        </w:r>
        <w:r w:rsidR="00413858">
          <w:rPr>
            <w:webHidden/>
          </w:rPr>
          <w:t>94</w:t>
        </w:r>
        <w:r w:rsidR="00DF77DB">
          <w:rPr>
            <w:webHidden/>
          </w:rPr>
          <w:fldChar w:fldCharType="end"/>
        </w:r>
      </w:hyperlink>
    </w:p>
    <w:p w:rsidR="00DF77DB" w:rsidRDefault="007F11CF" w:rsidP="000067F7">
      <w:pPr>
        <w:pStyle w:val="TOC2"/>
        <w:rPr>
          <w:rFonts w:asciiTheme="minorHAnsi" w:eastAsiaTheme="minorEastAsia" w:hAnsiTheme="minorHAnsi" w:cstheme="minorBidi"/>
          <w:sz w:val="22"/>
          <w:szCs w:val="22"/>
        </w:rPr>
      </w:pPr>
      <w:hyperlink w:anchor="_Toc354561318" w:history="1">
        <w:r w:rsidR="00DF77DB" w:rsidRPr="006B186D">
          <w:rPr>
            <w:rStyle w:val="Hyperlink"/>
          </w:rPr>
          <w:t>B.7. Assumptions – Current &amp; Future Climate</w:t>
        </w:r>
        <w:r w:rsidR="00DF77DB">
          <w:rPr>
            <w:webHidden/>
          </w:rPr>
          <w:tab/>
        </w:r>
        <w:r w:rsidR="00DF77DB">
          <w:rPr>
            <w:webHidden/>
          </w:rPr>
          <w:fldChar w:fldCharType="begin"/>
        </w:r>
        <w:r w:rsidR="00DF77DB">
          <w:rPr>
            <w:webHidden/>
          </w:rPr>
          <w:instrText xml:space="preserve"> PAGEREF _Toc354561318 \h </w:instrText>
        </w:r>
        <w:r w:rsidR="00DF77DB">
          <w:rPr>
            <w:webHidden/>
          </w:rPr>
        </w:r>
        <w:r w:rsidR="00DF77DB">
          <w:rPr>
            <w:webHidden/>
          </w:rPr>
          <w:fldChar w:fldCharType="separate"/>
        </w:r>
        <w:r w:rsidR="00413858">
          <w:rPr>
            <w:webHidden/>
          </w:rPr>
          <w:t>95</w:t>
        </w:r>
        <w:r w:rsidR="00DF77DB">
          <w:rPr>
            <w:webHidden/>
          </w:rPr>
          <w:fldChar w:fldCharType="end"/>
        </w:r>
      </w:hyperlink>
    </w:p>
    <w:p w:rsidR="00FA6ED3" w:rsidRDefault="008237BB" w:rsidP="000067F7">
      <w:pPr>
        <w:pStyle w:val="TOC2"/>
      </w:pPr>
      <w:r>
        <w:fldChar w:fldCharType="end"/>
      </w:r>
    </w:p>
    <w:p w:rsidR="008237BB" w:rsidRDefault="008237BB" w:rsidP="00462463">
      <w:pPr>
        <w:pStyle w:val="HeadingApxnonumbers"/>
      </w:pPr>
      <w:bookmarkStart w:id="2835" w:name="_Toc349116968"/>
      <w:bookmarkStart w:id="2836" w:name="_Toc350330058"/>
      <w:bookmarkStart w:id="2837" w:name="_Toc350344037"/>
      <w:bookmarkStart w:id="2838" w:name="_Toc354402026"/>
      <w:bookmarkStart w:id="2839" w:name="_Toc354404066"/>
      <w:bookmarkStart w:id="2840" w:name="_Toc354476523"/>
      <w:bookmarkStart w:id="2841" w:name="_Toc354492752"/>
      <w:bookmarkStart w:id="2842" w:name="_Toc354492882"/>
      <w:bookmarkStart w:id="2843" w:name="_Toc354493130"/>
      <w:bookmarkStart w:id="2844" w:name="_Toc354493291"/>
      <w:bookmarkStart w:id="2845" w:name="_Toc354493749"/>
      <w:bookmarkStart w:id="2846" w:name="_Toc354494284"/>
      <w:bookmarkStart w:id="2847" w:name="_Toc354494502"/>
      <w:bookmarkStart w:id="2848" w:name="_Toc354494713"/>
      <w:bookmarkStart w:id="2849" w:name="_Toc354495007"/>
      <w:bookmarkStart w:id="2850" w:name="_Toc354497889"/>
      <w:bookmarkStart w:id="2851" w:name="_Toc354561302"/>
      <w:bookmarkStart w:id="2852" w:name="_Toc355164211"/>
      <w:bookmarkStart w:id="2853" w:name="_Toc355249643"/>
      <w:r>
        <w:t>Fig</w:t>
      </w:r>
      <w:r w:rsidRPr="00A75818">
        <w:t>u</w:t>
      </w:r>
      <w:r>
        <w:t>res</w:t>
      </w:r>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p>
    <w:p w:rsidR="00DF77DB" w:rsidRDefault="00A03BF1">
      <w:pPr>
        <w:pStyle w:val="TableofFigures"/>
        <w:rPr>
          <w:rFonts w:asciiTheme="minorHAnsi" w:eastAsiaTheme="minorEastAsia" w:hAnsiTheme="minorHAnsi" w:cstheme="minorBidi"/>
          <w:sz w:val="22"/>
          <w:szCs w:val="22"/>
        </w:rPr>
      </w:pPr>
      <w:r>
        <w:fldChar w:fldCharType="begin"/>
      </w:r>
      <w:r>
        <w:instrText xml:space="preserve"> TOC \h \z \c "Appendix Figure" </w:instrText>
      </w:r>
      <w:r>
        <w:fldChar w:fldCharType="separate"/>
      </w:r>
      <w:hyperlink w:anchor="_Toc354561379" w:history="1">
        <w:r w:rsidR="00DF77DB" w:rsidRPr="00FF582E">
          <w:rPr>
            <w:rStyle w:val="Hyperlink"/>
          </w:rPr>
          <w:t>Appendix Figure B</w:t>
        </w:r>
        <w:r w:rsidR="00162079">
          <w:rPr>
            <w:rStyle w:val="Hyperlink"/>
          </w:rPr>
          <w:t>.</w:t>
        </w:r>
        <w:r w:rsidR="00DF77DB" w:rsidRPr="00FF582E">
          <w:rPr>
            <w:rStyle w:val="Hyperlink"/>
          </w:rPr>
          <w:t>1. Rockhampton airport Return Period of FFDI calculated using observations. The broken lines represent the 95% confidence limits for the predicted FFDI (black solid line).</w:t>
        </w:r>
        <w:r w:rsidR="00DF77DB">
          <w:rPr>
            <w:webHidden/>
          </w:rPr>
          <w:tab/>
        </w:r>
        <w:r w:rsidR="00DF77DB">
          <w:rPr>
            <w:webHidden/>
          </w:rPr>
          <w:fldChar w:fldCharType="begin"/>
        </w:r>
        <w:r w:rsidR="00DF77DB">
          <w:rPr>
            <w:webHidden/>
          </w:rPr>
          <w:instrText xml:space="preserve"> PAGEREF _Toc354561379 \h </w:instrText>
        </w:r>
        <w:r w:rsidR="00DF77DB">
          <w:rPr>
            <w:webHidden/>
          </w:rPr>
        </w:r>
        <w:r w:rsidR="00DF77DB">
          <w:rPr>
            <w:webHidden/>
          </w:rPr>
          <w:fldChar w:fldCharType="separate"/>
        </w:r>
        <w:r w:rsidR="00413858">
          <w:rPr>
            <w:webHidden/>
          </w:rPr>
          <w:t>75</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380" w:history="1">
        <w:r w:rsidR="00DF77DB" w:rsidRPr="00FF582E">
          <w:rPr>
            <w:rStyle w:val="Hyperlink"/>
          </w:rPr>
          <w:t>Appendix Figure B</w:t>
        </w:r>
        <w:r w:rsidR="00162079">
          <w:rPr>
            <w:rStyle w:val="Hyperlink"/>
          </w:rPr>
          <w:t>.</w:t>
        </w:r>
        <w:r w:rsidR="00DF77DB" w:rsidRPr="00FF582E">
          <w:rPr>
            <w:rStyle w:val="Hyperlink"/>
          </w:rPr>
          <w:t>2. Bushfire vegetation classification</w:t>
        </w:r>
        <w:r w:rsidR="00DF77DB">
          <w:rPr>
            <w:webHidden/>
          </w:rPr>
          <w:tab/>
        </w:r>
        <w:r w:rsidR="00DF77DB">
          <w:rPr>
            <w:webHidden/>
          </w:rPr>
          <w:fldChar w:fldCharType="begin"/>
        </w:r>
        <w:r w:rsidR="00DF77DB">
          <w:rPr>
            <w:webHidden/>
          </w:rPr>
          <w:instrText xml:space="preserve"> PAGEREF _Toc354561380 \h </w:instrText>
        </w:r>
        <w:r w:rsidR="00DF77DB">
          <w:rPr>
            <w:webHidden/>
          </w:rPr>
        </w:r>
        <w:r w:rsidR="00DF77DB">
          <w:rPr>
            <w:webHidden/>
          </w:rPr>
          <w:fldChar w:fldCharType="separate"/>
        </w:r>
        <w:r w:rsidR="00413858">
          <w:rPr>
            <w:webHidden/>
          </w:rPr>
          <w:t>77</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381" w:history="1">
        <w:r w:rsidR="00DF77DB" w:rsidRPr="00FF582E">
          <w:rPr>
            <w:rStyle w:val="Hyperlink"/>
          </w:rPr>
          <w:t>Appendix Figure B</w:t>
        </w:r>
        <w:r w:rsidR="00162079">
          <w:rPr>
            <w:rStyle w:val="Hyperlink"/>
          </w:rPr>
          <w:t>.</w:t>
        </w:r>
        <w:r w:rsidR="00DF77DB" w:rsidRPr="00FF582E">
          <w:rPr>
            <w:rStyle w:val="Hyperlink"/>
          </w:rPr>
          <w:t>3. AS3959 bushfire constraints</w:t>
        </w:r>
        <w:r w:rsidR="00DF77DB">
          <w:rPr>
            <w:webHidden/>
          </w:rPr>
          <w:tab/>
        </w:r>
        <w:r w:rsidR="00DF77DB">
          <w:rPr>
            <w:webHidden/>
          </w:rPr>
          <w:fldChar w:fldCharType="begin"/>
        </w:r>
        <w:r w:rsidR="00DF77DB">
          <w:rPr>
            <w:webHidden/>
          </w:rPr>
          <w:instrText xml:space="preserve"> PAGEREF _Toc354561381 \h </w:instrText>
        </w:r>
        <w:r w:rsidR="00DF77DB">
          <w:rPr>
            <w:webHidden/>
          </w:rPr>
        </w:r>
        <w:r w:rsidR="00DF77DB">
          <w:rPr>
            <w:webHidden/>
          </w:rPr>
          <w:fldChar w:fldCharType="separate"/>
        </w:r>
        <w:r w:rsidR="00413858">
          <w:rPr>
            <w:webHidden/>
          </w:rPr>
          <w:t>77</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382" w:history="1">
        <w:r w:rsidR="00DF77DB" w:rsidRPr="00FF582E">
          <w:rPr>
            <w:rStyle w:val="Hyperlink"/>
          </w:rPr>
          <w:t>Appendix Figure B</w:t>
        </w:r>
        <w:r w:rsidR="00162079">
          <w:rPr>
            <w:rStyle w:val="Hyperlink"/>
          </w:rPr>
          <w:t>.</w:t>
        </w:r>
        <w:r w:rsidR="00DF77DB" w:rsidRPr="00FF582E">
          <w:rPr>
            <w:rStyle w:val="Hyperlink"/>
          </w:rPr>
          <w:t>4</w:t>
        </w:r>
        <w:r w:rsidR="00DF77DB" w:rsidRPr="00FF582E">
          <w:rPr>
            <w:rStyle w:val="Hyperlink"/>
            <w:lang w:val="en-GB"/>
          </w:rPr>
          <w:t xml:space="preserve">. </w:t>
        </w:r>
        <w:r w:rsidR="00DF77DB" w:rsidRPr="00FF582E">
          <w:rPr>
            <w:rStyle w:val="Hyperlink"/>
          </w:rPr>
          <w:t>Average annual precipitation totals for Tasmania projected on typical a) GCM, b) 0.5</w:t>
        </w:r>
        <w:r w:rsidR="00DF77DB" w:rsidRPr="00FF582E">
          <w:rPr>
            <w:rStyle w:val="Hyperlink"/>
          </w:rPr>
          <w:sym w:font="Symbol" w:char="F0B0"/>
        </w:r>
        <w:r w:rsidR="00DF77DB" w:rsidRPr="00FF582E">
          <w:rPr>
            <w:rStyle w:val="Hyperlink"/>
          </w:rPr>
          <w:t xml:space="preserve"> and c) 0.15</w:t>
        </w:r>
        <w:r w:rsidR="00DF77DB" w:rsidRPr="00FF582E">
          <w:rPr>
            <w:rStyle w:val="Hyperlink"/>
          </w:rPr>
          <w:sym w:font="Symbol" w:char="F0B0"/>
        </w:r>
        <w:r w:rsidR="00DF77DB" w:rsidRPr="00FF582E">
          <w:rPr>
            <w:rStyle w:val="Hyperlink"/>
          </w:rPr>
          <w:t xml:space="preserve"> grids (Corney et al., 2010). Precipitation scaled from 0-3000 mm per annum.</w:t>
        </w:r>
        <w:r w:rsidR="00DF77DB">
          <w:rPr>
            <w:webHidden/>
          </w:rPr>
          <w:tab/>
        </w:r>
        <w:r w:rsidR="00DF77DB">
          <w:rPr>
            <w:webHidden/>
          </w:rPr>
          <w:fldChar w:fldCharType="begin"/>
        </w:r>
        <w:r w:rsidR="00DF77DB">
          <w:rPr>
            <w:webHidden/>
          </w:rPr>
          <w:instrText xml:space="preserve"> PAGEREF _Toc354561382 \h </w:instrText>
        </w:r>
        <w:r w:rsidR="00DF77DB">
          <w:rPr>
            <w:webHidden/>
          </w:rPr>
        </w:r>
        <w:r w:rsidR="00DF77DB">
          <w:rPr>
            <w:webHidden/>
          </w:rPr>
          <w:fldChar w:fldCharType="separate"/>
        </w:r>
        <w:r w:rsidR="00413858">
          <w:rPr>
            <w:webHidden/>
          </w:rPr>
          <w:t>79</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383" w:history="1">
        <w:r w:rsidR="00DF77DB" w:rsidRPr="00FF582E">
          <w:rPr>
            <w:rStyle w:val="Hyperlink"/>
          </w:rPr>
          <w:t>Appendix Figure B</w:t>
        </w:r>
        <w:r w:rsidR="00162079">
          <w:rPr>
            <w:rStyle w:val="Hyperlink"/>
          </w:rPr>
          <w:t>.</w:t>
        </w:r>
        <w:r w:rsidR="00DF77DB" w:rsidRPr="00FF582E">
          <w:rPr>
            <w:rStyle w:val="Hyperlink"/>
          </w:rPr>
          <w:t>5. Fire danger rating – current-climate 50 year ARI. The dashed area indicates a region of lower confidence; see the Discussion section.</w:t>
        </w:r>
        <w:r w:rsidR="00DF77DB">
          <w:rPr>
            <w:webHidden/>
          </w:rPr>
          <w:tab/>
        </w:r>
        <w:r w:rsidR="00DF77DB">
          <w:rPr>
            <w:webHidden/>
          </w:rPr>
          <w:fldChar w:fldCharType="begin"/>
        </w:r>
        <w:r w:rsidR="00DF77DB">
          <w:rPr>
            <w:webHidden/>
          </w:rPr>
          <w:instrText xml:space="preserve"> PAGEREF _Toc354561383 \h </w:instrText>
        </w:r>
        <w:r w:rsidR="00DF77DB">
          <w:rPr>
            <w:webHidden/>
          </w:rPr>
        </w:r>
        <w:r w:rsidR="00DF77DB">
          <w:rPr>
            <w:webHidden/>
          </w:rPr>
          <w:fldChar w:fldCharType="separate"/>
        </w:r>
        <w:r w:rsidR="00413858">
          <w:rPr>
            <w:webHidden/>
          </w:rPr>
          <w:t>81</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384" w:history="1">
        <w:r w:rsidR="00DF77DB" w:rsidRPr="00FF582E">
          <w:rPr>
            <w:rStyle w:val="Hyperlink"/>
          </w:rPr>
          <w:t>Appendix Figure B</w:t>
        </w:r>
        <w:r w:rsidR="00162079">
          <w:rPr>
            <w:rStyle w:val="Hyperlink"/>
          </w:rPr>
          <w:t>.</w:t>
        </w:r>
        <w:r w:rsidR="00DF77DB" w:rsidRPr="00FF582E">
          <w:rPr>
            <w:rStyle w:val="Hyperlink"/>
          </w:rPr>
          <w:t>6. Fire danger rating – current-climate 100 year ARI. The dashed area indicates a region of lower confidence; see the Discussion section.</w:t>
        </w:r>
        <w:r w:rsidR="00DF77DB">
          <w:rPr>
            <w:webHidden/>
          </w:rPr>
          <w:tab/>
        </w:r>
        <w:r w:rsidR="00DF77DB">
          <w:rPr>
            <w:webHidden/>
          </w:rPr>
          <w:fldChar w:fldCharType="begin"/>
        </w:r>
        <w:r w:rsidR="00DF77DB">
          <w:rPr>
            <w:webHidden/>
          </w:rPr>
          <w:instrText xml:space="preserve"> PAGEREF _Toc354561384 \h </w:instrText>
        </w:r>
        <w:r w:rsidR="00DF77DB">
          <w:rPr>
            <w:webHidden/>
          </w:rPr>
        </w:r>
        <w:r w:rsidR="00DF77DB">
          <w:rPr>
            <w:webHidden/>
          </w:rPr>
          <w:fldChar w:fldCharType="separate"/>
        </w:r>
        <w:r w:rsidR="00413858">
          <w:rPr>
            <w:webHidden/>
          </w:rPr>
          <w:t>81</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385" w:history="1">
        <w:r w:rsidR="00DF77DB" w:rsidRPr="00FF582E">
          <w:rPr>
            <w:rStyle w:val="Hyperlink"/>
          </w:rPr>
          <w:t>Appendix Figure B</w:t>
        </w:r>
        <w:r w:rsidR="00162079">
          <w:rPr>
            <w:rStyle w:val="Hyperlink"/>
          </w:rPr>
          <w:t>.</w:t>
        </w:r>
        <w:r w:rsidR="00DF77DB" w:rsidRPr="00FF582E">
          <w:rPr>
            <w:rStyle w:val="Hyperlink"/>
          </w:rPr>
          <w:t>7. Fire Danger Rating, 2050 – 50 year ARI. The dashed area indicates a region of lower confidence; see the Discussion section.</w:t>
        </w:r>
        <w:r w:rsidR="00DF77DB">
          <w:rPr>
            <w:webHidden/>
          </w:rPr>
          <w:tab/>
        </w:r>
        <w:r w:rsidR="00DF77DB">
          <w:rPr>
            <w:webHidden/>
          </w:rPr>
          <w:fldChar w:fldCharType="begin"/>
        </w:r>
        <w:r w:rsidR="00DF77DB">
          <w:rPr>
            <w:webHidden/>
          </w:rPr>
          <w:instrText xml:space="preserve"> PAGEREF _Toc354561385 \h </w:instrText>
        </w:r>
        <w:r w:rsidR="00DF77DB">
          <w:rPr>
            <w:webHidden/>
          </w:rPr>
        </w:r>
        <w:r w:rsidR="00DF77DB">
          <w:rPr>
            <w:webHidden/>
          </w:rPr>
          <w:fldChar w:fldCharType="separate"/>
        </w:r>
        <w:r w:rsidR="00413858">
          <w:rPr>
            <w:webHidden/>
          </w:rPr>
          <w:t>82</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386" w:history="1">
        <w:r w:rsidR="00DF77DB" w:rsidRPr="00FF582E">
          <w:rPr>
            <w:rStyle w:val="Hyperlink"/>
          </w:rPr>
          <w:t xml:space="preserve">Appendix Figure </w:t>
        </w:r>
        <w:r w:rsidR="00162079">
          <w:rPr>
            <w:rStyle w:val="Hyperlink"/>
          </w:rPr>
          <w:t>B.</w:t>
        </w:r>
        <w:r w:rsidR="00DF77DB" w:rsidRPr="00FF582E">
          <w:rPr>
            <w:rStyle w:val="Hyperlink"/>
          </w:rPr>
          <w:t>8. Fire Danger Rating, 20</w:t>
        </w:r>
        <w:r w:rsidR="006B5D94">
          <w:rPr>
            <w:rStyle w:val="Hyperlink"/>
          </w:rPr>
          <w:t>5</w:t>
        </w:r>
        <w:r w:rsidR="00DF77DB" w:rsidRPr="00FF582E">
          <w:rPr>
            <w:rStyle w:val="Hyperlink"/>
          </w:rPr>
          <w:t>0 – 100 year ARI. The dashed area indicates a region of lower confidence; see the Discussion section.</w:t>
        </w:r>
        <w:r w:rsidR="00DF77DB">
          <w:rPr>
            <w:webHidden/>
          </w:rPr>
          <w:tab/>
        </w:r>
        <w:r w:rsidR="00DF77DB">
          <w:rPr>
            <w:webHidden/>
          </w:rPr>
          <w:fldChar w:fldCharType="begin"/>
        </w:r>
        <w:r w:rsidR="00DF77DB">
          <w:rPr>
            <w:webHidden/>
          </w:rPr>
          <w:instrText xml:space="preserve"> PAGEREF _Toc354561386 \h </w:instrText>
        </w:r>
        <w:r w:rsidR="00DF77DB">
          <w:rPr>
            <w:webHidden/>
          </w:rPr>
        </w:r>
        <w:r w:rsidR="00DF77DB">
          <w:rPr>
            <w:webHidden/>
          </w:rPr>
          <w:fldChar w:fldCharType="separate"/>
        </w:r>
        <w:r w:rsidR="00413858">
          <w:rPr>
            <w:webHidden/>
          </w:rPr>
          <w:t>82</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387" w:history="1">
        <w:r w:rsidR="00DF77DB" w:rsidRPr="00FF582E">
          <w:rPr>
            <w:rStyle w:val="Hyperlink"/>
          </w:rPr>
          <w:t xml:space="preserve">Appendix Figure </w:t>
        </w:r>
        <w:r w:rsidR="00162079">
          <w:rPr>
            <w:rStyle w:val="Hyperlink"/>
          </w:rPr>
          <w:t>B.</w:t>
        </w:r>
        <w:r w:rsidR="00DF77DB" w:rsidRPr="00FF582E">
          <w:rPr>
            <w:rStyle w:val="Hyperlink"/>
          </w:rPr>
          <w:t>9. Fire Danger Rating, 2090 – 50 year ARI. The dashed area indicates a region of lower confidence; see the Discussion section.</w:t>
        </w:r>
        <w:r w:rsidR="00DF77DB">
          <w:rPr>
            <w:webHidden/>
          </w:rPr>
          <w:tab/>
        </w:r>
        <w:r w:rsidR="00DF77DB">
          <w:rPr>
            <w:webHidden/>
          </w:rPr>
          <w:fldChar w:fldCharType="begin"/>
        </w:r>
        <w:r w:rsidR="00DF77DB">
          <w:rPr>
            <w:webHidden/>
          </w:rPr>
          <w:instrText xml:space="preserve"> PAGEREF _Toc354561387 \h </w:instrText>
        </w:r>
        <w:r w:rsidR="00DF77DB">
          <w:rPr>
            <w:webHidden/>
          </w:rPr>
        </w:r>
        <w:r w:rsidR="00DF77DB">
          <w:rPr>
            <w:webHidden/>
          </w:rPr>
          <w:fldChar w:fldCharType="separate"/>
        </w:r>
        <w:r w:rsidR="00413858">
          <w:rPr>
            <w:webHidden/>
          </w:rPr>
          <w:t>83</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388" w:history="1">
        <w:r w:rsidR="00DF77DB" w:rsidRPr="00FF582E">
          <w:rPr>
            <w:rStyle w:val="Hyperlink"/>
          </w:rPr>
          <w:t xml:space="preserve">Appendix Figure </w:t>
        </w:r>
        <w:r w:rsidR="00162079">
          <w:rPr>
            <w:rStyle w:val="Hyperlink"/>
          </w:rPr>
          <w:t>B.</w:t>
        </w:r>
        <w:r w:rsidR="00DF77DB" w:rsidRPr="00FF582E">
          <w:rPr>
            <w:rStyle w:val="Hyperlink"/>
          </w:rPr>
          <w:t>10. Fire Danger Rating, 2090 – 100 year ARI. The dashed area indicates a region of lower confidence; see the Discussion section.</w:t>
        </w:r>
        <w:r w:rsidR="00DF77DB">
          <w:rPr>
            <w:webHidden/>
          </w:rPr>
          <w:tab/>
        </w:r>
        <w:r w:rsidR="00DF77DB">
          <w:rPr>
            <w:webHidden/>
          </w:rPr>
          <w:fldChar w:fldCharType="begin"/>
        </w:r>
        <w:r w:rsidR="00DF77DB">
          <w:rPr>
            <w:webHidden/>
          </w:rPr>
          <w:instrText xml:space="preserve"> PAGEREF _Toc354561388 \h </w:instrText>
        </w:r>
        <w:r w:rsidR="00DF77DB">
          <w:rPr>
            <w:webHidden/>
          </w:rPr>
        </w:r>
        <w:r w:rsidR="00DF77DB">
          <w:rPr>
            <w:webHidden/>
          </w:rPr>
          <w:fldChar w:fldCharType="separate"/>
        </w:r>
        <w:r w:rsidR="00413858">
          <w:rPr>
            <w:webHidden/>
          </w:rPr>
          <w:t>83</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389" w:history="1">
        <w:r w:rsidR="00DF77DB" w:rsidRPr="00FF582E">
          <w:rPr>
            <w:rStyle w:val="Hyperlink"/>
          </w:rPr>
          <w:t xml:space="preserve">Appendix Figure </w:t>
        </w:r>
        <w:r w:rsidR="00162079">
          <w:rPr>
            <w:rStyle w:val="Hyperlink"/>
          </w:rPr>
          <w:t>B.</w:t>
        </w:r>
        <w:r w:rsidR="00DF77DB" w:rsidRPr="00FF582E">
          <w:rPr>
            <w:rStyle w:val="Hyperlink"/>
          </w:rPr>
          <w:t>11. Current-climate 50 year ARI bushfire hazard reclassified</w:t>
        </w:r>
        <w:r w:rsidR="00DF77DB">
          <w:rPr>
            <w:webHidden/>
          </w:rPr>
          <w:tab/>
        </w:r>
        <w:r w:rsidR="00DF77DB">
          <w:rPr>
            <w:webHidden/>
          </w:rPr>
          <w:fldChar w:fldCharType="begin"/>
        </w:r>
        <w:r w:rsidR="00DF77DB">
          <w:rPr>
            <w:webHidden/>
          </w:rPr>
          <w:instrText xml:space="preserve"> PAGEREF _Toc354561389 \h </w:instrText>
        </w:r>
        <w:r w:rsidR="00DF77DB">
          <w:rPr>
            <w:webHidden/>
          </w:rPr>
        </w:r>
        <w:r w:rsidR="00DF77DB">
          <w:rPr>
            <w:webHidden/>
          </w:rPr>
          <w:fldChar w:fldCharType="separate"/>
        </w:r>
        <w:r w:rsidR="00413858">
          <w:rPr>
            <w:webHidden/>
          </w:rPr>
          <w:t>85</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390" w:history="1">
        <w:r w:rsidR="00DF77DB" w:rsidRPr="00FF582E">
          <w:rPr>
            <w:rStyle w:val="Hyperlink"/>
          </w:rPr>
          <w:t xml:space="preserve">Appendix Figure </w:t>
        </w:r>
        <w:r w:rsidR="00162079">
          <w:rPr>
            <w:rStyle w:val="Hyperlink"/>
          </w:rPr>
          <w:t>B.</w:t>
        </w:r>
        <w:r w:rsidR="00DF77DB" w:rsidRPr="00FF582E">
          <w:rPr>
            <w:rStyle w:val="Hyperlink"/>
          </w:rPr>
          <w:t>12. Current-climate 100 year ARI bushfire hazard reclassified</w:t>
        </w:r>
        <w:r w:rsidR="00DF77DB">
          <w:rPr>
            <w:webHidden/>
          </w:rPr>
          <w:tab/>
        </w:r>
        <w:r w:rsidR="00DF77DB">
          <w:rPr>
            <w:webHidden/>
          </w:rPr>
          <w:fldChar w:fldCharType="begin"/>
        </w:r>
        <w:r w:rsidR="00DF77DB">
          <w:rPr>
            <w:webHidden/>
          </w:rPr>
          <w:instrText xml:space="preserve"> PAGEREF _Toc354561390 \h </w:instrText>
        </w:r>
        <w:r w:rsidR="00DF77DB">
          <w:rPr>
            <w:webHidden/>
          </w:rPr>
        </w:r>
        <w:r w:rsidR="00DF77DB">
          <w:rPr>
            <w:webHidden/>
          </w:rPr>
          <w:fldChar w:fldCharType="separate"/>
        </w:r>
        <w:r w:rsidR="00413858">
          <w:rPr>
            <w:webHidden/>
          </w:rPr>
          <w:t>85</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391" w:history="1">
        <w:r w:rsidR="00DF77DB" w:rsidRPr="00FF582E">
          <w:rPr>
            <w:rStyle w:val="Hyperlink"/>
          </w:rPr>
          <w:t xml:space="preserve">Appendix Figure </w:t>
        </w:r>
        <w:r w:rsidR="00162079">
          <w:rPr>
            <w:rStyle w:val="Hyperlink"/>
          </w:rPr>
          <w:t>B.</w:t>
        </w:r>
        <w:r w:rsidR="00DF77DB" w:rsidRPr="00FF582E">
          <w:rPr>
            <w:rStyle w:val="Hyperlink"/>
          </w:rPr>
          <w:t>13. Bushfire hazard difference – 100 year ARI minus 50 year ARI.</w:t>
        </w:r>
        <w:r w:rsidR="00DF77DB">
          <w:rPr>
            <w:webHidden/>
          </w:rPr>
          <w:tab/>
        </w:r>
        <w:r w:rsidR="00DF77DB">
          <w:rPr>
            <w:webHidden/>
          </w:rPr>
          <w:fldChar w:fldCharType="begin"/>
        </w:r>
        <w:r w:rsidR="00DF77DB">
          <w:rPr>
            <w:webHidden/>
          </w:rPr>
          <w:instrText xml:space="preserve"> PAGEREF _Toc354561391 \h </w:instrText>
        </w:r>
        <w:r w:rsidR="00DF77DB">
          <w:rPr>
            <w:webHidden/>
          </w:rPr>
        </w:r>
        <w:r w:rsidR="00DF77DB">
          <w:rPr>
            <w:webHidden/>
          </w:rPr>
          <w:fldChar w:fldCharType="separate"/>
        </w:r>
        <w:r w:rsidR="00413858">
          <w:rPr>
            <w:webHidden/>
          </w:rPr>
          <w:t>87</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392" w:history="1">
        <w:r w:rsidR="00DF77DB" w:rsidRPr="00FF582E">
          <w:rPr>
            <w:rStyle w:val="Hyperlink"/>
          </w:rPr>
          <w:t xml:space="preserve">Appendix Figure </w:t>
        </w:r>
        <w:r w:rsidR="00162079">
          <w:rPr>
            <w:rStyle w:val="Hyperlink"/>
          </w:rPr>
          <w:t>B.</w:t>
        </w:r>
        <w:r w:rsidR="00DF77DB" w:rsidRPr="00FF582E">
          <w:rPr>
            <w:rStyle w:val="Hyperlink"/>
          </w:rPr>
          <w:t>14. 2050 50 year ARI bushfire hazard reclassified.</w:t>
        </w:r>
        <w:r w:rsidR="00DF77DB">
          <w:rPr>
            <w:webHidden/>
          </w:rPr>
          <w:tab/>
        </w:r>
        <w:r w:rsidR="00DF77DB">
          <w:rPr>
            <w:webHidden/>
          </w:rPr>
          <w:fldChar w:fldCharType="begin"/>
        </w:r>
        <w:r w:rsidR="00DF77DB">
          <w:rPr>
            <w:webHidden/>
          </w:rPr>
          <w:instrText xml:space="preserve"> PAGEREF _Toc354561392 \h </w:instrText>
        </w:r>
        <w:r w:rsidR="00DF77DB">
          <w:rPr>
            <w:webHidden/>
          </w:rPr>
        </w:r>
        <w:r w:rsidR="00DF77DB">
          <w:rPr>
            <w:webHidden/>
          </w:rPr>
          <w:fldChar w:fldCharType="separate"/>
        </w:r>
        <w:r w:rsidR="00413858">
          <w:rPr>
            <w:webHidden/>
          </w:rPr>
          <w:t>88</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393" w:history="1">
        <w:r w:rsidR="00DF77DB" w:rsidRPr="00FF582E">
          <w:rPr>
            <w:rStyle w:val="Hyperlink"/>
          </w:rPr>
          <w:t xml:space="preserve">Appendix Figure </w:t>
        </w:r>
        <w:r w:rsidR="00162079">
          <w:rPr>
            <w:rStyle w:val="Hyperlink"/>
          </w:rPr>
          <w:t>B.</w:t>
        </w:r>
        <w:r w:rsidR="00DF77DB" w:rsidRPr="00FF582E">
          <w:rPr>
            <w:rStyle w:val="Hyperlink"/>
          </w:rPr>
          <w:t>15. 2050 100 year ARI bushfire hazard reclassified.</w:t>
        </w:r>
        <w:r w:rsidR="00DF77DB">
          <w:rPr>
            <w:webHidden/>
          </w:rPr>
          <w:tab/>
        </w:r>
        <w:r w:rsidR="00DF77DB">
          <w:rPr>
            <w:webHidden/>
          </w:rPr>
          <w:fldChar w:fldCharType="begin"/>
        </w:r>
        <w:r w:rsidR="00DF77DB">
          <w:rPr>
            <w:webHidden/>
          </w:rPr>
          <w:instrText xml:space="preserve"> PAGEREF _Toc354561393 \h </w:instrText>
        </w:r>
        <w:r w:rsidR="00DF77DB">
          <w:rPr>
            <w:webHidden/>
          </w:rPr>
        </w:r>
        <w:r w:rsidR="00DF77DB">
          <w:rPr>
            <w:webHidden/>
          </w:rPr>
          <w:fldChar w:fldCharType="separate"/>
        </w:r>
        <w:r w:rsidR="00413858">
          <w:rPr>
            <w:webHidden/>
          </w:rPr>
          <w:t>88</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394" w:history="1">
        <w:r w:rsidR="00DF77DB" w:rsidRPr="00FF582E">
          <w:rPr>
            <w:rStyle w:val="Hyperlink"/>
          </w:rPr>
          <w:t xml:space="preserve">Appendix Figure </w:t>
        </w:r>
        <w:r w:rsidR="00162079">
          <w:rPr>
            <w:rStyle w:val="Hyperlink"/>
          </w:rPr>
          <w:t>B.</w:t>
        </w:r>
        <w:r w:rsidR="00DF77DB" w:rsidRPr="00FF582E">
          <w:rPr>
            <w:rStyle w:val="Hyperlink"/>
          </w:rPr>
          <w:t>16. 2090 50 year ARI bushfire hazard reclassified.</w:t>
        </w:r>
        <w:r w:rsidR="00DF77DB">
          <w:rPr>
            <w:webHidden/>
          </w:rPr>
          <w:tab/>
        </w:r>
        <w:r w:rsidR="00DF77DB">
          <w:rPr>
            <w:webHidden/>
          </w:rPr>
          <w:fldChar w:fldCharType="begin"/>
        </w:r>
        <w:r w:rsidR="00DF77DB">
          <w:rPr>
            <w:webHidden/>
          </w:rPr>
          <w:instrText xml:space="preserve"> PAGEREF _Toc354561394 \h </w:instrText>
        </w:r>
        <w:r w:rsidR="00DF77DB">
          <w:rPr>
            <w:webHidden/>
          </w:rPr>
        </w:r>
        <w:r w:rsidR="00DF77DB">
          <w:rPr>
            <w:webHidden/>
          </w:rPr>
          <w:fldChar w:fldCharType="separate"/>
        </w:r>
        <w:r w:rsidR="00413858">
          <w:rPr>
            <w:webHidden/>
          </w:rPr>
          <w:t>89</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395" w:history="1">
        <w:r w:rsidR="00DF77DB" w:rsidRPr="00FF582E">
          <w:rPr>
            <w:rStyle w:val="Hyperlink"/>
          </w:rPr>
          <w:t xml:space="preserve">Appendix Figure </w:t>
        </w:r>
        <w:r w:rsidR="00162079">
          <w:rPr>
            <w:rStyle w:val="Hyperlink"/>
          </w:rPr>
          <w:t>B.</w:t>
        </w:r>
        <w:r w:rsidR="00DF77DB" w:rsidRPr="00FF582E">
          <w:rPr>
            <w:rStyle w:val="Hyperlink"/>
          </w:rPr>
          <w:t>17. 2090 100 year ARI bushfire hazard reclassified.</w:t>
        </w:r>
        <w:r w:rsidR="00DF77DB">
          <w:rPr>
            <w:webHidden/>
          </w:rPr>
          <w:tab/>
        </w:r>
        <w:r w:rsidR="00DF77DB">
          <w:rPr>
            <w:webHidden/>
          </w:rPr>
          <w:fldChar w:fldCharType="begin"/>
        </w:r>
        <w:r w:rsidR="00DF77DB">
          <w:rPr>
            <w:webHidden/>
          </w:rPr>
          <w:instrText xml:space="preserve"> PAGEREF _Toc354561395 \h </w:instrText>
        </w:r>
        <w:r w:rsidR="00DF77DB">
          <w:rPr>
            <w:webHidden/>
          </w:rPr>
        </w:r>
        <w:r w:rsidR="00DF77DB">
          <w:rPr>
            <w:webHidden/>
          </w:rPr>
          <w:fldChar w:fldCharType="separate"/>
        </w:r>
        <w:r w:rsidR="00413858">
          <w:rPr>
            <w:webHidden/>
          </w:rPr>
          <w:t>89</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396" w:history="1">
        <w:r w:rsidR="00DF77DB" w:rsidRPr="00FF582E">
          <w:rPr>
            <w:rStyle w:val="Hyperlink"/>
          </w:rPr>
          <w:t xml:space="preserve">Appendix Figure </w:t>
        </w:r>
        <w:r w:rsidR="00162079">
          <w:rPr>
            <w:rStyle w:val="Hyperlink"/>
          </w:rPr>
          <w:t>B.</w:t>
        </w:r>
        <w:r w:rsidR="00DF77DB" w:rsidRPr="00FF582E">
          <w:rPr>
            <w:rStyle w:val="Hyperlink"/>
          </w:rPr>
          <w:t>18. Bushfire hazard difference – 2050 100 year ARI minus 2050 50 year ARI.</w:t>
        </w:r>
        <w:r w:rsidR="00DF77DB">
          <w:rPr>
            <w:webHidden/>
          </w:rPr>
          <w:tab/>
        </w:r>
        <w:r w:rsidR="00DF77DB">
          <w:rPr>
            <w:webHidden/>
          </w:rPr>
          <w:fldChar w:fldCharType="begin"/>
        </w:r>
        <w:r w:rsidR="00DF77DB">
          <w:rPr>
            <w:webHidden/>
          </w:rPr>
          <w:instrText xml:space="preserve"> PAGEREF _Toc354561396 \h </w:instrText>
        </w:r>
        <w:r w:rsidR="00DF77DB">
          <w:rPr>
            <w:webHidden/>
          </w:rPr>
        </w:r>
        <w:r w:rsidR="00DF77DB">
          <w:rPr>
            <w:webHidden/>
          </w:rPr>
          <w:fldChar w:fldCharType="separate"/>
        </w:r>
        <w:r w:rsidR="00413858">
          <w:rPr>
            <w:webHidden/>
          </w:rPr>
          <w:t>90</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397" w:history="1">
        <w:r w:rsidR="00DF77DB" w:rsidRPr="00FF582E">
          <w:rPr>
            <w:rStyle w:val="Hyperlink"/>
          </w:rPr>
          <w:t xml:space="preserve">Appendix Figure </w:t>
        </w:r>
        <w:r w:rsidR="00162079">
          <w:rPr>
            <w:rStyle w:val="Hyperlink"/>
          </w:rPr>
          <w:t>B.</w:t>
        </w:r>
        <w:r w:rsidR="00DF77DB" w:rsidRPr="00FF582E">
          <w:rPr>
            <w:rStyle w:val="Hyperlink"/>
          </w:rPr>
          <w:t>19. Bushfire hazard difference – 2090 100 year ARI minus 2090 50 year ARI.</w:t>
        </w:r>
        <w:r w:rsidR="00DF77DB">
          <w:rPr>
            <w:webHidden/>
          </w:rPr>
          <w:tab/>
        </w:r>
        <w:r w:rsidR="00DF77DB">
          <w:rPr>
            <w:webHidden/>
          </w:rPr>
          <w:fldChar w:fldCharType="begin"/>
        </w:r>
        <w:r w:rsidR="00DF77DB">
          <w:rPr>
            <w:webHidden/>
          </w:rPr>
          <w:instrText xml:space="preserve"> PAGEREF _Toc354561397 \h </w:instrText>
        </w:r>
        <w:r w:rsidR="00DF77DB">
          <w:rPr>
            <w:webHidden/>
          </w:rPr>
        </w:r>
        <w:r w:rsidR="00DF77DB">
          <w:rPr>
            <w:webHidden/>
          </w:rPr>
          <w:fldChar w:fldCharType="separate"/>
        </w:r>
        <w:r w:rsidR="00413858">
          <w:rPr>
            <w:webHidden/>
          </w:rPr>
          <w:t>91</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398" w:history="1">
        <w:r w:rsidR="00DF77DB" w:rsidRPr="00FF582E">
          <w:rPr>
            <w:rStyle w:val="Hyperlink"/>
          </w:rPr>
          <w:t xml:space="preserve">Appendix Figure </w:t>
        </w:r>
        <w:r w:rsidR="00162079">
          <w:rPr>
            <w:rStyle w:val="Hyperlink"/>
          </w:rPr>
          <w:t>B.</w:t>
        </w:r>
        <w:r w:rsidR="00DF77DB" w:rsidRPr="00FF582E">
          <w:rPr>
            <w:rStyle w:val="Hyperlink"/>
          </w:rPr>
          <w:t>20. Bushfire hazard difference – 2050 50 year ARI minus current-climate 50 year ARI.</w:t>
        </w:r>
        <w:r w:rsidR="00DF77DB">
          <w:rPr>
            <w:webHidden/>
          </w:rPr>
          <w:tab/>
        </w:r>
        <w:r w:rsidR="00DF77DB">
          <w:rPr>
            <w:webHidden/>
          </w:rPr>
          <w:fldChar w:fldCharType="begin"/>
        </w:r>
        <w:r w:rsidR="00DF77DB">
          <w:rPr>
            <w:webHidden/>
          </w:rPr>
          <w:instrText xml:space="preserve"> PAGEREF _Toc354561398 \h </w:instrText>
        </w:r>
        <w:r w:rsidR="00DF77DB">
          <w:rPr>
            <w:webHidden/>
          </w:rPr>
        </w:r>
        <w:r w:rsidR="00DF77DB">
          <w:rPr>
            <w:webHidden/>
          </w:rPr>
          <w:fldChar w:fldCharType="separate"/>
        </w:r>
        <w:r w:rsidR="00413858">
          <w:rPr>
            <w:webHidden/>
          </w:rPr>
          <w:t>92</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399" w:history="1">
        <w:r w:rsidR="00DF77DB" w:rsidRPr="00FF582E">
          <w:rPr>
            <w:rStyle w:val="Hyperlink"/>
          </w:rPr>
          <w:t xml:space="preserve">Appendix Figure </w:t>
        </w:r>
        <w:r w:rsidR="00162079">
          <w:rPr>
            <w:rStyle w:val="Hyperlink"/>
          </w:rPr>
          <w:t>B.</w:t>
        </w:r>
        <w:r w:rsidR="00DF77DB" w:rsidRPr="00FF582E">
          <w:rPr>
            <w:rStyle w:val="Hyperlink"/>
          </w:rPr>
          <w:t>21. Bushfire hazard difference – 2050 100 year ARI minus current-climate 100 year ARI.</w:t>
        </w:r>
        <w:r w:rsidR="00DF77DB">
          <w:rPr>
            <w:webHidden/>
          </w:rPr>
          <w:tab/>
        </w:r>
        <w:r w:rsidR="00DF77DB">
          <w:rPr>
            <w:webHidden/>
          </w:rPr>
          <w:fldChar w:fldCharType="begin"/>
        </w:r>
        <w:r w:rsidR="00DF77DB">
          <w:rPr>
            <w:webHidden/>
          </w:rPr>
          <w:instrText xml:space="preserve"> PAGEREF _Toc354561399 \h </w:instrText>
        </w:r>
        <w:r w:rsidR="00DF77DB">
          <w:rPr>
            <w:webHidden/>
          </w:rPr>
        </w:r>
        <w:r w:rsidR="00DF77DB">
          <w:rPr>
            <w:webHidden/>
          </w:rPr>
          <w:fldChar w:fldCharType="separate"/>
        </w:r>
        <w:r w:rsidR="00413858">
          <w:rPr>
            <w:webHidden/>
          </w:rPr>
          <w:t>92</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400" w:history="1">
        <w:r w:rsidR="00DF77DB" w:rsidRPr="00FF582E">
          <w:rPr>
            <w:rStyle w:val="Hyperlink"/>
          </w:rPr>
          <w:t xml:space="preserve">Appendix Figure </w:t>
        </w:r>
        <w:r w:rsidR="00162079">
          <w:rPr>
            <w:rStyle w:val="Hyperlink"/>
          </w:rPr>
          <w:t>B.</w:t>
        </w:r>
        <w:r w:rsidR="00DF77DB" w:rsidRPr="00FF582E">
          <w:rPr>
            <w:rStyle w:val="Hyperlink"/>
          </w:rPr>
          <w:t>22. Bushfire hazard difference – 2090 50 year ARI minus current-climate 50 year ARI.</w:t>
        </w:r>
        <w:r w:rsidR="00DF77DB">
          <w:rPr>
            <w:webHidden/>
          </w:rPr>
          <w:tab/>
        </w:r>
        <w:r w:rsidR="00DF77DB">
          <w:rPr>
            <w:webHidden/>
          </w:rPr>
          <w:fldChar w:fldCharType="begin"/>
        </w:r>
        <w:r w:rsidR="00DF77DB">
          <w:rPr>
            <w:webHidden/>
          </w:rPr>
          <w:instrText xml:space="preserve"> PAGEREF _Toc354561400 \h </w:instrText>
        </w:r>
        <w:r w:rsidR="00DF77DB">
          <w:rPr>
            <w:webHidden/>
          </w:rPr>
        </w:r>
        <w:r w:rsidR="00DF77DB">
          <w:rPr>
            <w:webHidden/>
          </w:rPr>
          <w:fldChar w:fldCharType="separate"/>
        </w:r>
        <w:r w:rsidR="00413858">
          <w:rPr>
            <w:webHidden/>
          </w:rPr>
          <w:t>93</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401" w:history="1">
        <w:r w:rsidR="00DF77DB" w:rsidRPr="00FF582E">
          <w:rPr>
            <w:rStyle w:val="Hyperlink"/>
          </w:rPr>
          <w:t xml:space="preserve">Appendix Figure </w:t>
        </w:r>
        <w:r w:rsidR="00162079">
          <w:rPr>
            <w:rStyle w:val="Hyperlink"/>
          </w:rPr>
          <w:t>B.</w:t>
        </w:r>
        <w:r w:rsidR="00DF77DB" w:rsidRPr="00FF582E">
          <w:rPr>
            <w:rStyle w:val="Hyperlink"/>
          </w:rPr>
          <w:t>23. Bushfire hazard difference – 2090 100 year ARI minus current-climate 100 year ARI.</w:t>
        </w:r>
        <w:r w:rsidR="00DF77DB">
          <w:rPr>
            <w:webHidden/>
          </w:rPr>
          <w:tab/>
        </w:r>
        <w:r w:rsidR="00DF77DB">
          <w:rPr>
            <w:webHidden/>
          </w:rPr>
          <w:fldChar w:fldCharType="begin"/>
        </w:r>
        <w:r w:rsidR="00DF77DB">
          <w:rPr>
            <w:webHidden/>
          </w:rPr>
          <w:instrText xml:space="preserve"> PAGEREF _Toc354561401 \h </w:instrText>
        </w:r>
        <w:r w:rsidR="00DF77DB">
          <w:rPr>
            <w:webHidden/>
          </w:rPr>
        </w:r>
        <w:r w:rsidR="00DF77DB">
          <w:rPr>
            <w:webHidden/>
          </w:rPr>
          <w:fldChar w:fldCharType="separate"/>
        </w:r>
        <w:r w:rsidR="00413858">
          <w:rPr>
            <w:webHidden/>
          </w:rPr>
          <w:t>93</w:t>
        </w:r>
        <w:r w:rsidR="00DF77DB">
          <w:rPr>
            <w:webHidden/>
          </w:rPr>
          <w:fldChar w:fldCharType="end"/>
        </w:r>
      </w:hyperlink>
    </w:p>
    <w:p w:rsidR="008237BB" w:rsidRDefault="00A03BF1" w:rsidP="00462463">
      <w:pPr>
        <w:pStyle w:val="HeadingApxnonumbers"/>
      </w:pPr>
      <w:r>
        <w:fldChar w:fldCharType="end"/>
      </w:r>
      <w:bookmarkStart w:id="2854" w:name="_Toc349116969"/>
      <w:bookmarkStart w:id="2855" w:name="_Toc350330059"/>
      <w:bookmarkStart w:id="2856" w:name="_Toc350344038"/>
      <w:bookmarkStart w:id="2857" w:name="_Toc354402027"/>
      <w:bookmarkStart w:id="2858" w:name="_Toc354404067"/>
      <w:bookmarkStart w:id="2859" w:name="_Toc354476524"/>
      <w:bookmarkStart w:id="2860" w:name="_Toc354492753"/>
      <w:bookmarkStart w:id="2861" w:name="_Toc354492883"/>
      <w:bookmarkStart w:id="2862" w:name="_Toc354493131"/>
      <w:bookmarkStart w:id="2863" w:name="_Toc354493292"/>
      <w:bookmarkStart w:id="2864" w:name="_Toc354493750"/>
      <w:bookmarkStart w:id="2865" w:name="_Toc354494285"/>
      <w:bookmarkStart w:id="2866" w:name="_Toc354494503"/>
      <w:bookmarkStart w:id="2867" w:name="_Toc354494714"/>
      <w:bookmarkStart w:id="2868" w:name="_Toc354495008"/>
      <w:bookmarkStart w:id="2869" w:name="_Toc354497890"/>
      <w:bookmarkStart w:id="2870" w:name="_Toc354561303"/>
      <w:bookmarkStart w:id="2871" w:name="_Toc355164212"/>
      <w:bookmarkStart w:id="2872" w:name="_Toc355249644"/>
      <w:r w:rsidR="008237BB">
        <w:t>Tables</w:t>
      </w:r>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p>
    <w:p w:rsidR="003F3766" w:rsidRDefault="00AD6E08">
      <w:pPr>
        <w:pStyle w:val="TableofFigures"/>
        <w:rPr>
          <w:rFonts w:asciiTheme="minorHAnsi" w:eastAsiaTheme="minorEastAsia" w:hAnsiTheme="minorHAnsi" w:cstheme="minorBidi"/>
          <w:sz w:val="22"/>
          <w:szCs w:val="22"/>
        </w:rPr>
      </w:pPr>
      <w:r>
        <w:fldChar w:fldCharType="begin"/>
      </w:r>
      <w:r>
        <w:instrText xml:space="preserve"> TOC \h \z \c "Appendix Table" </w:instrText>
      </w:r>
      <w:r>
        <w:fldChar w:fldCharType="separate"/>
      </w:r>
      <w:hyperlink w:anchor="_Toc355073364" w:history="1">
        <w:r w:rsidR="003F3766" w:rsidRPr="001E7B68">
          <w:rPr>
            <w:rStyle w:val="Hyperlink"/>
          </w:rPr>
          <w:t xml:space="preserve">Appendix Table </w:t>
        </w:r>
        <w:r w:rsidR="00162079">
          <w:rPr>
            <w:rStyle w:val="Hyperlink"/>
          </w:rPr>
          <w:t>B.</w:t>
        </w:r>
        <w:r w:rsidR="003F3766" w:rsidRPr="001E7B68">
          <w:rPr>
            <w:rStyle w:val="Hyperlink"/>
          </w:rPr>
          <w:t>1. Fire danger classification</w:t>
        </w:r>
        <w:r w:rsidR="003F3766">
          <w:rPr>
            <w:webHidden/>
          </w:rPr>
          <w:tab/>
        </w:r>
        <w:r w:rsidR="003F3766">
          <w:rPr>
            <w:webHidden/>
          </w:rPr>
          <w:fldChar w:fldCharType="begin"/>
        </w:r>
        <w:r w:rsidR="003F3766">
          <w:rPr>
            <w:webHidden/>
          </w:rPr>
          <w:instrText xml:space="preserve"> PAGEREF _Toc355073364 \h </w:instrText>
        </w:r>
        <w:r w:rsidR="003F3766">
          <w:rPr>
            <w:webHidden/>
          </w:rPr>
        </w:r>
        <w:r w:rsidR="003F3766">
          <w:rPr>
            <w:webHidden/>
          </w:rPr>
          <w:fldChar w:fldCharType="separate"/>
        </w:r>
        <w:r w:rsidR="00413858">
          <w:rPr>
            <w:webHidden/>
          </w:rPr>
          <w:t>76</w:t>
        </w:r>
        <w:r w:rsidR="003F3766">
          <w:rPr>
            <w:webHidden/>
          </w:rPr>
          <w:fldChar w:fldCharType="end"/>
        </w:r>
      </w:hyperlink>
    </w:p>
    <w:p w:rsidR="003F3766" w:rsidRDefault="007F11CF">
      <w:pPr>
        <w:pStyle w:val="TableofFigures"/>
        <w:rPr>
          <w:rFonts w:asciiTheme="minorHAnsi" w:eastAsiaTheme="minorEastAsia" w:hAnsiTheme="minorHAnsi" w:cstheme="minorBidi"/>
          <w:sz w:val="22"/>
          <w:szCs w:val="22"/>
        </w:rPr>
      </w:pPr>
      <w:hyperlink w:anchor="_Toc355073365" w:history="1">
        <w:r w:rsidR="003F3766" w:rsidRPr="001E7B68">
          <w:rPr>
            <w:rStyle w:val="Hyperlink"/>
          </w:rPr>
          <w:t xml:space="preserve">Appendix Table </w:t>
        </w:r>
        <w:r w:rsidR="00162079">
          <w:rPr>
            <w:rStyle w:val="Hyperlink"/>
          </w:rPr>
          <w:t>B.</w:t>
        </w:r>
        <w:r w:rsidR="003F3766" w:rsidRPr="001E7B68">
          <w:rPr>
            <w:rStyle w:val="Hyperlink"/>
          </w:rPr>
          <w:t>2. Parent GCM model (driver) for the CCAM climate simulations (regional downscaling)</w:t>
        </w:r>
        <w:r w:rsidR="003F3766">
          <w:rPr>
            <w:webHidden/>
          </w:rPr>
          <w:tab/>
        </w:r>
        <w:r w:rsidR="003F3766">
          <w:rPr>
            <w:webHidden/>
          </w:rPr>
          <w:fldChar w:fldCharType="begin"/>
        </w:r>
        <w:r w:rsidR="003F3766">
          <w:rPr>
            <w:webHidden/>
          </w:rPr>
          <w:instrText xml:space="preserve"> PAGEREF _Toc355073365 \h </w:instrText>
        </w:r>
        <w:r w:rsidR="003F3766">
          <w:rPr>
            <w:webHidden/>
          </w:rPr>
        </w:r>
        <w:r w:rsidR="003F3766">
          <w:rPr>
            <w:webHidden/>
          </w:rPr>
          <w:fldChar w:fldCharType="separate"/>
        </w:r>
        <w:r w:rsidR="00413858">
          <w:rPr>
            <w:webHidden/>
          </w:rPr>
          <w:t>78</w:t>
        </w:r>
        <w:r w:rsidR="003F3766">
          <w:rPr>
            <w:webHidden/>
          </w:rPr>
          <w:fldChar w:fldCharType="end"/>
        </w:r>
      </w:hyperlink>
    </w:p>
    <w:p w:rsidR="003F3766" w:rsidRDefault="007F11CF">
      <w:pPr>
        <w:pStyle w:val="TableofFigures"/>
        <w:rPr>
          <w:rFonts w:asciiTheme="minorHAnsi" w:eastAsiaTheme="minorEastAsia" w:hAnsiTheme="minorHAnsi" w:cstheme="minorBidi"/>
          <w:sz w:val="22"/>
          <w:szCs w:val="22"/>
        </w:rPr>
      </w:pPr>
      <w:hyperlink w:anchor="_Toc355073366" w:history="1">
        <w:r w:rsidR="003F3766" w:rsidRPr="001E7B68">
          <w:rPr>
            <w:rStyle w:val="Hyperlink"/>
          </w:rPr>
          <w:t xml:space="preserve">Appendix Table </w:t>
        </w:r>
        <w:r w:rsidR="00162079">
          <w:rPr>
            <w:rStyle w:val="Hyperlink"/>
          </w:rPr>
          <w:t>B.</w:t>
        </w:r>
        <w:r w:rsidR="003F3766" w:rsidRPr="001E7B68">
          <w:rPr>
            <w:rStyle w:val="Hyperlink"/>
          </w:rPr>
          <w:t>3 Future climate bushfire hazard calculation</w:t>
        </w:r>
        <w:r w:rsidR="003F3766">
          <w:rPr>
            <w:webHidden/>
          </w:rPr>
          <w:tab/>
        </w:r>
        <w:r w:rsidR="003F3766">
          <w:rPr>
            <w:webHidden/>
          </w:rPr>
          <w:fldChar w:fldCharType="begin"/>
        </w:r>
        <w:r w:rsidR="003F3766">
          <w:rPr>
            <w:webHidden/>
          </w:rPr>
          <w:instrText xml:space="preserve"> PAGEREF _Toc355073366 \h </w:instrText>
        </w:r>
        <w:r w:rsidR="003F3766">
          <w:rPr>
            <w:webHidden/>
          </w:rPr>
        </w:r>
        <w:r w:rsidR="003F3766">
          <w:rPr>
            <w:webHidden/>
          </w:rPr>
          <w:fldChar w:fldCharType="separate"/>
        </w:r>
        <w:r w:rsidR="00413858">
          <w:rPr>
            <w:webHidden/>
          </w:rPr>
          <w:t>80</w:t>
        </w:r>
        <w:r w:rsidR="003F3766">
          <w:rPr>
            <w:webHidden/>
          </w:rPr>
          <w:fldChar w:fldCharType="end"/>
        </w:r>
      </w:hyperlink>
    </w:p>
    <w:p w:rsidR="003F3766" w:rsidRDefault="007F11CF">
      <w:pPr>
        <w:pStyle w:val="TableofFigures"/>
        <w:rPr>
          <w:rFonts w:asciiTheme="minorHAnsi" w:eastAsiaTheme="minorEastAsia" w:hAnsiTheme="minorHAnsi" w:cstheme="minorBidi"/>
          <w:sz w:val="22"/>
          <w:szCs w:val="22"/>
        </w:rPr>
      </w:pPr>
      <w:hyperlink w:anchor="_Toc355073367" w:history="1">
        <w:r w:rsidR="003F3766" w:rsidRPr="001E7B68">
          <w:rPr>
            <w:rStyle w:val="Hyperlink"/>
          </w:rPr>
          <w:t xml:space="preserve">Appendix Table </w:t>
        </w:r>
        <w:r w:rsidR="00162079">
          <w:rPr>
            <w:rStyle w:val="Hyperlink"/>
          </w:rPr>
          <w:t>B.</w:t>
        </w:r>
        <w:r w:rsidR="003F3766" w:rsidRPr="001E7B68">
          <w:rPr>
            <w:rStyle w:val="Hyperlink"/>
          </w:rPr>
          <w:t>4. Fire Danger Rating description – Queensland Rural Fire Service.</w:t>
        </w:r>
        <w:r w:rsidR="003F3766">
          <w:rPr>
            <w:webHidden/>
          </w:rPr>
          <w:tab/>
        </w:r>
        <w:r w:rsidR="003F3766">
          <w:rPr>
            <w:webHidden/>
          </w:rPr>
          <w:fldChar w:fldCharType="begin"/>
        </w:r>
        <w:r w:rsidR="003F3766">
          <w:rPr>
            <w:webHidden/>
          </w:rPr>
          <w:instrText xml:space="preserve"> PAGEREF _Toc355073367 \h </w:instrText>
        </w:r>
        <w:r w:rsidR="003F3766">
          <w:rPr>
            <w:webHidden/>
          </w:rPr>
        </w:r>
        <w:r w:rsidR="003F3766">
          <w:rPr>
            <w:webHidden/>
          </w:rPr>
          <w:fldChar w:fldCharType="separate"/>
        </w:r>
        <w:r w:rsidR="00413858">
          <w:rPr>
            <w:webHidden/>
          </w:rPr>
          <w:t>84</w:t>
        </w:r>
        <w:r w:rsidR="003F3766">
          <w:rPr>
            <w:webHidden/>
          </w:rPr>
          <w:fldChar w:fldCharType="end"/>
        </w:r>
      </w:hyperlink>
    </w:p>
    <w:p w:rsidR="00807C7D" w:rsidRDefault="007F11CF">
      <w:pPr>
        <w:pStyle w:val="TableofFigures"/>
        <w:rPr>
          <w:rStyle w:val="Hyperlink"/>
        </w:rPr>
      </w:pPr>
      <w:hyperlink w:anchor="_Toc355073368" w:history="1">
        <w:r w:rsidR="003F3766" w:rsidRPr="001E7B68">
          <w:rPr>
            <w:rStyle w:val="Hyperlink"/>
          </w:rPr>
          <w:t xml:space="preserve">Appendix Table </w:t>
        </w:r>
        <w:r w:rsidR="00162079">
          <w:rPr>
            <w:rStyle w:val="Hyperlink"/>
          </w:rPr>
          <w:t>B.</w:t>
        </w:r>
        <w:r w:rsidR="003F3766" w:rsidRPr="001E7B68">
          <w:rPr>
            <w:rStyle w:val="Hyperlink"/>
          </w:rPr>
          <w:t>5. No. of days per decade at Rockhampton Airport when the fire danger rating (based on FFDI) exceeds Very High, Severe and Extreme thresholds. Three climate change simulations (SIM1=ECHAM, SIM2=GFDL &amp; SIM3=MIROC) employing the A2 emissions scenario are considered.</w:t>
        </w:r>
        <w:r w:rsidR="003F3766">
          <w:rPr>
            <w:webHidden/>
          </w:rPr>
          <w:tab/>
        </w:r>
        <w:r w:rsidR="003F3766">
          <w:rPr>
            <w:webHidden/>
          </w:rPr>
          <w:fldChar w:fldCharType="begin"/>
        </w:r>
        <w:r w:rsidR="003F3766">
          <w:rPr>
            <w:webHidden/>
          </w:rPr>
          <w:instrText xml:space="preserve"> PAGEREF _Toc355073368 \h </w:instrText>
        </w:r>
        <w:r w:rsidR="003F3766">
          <w:rPr>
            <w:webHidden/>
          </w:rPr>
        </w:r>
        <w:r w:rsidR="003F3766">
          <w:rPr>
            <w:webHidden/>
          </w:rPr>
          <w:fldChar w:fldCharType="separate"/>
        </w:r>
        <w:r w:rsidR="00413858">
          <w:rPr>
            <w:webHidden/>
          </w:rPr>
          <w:t>94</w:t>
        </w:r>
        <w:r w:rsidR="003F3766">
          <w:rPr>
            <w:webHidden/>
          </w:rPr>
          <w:fldChar w:fldCharType="end"/>
        </w:r>
      </w:hyperlink>
    </w:p>
    <w:p w:rsidR="008237BB" w:rsidRDefault="00807C7D" w:rsidP="00807C7D">
      <w:pPr>
        <w:pStyle w:val="Headingappendix2"/>
      </w:pPr>
      <w:r>
        <w:rPr>
          <w:rStyle w:val="Hyperlink"/>
          <w:noProof/>
        </w:rPr>
        <w:br w:type="page"/>
      </w:r>
      <w:r w:rsidR="00AD6E08">
        <w:lastRenderedPageBreak/>
        <w:fldChar w:fldCharType="end"/>
      </w:r>
      <w:bookmarkStart w:id="2873" w:name="_Toc346632559"/>
      <w:bookmarkStart w:id="2874" w:name="_Toc346632778"/>
      <w:bookmarkStart w:id="2875" w:name="_Toc346633002"/>
      <w:bookmarkStart w:id="2876" w:name="_Toc346633114"/>
      <w:bookmarkStart w:id="2877" w:name="_Toc346633226"/>
      <w:bookmarkStart w:id="2878" w:name="_Toc347401659"/>
      <w:bookmarkStart w:id="2879" w:name="_Toc347401883"/>
      <w:bookmarkStart w:id="2880" w:name="_Toc347401995"/>
      <w:bookmarkStart w:id="2881" w:name="_Toc347402107"/>
      <w:bookmarkStart w:id="2882" w:name="_Toc347402494"/>
      <w:bookmarkStart w:id="2883" w:name="_Toc349055066"/>
      <w:bookmarkStart w:id="2884" w:name="_Toc349055287"/>
      <w:bookmarkStart w:id="2885" w:name="_Toc349055513"/>
      <w:bookmarkStart w:id="2886" w:name="_Toc349055626"/>
      <w:bookmarkStart w:id="2887" w:name="_Toc349055739"/>
      <w:bookmarkStart w:id="2888" w:name="_Toc349116970"/>
      <w:bookmarkStart w:id="2889" w:name="_Toc350330060"/>
      <w:bookmarkStart w:id="2890" w:name="_Toc354402028"/>
      <w:bookmarkStart w:id="2891" w:name="_Toc354404068"/>
      <w:bookmarkStart w:id="2892" w:name="_Toc354476525"/>
      <w:bookmarkStart w:id="2893" w:name="_Toc354492754"/>
      <w:bookmarkStart w:id="2894" w:name="_Toc354492884"/>
      <w:bookmarkStart w:id="2895" w:name="_Toc354493132"/>
      <w:bookmarkStart w:id="2896" w:name="_Toc354493293"/>
      <w:bookmarkStart w:id="2897" w:name="_Toc354493751"/>
      <w:bookmarkStart w:id="2898" w:name="_Toc354494286"/>
      <w:bookmarkStart w:id="2899" w:name="_Toc354494504"/>
      <w:bookmarkStart w:id="2900" w:name="_Toc354494715"/>
      <w:bookmarkStart w:id="2901" w:name="_Toc354495009"/>
      <w:bookmarkStart w:id="2902" w:name="_Toc354497891"/>
      <w:bookmarkStart w:id="2903" w:name="_Toc354561304"/>
      <w:bookmarkStart w:id="2904" w:name="_Toc355164213"/>
      <w:bookmarkStart w:id="2905" w:name="_Toc355249645"/>
      <w:r w:rsidR="00AD6E08">
        <w:t>I</w:t>
      </w:r>
      <w:r w:rsidR="008237BB">
        <w:t>ntroduction</w:t>
      </w:r>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p>
    <w:p w:rsidR="002F691C" w:rsidRDefault="008237BB" w:rsidP="008237BB">
      <w:pPr>
        <w:pStyle w:val="BodyText"/>
      </w:pPr>
      <w:r>
        <w:t>The dry-tropics of central Queensland result in an annual significant bushfire threat period that generally extends from September to November.</w:t>
      </w:r>
    </w:p>
    <w:p w:rsidR="008237BB" w:rsidRDefault="008237BB" w:rsidP="008237BB">
      <w:pPr>
        <w:pStyle w:val="BodyText"/>
        <w:rPr>
          <w:lang w:val="en-US"/>
        </w:rPr>
      </w:pPr>
      <w:r>
        <w:t xml:space="preserve">Bushfire hazard is correlated with temperature and precipitation patterns, as well as with fuel state and availability. </w:t>
      </w:r>
      <w:r w:rsidRPr="00772F88">
        <w:t>According to IPCC AR4, Australia has experienced increases in ave</w:t>
      </w:r>
      <w:r w:rsidRPr="000844AA">
        <w:t xml:space="preserve">rage maximum and minimum temperatures </w:t>
      </w:r>
      <w:r w:rsidRPr="000844AA">
        <w:rPr>
          <w:lang w:val="en-US"/>
        </w:rPr>
        <w:t>of 0.6</w:t>
      </w:r>
      <w:r>
        <w:rPr>
          <w:lang w:val="en-US"/>
        </w:rPr>
        <w:t> °C</w:t>
      </w:r>
      <w:r w:rsidRPr="000844AA">
        <w:rPr>
          <w:lang w:val="en-US"/>
        </w:rPr>
        <w:t xml:space="preserve"> and 1.2</w:t>
      </w:r>
      <w:r>
        <w:rPr>
          <w:lang w:val="en-US"/>
        </w:rPr>
        <w:t> °C</w:t>
      </w:r>
      <w:r w:rsidRPr="000844AA">
        <w:rPr>
          <w:lang w:val="en-US"/>
        </w:rPr>
        <w:t xml:space="preserve"> respectively over the last century (Hennessy </w:t>
      </w:r>
      <w:r w:rsidRPr="007B6C0C">
        <w:rPr>
          <w:rStyle w:val="Bodytextitalic"/>
        </w:rPr>
        <w:t>et al.,</w:t>
      </w:r>
      <w:r w:rsidRPr="000844AA">
        <w:rPr>
          <w:lang w:val="en-US"/>
        </w:rPr>
        <w:t xml:space="preserve"> 2007). Furthermore, the rate of warming appears to be increasing globally (Trenberth</w:t>
      </w:r>
      <w:r>
        <w:rPr>
          <w:lang w:val="en-US"/>
        </w:rPr>
        <w:t xml:space="preserve"> </w:t>
      </w:r>
      <w:r w:rsidRPr="007B6C0C">
        <w:rPr>
          <w:rStyle w:val="Bodytextitalic"/>
        </w:rPr>
        <w:t>et al.,</w:t>
      </w:r>
      <w:r w:rsidRPr="000844AA">
        <w:rPr>
          <w:lang w:val="en-US"/>
        </w:rPr>
        <w:t xml:space="preserve"> 2007). </w:t>
      </w:r>
      <w:r>
        <w:t xml:space="preserve">Bushfires are exacerbated by the occurrence of heatwaves and droughts. </w:t>
      </w:r>
      <w:r w:rsidRPr="000844AA">
        <w:rPr>
          <w:lang w:val="en-US"/>
        </w:rPr>
        <w:t>Australian climate change projections</w:t>
      </w:r>
      <w:r w:rsidRPr="000844AA">
        <w:t xml:space="preserve"> based on the IPCC information (Whetton</w:t>
      </w:r>
      <w:r>
        <w:t>,</w:t>
      </w:r>
      <w:r w:rsidRPr="000844AA">
        <w:t xml:space="preserve"> 2011) indicate a significant increase in the number of days with maximum temperatures in excess of 35</w:t>
      </w:r>
      <w:r>
        <w:rPr>
          <w:lang w:val="en-US"/>
        </w:rPr>
        <w:t> °C</w:t>
      </w:r>
      <w:r w:rsidRPr="000844AA">
        <w:t xml:space="preserve"> for a range of capital cities and major regional centres. Projections also indicate longer periods of extreme heat and more severe droughts interspersed with wetter phases leading to flooding (CSIRO and BoM, 2012). </w:t>
      </w:r>
      <w:r w:rsidRPr="000844AA">
        <w:rPr>
          <w:lang w:val="en-US"/>
        </w:rPr>
        <w:t xml:space="preserve">Concurrent changes in precipitation and other </w:t>
      </w:r>
      <w:r>
        <w:rPr>
          <w:lang w:val="en-US"/>
        </w:rPr>
        <w:t>environmental</w:t>
      </w:r>
      <w:r w:rsidRPr="000844AA">
        <w:t xml:space="preserve"> factors such as fire regimes are</w:t>
      </w:r>
      <w:r>
        <w:t xml:space="preserve"> </w:t>
      </w:r>
      <w:r w:rsidRPr="000844AA">
        <w:t>likely to have a significant effect</w:t>
      </w:r>
      <w:r w:rsidR="00DD02DF">
        <w:t xml:space="preserve"> on</w:t>
      </w:r>
      <w:r w:rsidRPr="000844AA">
        <w:t xml:space="preserve"> </w:t>
      </w:r>
      <w:r>
        <w:t xml:space="preserve">the diversity and distribution of species and ecosystems. All of these factors can have a significant impact </w:t>
      </w:r>
      <w:r w:rsidRPr="000844AA">
        <w:t>on</w:t>
      </w:r>
      <w:r>
        <w:t xml:space="preserve"> future </w:t>
      </w:r>
      <w:r w:rsidRPr="000844AA">
        <w:t>bushfire risk to urban and peri-urban communities</w:t>
      </w:r>
      <w:r w:rsidRPr="000844AA">
        <w:rPr>
          <w:lang w:val="en-US"/>
        </w:rPr>
        <w:t>.</w:t>
      </w:r>
    </w:p>
    <w:p w:rsidR="008237BB" w:rsidRDefault="008237BB" w:rsidP="008237BB">
      <w:pPr>
        <w:pStyle w:val="BodyText"/>
        <w:rPr>
          <w:lang w:val="en-US"/>
        </w:rPr>
      </w:pPr>
      <w:r w:rsidRPr="000844AA">
        <w:rPr>
          <w:lang w:val="en-US"/>
        </w:rPr>
        <w:t>A recent report “Turn down the heat: Why a 4</w:t>
      </w:r>
      <w:r>
        <w:rPr>
          <w:lang w:val="en-US"/>
        </w:rPr>
        <w:t> °C</w:t>
      </w:r>
      <w:r w:rsidRPr="000844AA">
        <w:rPr>
          <w:lang w:val="en-US"/>
        </w:rPr>
        <w:t xml:space="preserve"> warmer world must be avoided” commissioned by the World Bank (World Bank</w:t>
      </w:r>
      <w:r>
        <w:rPr>
          <w:lang w:val="en-US"/>
        </w:rPr>
        <w:t>,</w:t>
      </w:r>
      <w:r w:rsidRPr="000844AA">
        <w:rPr>
          <w:lang w:val="en-US"/>
        </w:rPr>
        <w:t xml:space="preserve"> 2012) warns that the </w:t>
      </w:r>
      <w:r>
        <w:rPr>
          <w:lang w:val="en-US"/>
        </w:rPr>
        <w:t>world</w:t>
      </w:r>
      <w:r w:rsidRPr="000844AA">
        <w:t xml:space="preserve"> will heat up by 4</w:t>
      </w:r>
      <w:r>
        <w:rPr>
          <w:lang w:val="en-US"/>
        </w:rPr>
        <w:t> °C</w:t>
      </w:r>
      <w:r w:rsidRPr="000844AA">
        <w:t xml:space="preserve"> at the end of the century if the global community fails to act on climate change. </w:t>
      </w:r>
      <w:r>
        <w:t>In line with the above</w:t>
      </w:r>
      <w:r w:rsidRPr="000844AA">
        <w:t xml:space="preserve">, </w:t>
      </w:r>
      <w:r>
        <w:rPr>
          <w:lang w:val="en-US"/>
        </w:rPr>
        <w:t>investigation</w:t>
      </w:r>
      <w:r w:rsidRPr="000844AA">
        <w:rPr>
          <w:lang w:val="en-US"/>
        </w:rPr>
        <w:t xml:space="preserve"> </w:t>
      </w:r>
      <w:r>
        <w:rPr>
          <w:lang w:val="en-US"/>
        </w:rPr>
        <w:t xml:space="preserve">into </w:t>
      </w:r>
      <w:r w:rsidRPr="000844AA">
        <w:rPr>
          <w:lang w:val="en-US"/>
        </w:rPr>
        <w:t>the impact of climate change on bushfire hazard conside</w:t>
      </w:r>
      <w:r>
        <w:t>red</w:t>
      </w:r>
      <w:r w:rsidRPr="000844AA">
        <w:t xml:space="preserve"> the IPCC SRES A2 emissions scenario which pro</w:t>
      </w:r>
      <w:r w:rsidRPr="000844AA">
        <w:rPr>
          <w:lang w:val="en-US"/>
        </w:rPr>
        <w:t xml:space="preserve">jects an average </w:t>
      </w:r>
      <w:r>
        <w:rPr>
          <w:lang w:val="en-US"/>
        </w:rPr>
        <w:t>surface air temperature</w:t>
      </w:r>
      <w:r w:rsidRPr="000844AA">
        <w:rPr>
          <w:lang w:val="en-US"/>
        </w:rPr>
        <w:t xml:space="preserve"> of 3.</w:t>
      </w:r>
      <w:r>
        <w:rPr>
          <w:lang w:val="en-US"/>
        </w:rPr>
        <w:t>4 °C</w:t>
      </w:r>
      <w:r w:rsidRPr="000844AA">
        <w:rPr>
          <w:lang w:val="en-US"/>
        </w:rPr>
        <w:t xml:space="preserve"> and a range of 2.</w:t>
      </w:r>
      <w:r>
        <w:rPr>
          <w:lang w:val="en-US"/>
        </w:rPr>
        <w:t>0</w:t>
      </w:r>
      <w:r w:rsidRPr="000844AA">
        <w:rPr>
          <w:lang w:val="en-US"/>
        </w:rPr>
        <w:t xml:space="preserve"> – </w:t>
      </w:r>
      <w:r>
        <w:rPr>
          <w:lang w:val="en-US"/>
        </w:rPr>
        <w:t>5.4 °C</w:t>
      </w:r>
      <w:r w:rsidRPr="000844AA">
        <w:rPr>
          <w:lang w:val="en-US"/>
        </w:rPr>
        <w:t xml:space="preserve"> (global warming) from the results of a number of complex climate models with a range of climate sensitivities (IPCC, 200</w:t>
      </w:r>
      <w:r>
        <w:rPr>
          <w:lang w:val="en-US"/>
        </w:rPr>
        <w:t>7a</w:t>
      </w:r>
      <w:r w:rsidRPr="000844AA">
        <w:rPr>
          <w:lang w:val="en-US"/>
        </w:rPr>
        <w:t>). Three</w:t>
      </w:r>
      <w:r w:rsidRPr="00F02030">
        <w:t xml:space="preserve"> </w:t>
      </w:r>
      <w:r>
        <w:t>GCMs</w:t>
      </w:r>
      <w:r w:rsidRPr="000844AA">
        <w:t xml:space="preserve"> utilising the A2 emissions scenario were employed to consider the projection for the future climate of the Rockhampton region. </w:t>
      </w:r>
      <w:r w:rsidRPr="000844AA">
        <w:rPr>
          <w:lang w:val="en-US"/>
        </w:rPr>
        <w:t>The climate change projections</w:t>
      </w:r>
      <w:r w:rsidRPr="002D05F5">
        <w:t xml:space="preserve"> utilised</w:t>
      </w:r>
      <w:r w:rsidRPr="000844AA">
        <w:rPr>
          <w:lang w:val="en-US"/>
        </w:rPr>
        <w:t xml:space="preserve"> indicate that the</w:t>
      </w:r>
      <w:r w:rsidRPr="00A60BBD">
        <w:t xml:space="preserve"> Rockhampton</w:t>
      </w:r>
      <w:r w:rsidRPr="000844AA">
        <w:rPr>
          <w:lang w:val="en-US"/>
        </w:rPr>
        <w:t xml:space="preserve"> region is likely to become hotter</w:t>
      </w:r>
      <w:r w:rsidRPr="000844AA">
        <w:t xml:space="preserve"> and </w:t>
      </w:r>
      <w:r w:rsidRPr="000844AA">
        <w:rPr>
          <w:lang w:val="en-US"/>
        </w:rPr>
        <w:t>possibly slightly drier in the future.</w:t>
      </w:r>
    </w:p>
    <w:p w:rsidR="008237BB" w:rsidRPr="009A3F95" w:rsidRDefault="008237BB" w:rsidP="006B24B4">
      <w:pPr>
        <w:pStyle w:val="Headingappendix2"/>
      </w:pPr>
      <w:bookmarkStart w:id="2906" w:name="_Toc340842961"/>
      <w:bookmarkStart w:id="2907" w:name="_Toc342638499"/>
      <w:bookmarkStart w:id="2908" w:name="_Toc346260998"/>
      <w:bookmarkStart w:id="2909" w:name="_Toc346632560"/>
      <w:bookmarkStart w:id="2910" w:name="_Toc346632779"/>
      <w:bookmarkStart w:id="2911" w:name="_Toc346633003"/>
      <w:bookmarkStart w:id="2912" w:name="_Toc346633115"/>
      <w:bookmarkStart w:id="2913" w:name="_Toc346633227"/>
      <w:bookmarkStart w:id="2914" w:name="_Toc347401660"/>
      <w:bookmarkStart w:id="2915" w:name="_Toc347401884"/>
      <w:bookmarkStart w:id="2916" w:name="_Toc347401996"/>
      <w:bookmarkStart w:id="2917" w:name="_Toc347402108"/>
      <w:bookmarkStart w:id="2918" w:name="_Toc347402495"/>
      <w:bookmarkStart w:id="2919" w:name="_Toc349055067"/>
      <w:bookmarkStart w:id="2920" w:name="_Toc349055288"/>
      <w:bookmarkStart w:id="2921" w:name="_Toc349055514"/>
      <w:bookmarkStart w:id="2922" w:name="_Toc349055627"/>
      <w:bookmarkStart w:id="2923" w:name="_Toc349055740"/>
      <w:bookmarkStart w:id="2924" w:name="_Toc349116971"/>
      <w:bookmarkStart w:id="2925" w:name="_Toc350330061"/>
      <w:bookmarkStart w:id="2926" w:name="_Toc354402029"/>
      <w:bookmarkStart w:id="2927" w:name="_Toc354404069"/>
      <w:bookmarkStart w:id="2928" w:name="_Toc354476526"/>
      <w:bookmarkStart w:id="2929" w:name="_Toc354492755"/>
      <w:bookmarkStart w:id="2930" w:name="_Toc354492885"/>
      <w:bookmarkStart w:id="2931" w:name="_Toc354493133"/>
      <w:bookmarkStart w:id="2932" w:name="_Toc354493294"/>
      <w:bookmarkStart w:id="2933" w:name="_Toc354493752"/>
      <w:bookmarkStart w:id="2934" w:name="_Toc354494287"/>
      <w:bookmarkStart w:id="2935" w:name="_Toc354494505"/>
      <w:bookmarkStart w:id="2936" w:name="_Toc354494716"/>
      <w:bookmarkStart w:id="2937" w:name="_Toc354495010"/>
      <w:bookmarkStart w:id="2938" w:name="_Toc354497892"/>
      <w:bookmarkStart w:id="2939" w:name="_Toc354561305"/>
      <w:bookmarkStart w:id="2940" w:name="_Toc355164214"/>
      <w:bookmarkStart w:id="2941" w:name="_Toc355249646"/>
      <w:r w:rsidRPr="009A3F95">
        <w:t>Method</w:t>
      </w:r>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p>
    <w:p w:rsidR="008237BB" w:rsidRPr="009754CA" w:rsidRDefault="008237BB" w:rsidP="00935848">
      <w:pPr>
        <w:pStyle w:val="Headingappendix3"/>
      </w:pPr>
      <w:bookmarkStart w:id="2942" w:name="_Toc340842962"/>
      <w:bookmarkStart w:id="2943" w:name="_Toc342638500"/>
      <w:bookmarkStart w:id="2944" w:name="_Toc346260999"/>
      <w:bookmarkStart w:id="2945" w:name="_Toc346632561"/>
      <w:bookmarkStart w:id="2946" w:name="_Toc346632780"/>
      <w:bookmarkStart w:id="2947" w:name="_Toc346633004"/>
      <w:bookmarkStart w:id="2948" w:name="_Toc346633116"/>
      <w:bookmarkStart w:id="2949" w:name="_Toc346633228"/>
      <w:bookmarkStart w:id="2950" w:name="_Toc347401661"/>
      <w:bookmarkStart w:id="2951" w:name="_Toc347401885"/>
      <w:bookmarkStart w:id="2952" w:name="_Toc347401997"/>
      <w:bookmarkStart w:id="2953" w:name="_Toc347402109"/>
      <w:bookmarkStart w:id="2954" w:name="_Toc347402496"/>
      <w:bookmarkStart w:id="2955" w:name="_Toc349055068"/>
      <w:bookmarkStart w:id="2956" w:name="_Toc349055289"/>
      <w:bookmarkStart w:id="2957" w:name="_Toc349055515"/>
      <w:bookmarkStart w:id="2958" w:name="_Toc349055628"/>
      <w:bookmarkStart w:id="2959" w:name="_Toc349055741"/>
      <w:bookmarkStart w:id="2960" w:name="_Toc349116972"/>
      <w:bookmarkStart w:id="2961" w:name="_Toc350330062"/>
      <w:bookmarkStart w:id="2962" w:name="_Toc354402030"/>
      <w:bookmarkStart w:id="2963" w:name="_Toc354476527"/>
      <w:bookmarkStart w:id="2964" w:name="_Toc354492756"/>
      <w:bookmarkStart w:id="2965" w:name="_Toc354492886"/>
      <w:bookmarkStart w:id="2966" w:name="_Toc354493134"/>
      <w:bookmarkStart w:id="2967" w:name="_Toc354493295"/>
      <w:bookmarkStart w:id="2968" w:name="_Toc354493753"/>
      <w:bookmarkStart w:id="2969" w:name="_Toc354494288"/>
      <w:bookmarkStart w:id="2970" w:name="_Toc354494506"/>
      <w:bookmarkStart w:id="2971" w:name="_Toc354494717"/>
      <w:bookmarkStart w:id="2972" w:name="_Toc354495011"/>
      <w:bookmarkStart w:id="2973" w:name="_Toc354497893"/>
      <w:bookmarkStart w:id="2974" w:name="_Toc354561306"/>
      <w:bookmarkStart w:id="2975" w:name="_Toc355164215"/>
      <w:bookmarkStart w:id="2976" w:name="_Toc355249647"/>
      <w:r>
        <w:t>Current Climate</w:t>
      </w:r>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p>
    <w:p w:rsidR="008237BB" w:rsidRDefault="008237BB" w:rsidP="008237BB">
      <w:pPr>
        <w:pStyle w:val="BodyText"/>
        <w:rPr>
          <w:szCs w:val="21"/>
        </w:rPr>
      </w:pPr>
      <w:r w:rsidRPr="000844AA">
        <w:t>In Australia, fire weather hazard is quantified using either the Forest Fire Danger Index (FFDI) or the Grassland Fire Danger Index (GFDI) (Luke and McArthur 1978).</w:t>
      </w:r>
      <w:r>
        <w:t xml:space="preserve"> </w:t>
      </w:r>
      <w:r w:rsidRPr="008C6380">
        <w:t>The FFDI is used in all States and Territories as a standard measure of fire danger.</w:t>
      </w:r>
      <w:r>
        <w:t xml:space="preserve"> </w:t>
      </w:r>
      <w:r w:rsidRPr="008C6380">
        <w:t>The FFDI is designed for forested vegetation types, therefore an additional weighting,</w:t>
      </w:r>
      <w:r>
        <w:t xml:space="preserve"> </w:t>
      </w:r>
      <w:r w:rsidRPr="008C6380">
        <w:t>based on the vegetation type, needs to be applied to account for less heavily-loaded</w:t>
      </w:r>
      <w:r>
        <w:t xml:space="preserve"> </w:t>
      </w:r>
      <w:r w:rsidRPr="008C6380">
        <w:t>areas (e.g. open forests, grasslands or urban areas)</w:t>
      </w:r>
      <w:r>
        <w:t xml:space="preserve">. </w:t>
      </w:r>
      <w:r w:rsidRPr="000844AA">
        <w:t>Both the FFDI and the GFDI consider weather observations and each index considers a dryness factor: FFDI includes a ‘drought factor’ and GFDI considers a ‘curing factor’. Weather observations (temperature, rel</w:t>
      </w:r>
      <w:r>
        <w:t>ative humidity and wind speed) we</w:t>
      </w:r>
      <w:r w:rsidRPr="000844AA">
        <w:t xml:space="preserve">re combined with an estimate of the fuel state to predict likely fire behaviour if an ignition eventuates. The ‘drought factor’ is used for forests </w:t>
      </w:r>
      <w:r>
        <w:t>in the combined</w:t>
      </w:r>
      <w:r w:rsidRPr="000844AA">
        <w:t xml:space="preserve"> estimate </w:t>
      </w:r>
      <w:r>
        <w:t>of</w:t>
      </w:r>
      <w:r w:rsidRPr="000844AA">
        <w:t xml:space="preserve"> fuel state, and is based on daily rainfall and the period of time elapsed since the last rain. For grasslands, the ‘curing factor’ is used </w:t>
      </w:r>
      <w:r>
        <w:t xml:space="preserve">in the combined estimate of </w:t>
      </w:r>
      <w:r w:rsidRPr="000844AA">
        <w:t xml:space="preserve">fuel state. Curing describes the annual or seasonal cycle of grasses dying and drying out, and </w:t>
      </w:r>
      <w:r w:rsidRPr="00906611">
        <w:rPr>
          <w:szCs w:val="21"/>
        </w:rPr>
        <w:t>is defined as the progressive senescence and drying out of grass</w:t>
      </w:r>
      <w:r>
        <w:rPr>
          <w:szCs w:val="21"/>
        </w:rPr>
        <w:t xml:space="preserve"> (100% is fully cured grass). The curing factor</w:t>
      </w:r>
      <w:r w:rsidRPr="00906611">
        <w:rPr>
          <w:szCs w:val="21"/>
        </w:rPr>
        <w:t xml:space="preserve"> can be measured via destructive sampling, visual observations and remote sensing.</w:t>
      </w:r>
      <w:r>
        <w:rPr>
          <w:szCs w:val="21"/>
        </w:rPr>
        <w:t xml:space="preserve"> For this study only FFDI was calculated and the GFDI was scaled from the historical FFDI/GFDI measurements (for those instances at Rockhampton airport numbering 22 over nearly 40 years of daily records where FFDI &gt; 50).</w:t>
      </w:r>
    </w:p>
    <w:p w:rsidR="008237BB" w:rsidRDefault="008237BB" w:rsidP="008237BB">
      <w:pPr>
        <w:pStyle w:val="BodyText"/>
      </w:pPr>
      <w:r>
        <w:lastRenderedPageBreak/>
        <w:t>Previously, studies of bushfire exposure have included analysis of the fuel, e.g. remote sensing and deriving a fuel map from vegetation classifications, or FFDI has been calculated for a single location, e.g. a weather observation station or location for a prescribed burn and been considered representative of the region. The calculation of FFDI for a region based on a weather observation point is limited in application where the area being considered is not well represented by the single point location. In the case of calculating FFDI at the Rockhampton Airport, this location does not represent the Rockhampton region’s diversity in fuel (vegetation) and topography including the impact that the proximity of the sea has on local weather conditions, including temperature. To consider the spatial variation in FFDI vegetation data was derived for the region and the varying weather conditions across the region were modelled using fine scale weather modelling techniques. In this way FFDI can be calculated to represent the spatial variation across the region due to varying fuel and weather factors.</w:t>
      </w:r>
    </w:p>
    <w:p w:rsidR="002F691C" w:rsidRDefault="008237BB" w:rsidP="008237BB">
      <w:pPr>
        <w:pStyle w:val="BodyText"/>
      </w:pPr>
      <w:r w:rsidRPr="008C6380">
        <w:t>To assess the bushfire hazard across the Rockhampton landscape, the observational</w:t>
      </w:r>
      <w:r>
        <w:t xml:space="preserve"> </w:t>
      </w:r>
      <w:r w:rsidRPr="008C6380">
        <w:t>weather record at Rockhampton Airport was used to determine suitable dates for fine</w:t>
      </w:r>
      <w:r>
        <w:t>-</w:t>
      </w:r>
      <w:r w:rsidRPr="008C6380">
        <w:t>scale</w:t>
      </w:r>
      <w:r>
        <w:t xml:space="preserve"> </w:t>
      </w:r>
      <w:r w:rsidRPr="008C6380">
        <w:t>simulation of extreme fire weather conditions using a numerical weather</w:t>
      </w:r>
      <w:r>
        <w:t xml:space="preserve"> </w:t>
      </w:r>
      <w:r w:rsidRPr="008C6380">
        <w:t>prediction model</w:t>
      </w:r>
      <w:r>
        <w:t>, the Weather Research &amp; Forecasting Model (WRF</w:t>
      </w:r>
      <w:r>
        <w:rPr>
          <w:rStyle w:val="FootnoteReference"/>
        </w:rPr>
        <w:footnoteReference w:id="22"/>
      </w:r>
      <w:r>
        <w:t>)</w:t>
      </w:r>
      <w:r w:rsidRPr="008C6380">
        <w:t>.</w:t>
      </w:r>
      <w:r>
        <w:t xml:space="preserve"> </w:t>
      </w:r>
      <w:r w:rsidRPr="008C6380">
        <w:t>Analysis of the observation record at Rockhampton Airport</w:t>
      </w:r>
      <w:r>
        <w:t xml:space="preserve"> </w:t>
      </w:r>
      <w:r w:rsidRPr="008C6380">
        <w:t xml:space="preserve">(1 January 1973 – 30 June 2011) determined the worst </w:t>
      </w:r>
      <w:r>
        <w:t>20</w:t>
      </w:r>
      <w:r w:rsidRPr="008C6380">
        <w:t xml:space="preserve"> weather fire days,</w:t>
      </w:r>
      <w:r>
        <w:t xml:space="preserve"> </w:t>
      </w:r>
      <w:r w:rsidRPr="008C6380">
        <w:t>based on FFDI calculated from daily observations and assuming a constant drought</w:t>
      </w:r>
      <w:r>
        <w:t xml:space="preserve"> </w:t>
      </w:r>
      <w:r w:rsidRPr="008C6380">
        <w:t>factor. Bushfires had occurred in the Rockham</w:t>
      </w:r>
      <w:r>
        <w:t>pton region on some</w:t>
      </w:r>
      <w:r w:rsidRPr="008C6380">
        <w:t xml:space="preserve"> of</w:t>
      </w:r>
      <w:r>
        <w:t xml:space="preserve"> </w:t>
      </w:r>
      <w:r w:rsidRPr="008C6380">
        <w:t>these days.</w:t>
      </w:r>
    </w:p>
    <w:p w:rsidR="008237BB" w:rsidRDefault="008237BB" w:rsidP="008237BB">
      <w:pPr>
        <w:pStyle w:val="BodyText"/>
      </w:pPr>
      <w:r w:rsidRPr="008C6380">
        <w:t xml:space="preserve">From these </w:t>
      </w:r>
      <w:r>
        <w:t>20</w:t>
      </w:r>
      <w:r w:rsidRPr="008C6380">
        <w:t xml:space="preserve"> days, </w:t>
      </w:r>
      <w:r>
        <w:t>6</w:t>
      </w:r>
      <w:r w:rsidRPr="008C6380">
        <w:t xml:space="preserve"> were chosen</w:t>
      </w:r>
      <w:r>
        <w:t xml:space="preserve"> </w:t>
      </w:r>
      <w:r w:rsidRPr="008C6380">
        <w:t>(05/11/1994, 06/11/1994, 07/11/1994, 14/10/2009,</w:t>
      </w:r>
      <w:r>
        <w:t xml:space="preserve"> </w:t>
      </w:r>
      <w:r w:rsidRPr="008C6380">
        <w:t>15/10/2009, and 16/10/2009)</w:t>
      </w:r>
      <w:r>
        <w:t xml:space="preserve"> </w:t>
      </w:r>
      <w:r w:rsidRPr="008C6380">
        <w:t>for high-resolution simulation using the</w:t>
      </w:r>
      <w:r>
        <w:t xml:space="preserve"> WRF</w:t>
      </w:r>
      <w:r w:rsidRPr="008C6380">
        <w:t xml:space="preserve"> model at 270</w:t>
      </w:r>
      <w:r>
        <w:t> m</w:t>
      </w:r>
      <w:r w:rsidRPr="008C6380">
        <w:t xml:space="preserve"> resolution</w:t>
      </w:r>
      <w:r>
        <w:t xml:space="preserve"> </w:t>
      </w:r>
      <w:r w:rsidRPr="008C6380">
        <w:t>over the Rockhampton</w:t>
      </w:r>
      <w:r>
        <w:t xml:space="preserve"> study</w:t>
      </w:r>
      <w:r w:rsidRPr="008C6380">
        <w:t xml:space="preserve"> region</w:t>
      </w:r>
      <w:r>
        <w:t>. The WRF model simulated the weather conditions across the Rockhampton region from the Rockhampton Airport observations</w:t>
      </w:r>
      <w:r w:rsidRPr="008C6380">
        <w:t xml:space="preserve"> </w:t>
      </w:r>
      <w:r>
        <w:t xml:space="preserve">and a range of far-field observations. Boundary conditions for the WRF model were supplied from the US National Center for Environmental Prediction (NCEP) operational analyses available at </w:t>
      </w:r>
      <w:hyperlink r:id="rId84" w:tooltip="NOAA website" w:history="1">
        <w:r w:rsidRPr="00CC6504">
          <w:rPr>
            <w:rStyle w:val="Hyperlink"/>
          </w:rPr>
          <w:t>http://mag.ncep.noaa.gov/NCOMAGWEB/appcontroller</w:t>
        </w:r>
      </w:hyperlink>
      <w:r>
        <w:t xml:space="preserve"> .</w:t>
      </w:r>
    </w:p>
    <w:p w:rsidR="002F691C" w:rsidRDefault="008237BB" w:rsidP="008237BB">
      <w:pPr>
        <w:pStyle w:val="BodyText"/>
      </w:pPr>
      <w:r w:rsidRPr="008C6380">
        <w:t xml:space="preserve">The numerical weather model was run on a smaller area than the </w:t>
      </w:r>
      <w:r>
        <w:t>Rockhampton</w:t>
      </w:r>
      <w:r w:rsidRPr="008C6380">
        <w:t xml:space="preserve"> study region to</w:t>
      </w:r>
      <w:r>
        <w:t xml:space="preserve"> </w:t>
      </w:r>
      <w:r w:rsidRPr="008C6380">
        <w:t>ascertain the appropriateness, accuracy and timeliness of the numerical weather</w:t>
      </w:r>
      <w:r>
        <w:t xml:space="preserve"> </w:t>
      </w:r>
      <w:r w:rsidRPr="008C6380">
        <w:t>prediction model. Model output at the grid-point corresponding to the location of</w:t>
      </w:r>
      <w:r>
        <w:t xml:space="preserve"> </w:t>
      </w:r>
      <w:r w:rsidRPr="008C6380">
        <w:t>Rockhampton Airport and Yeppoon were compared to the observations for the</w:t>
      </w:r>
      <w:r>
        <w:t xml:space="preserve"> </w:t>
      </w:r>
      <w:r w:rsidRPr="008C6380">
        <w:t>corresponding dates, to estimate the magnitude and direction of bias in the</w:t>
      </w:r>
      <w:r>
        <w:t xml:space="preserve"> </w:t>
      </w:r>
      <w:r w:rsidRPr="008C6380">
        <w:t>simulations. Comparison of quantiles of simulated and observed temperature, relative</w:t>
      </w:r>
      <w:r>
        <w:t xml:space="preserve"> humidity and 10 m height</w:t>
      </w:r>
      <w:r w:rsidRPr="008C6380">
        <w:t xml:space="preserve"> wind speed revealed a reasonable match between the modelled</w:t>
      </w:r>
      <w:r>
        <w:t xml:space="preserve"> </w:t>
      </w:r>
      <w:r w:rsidRPr="008C6380">
        <w:t>and observed values of the first two elements, but wind speed was significantly underestimated</w:t>
      </w:r>
      <w:r>
        <w:t xml:space="preserve"> </w:t>
      </w:r>
      <w:r w:rsidRPr="008C6380">
        <w:t>in the simulations. A simple correction factor was applied to improve the</w:t>
      </w:r>
      <w:r>
        <w:t xml:space="preserve"> </w:t>
      </w:r>
      <w:r w:rsidRPr="008C6380">
        <w:t>quality of the match between the observed and simulated 10</w:t>
      </w:r>
      <w:r>
        <w:t> m height</w:t>
      </w:r>
      <w:r w:rsidRPr="008C6380">
        <w:t xml:space="preserve"> wind speeds.</w:t>
      </w:r>
    </w:p>
    <w:p w:rsidR="002F691C" w:rsidRDefault="008237BB" w:rsidP="008237BB">
      <w:pPr>
        <w:pStyle w:val="BodyText"/>
      </w:pPr>
      <w:r w:rsidRPr="008C6380">
        <w:t>From the temperature, relative humidity and wind speeds generated by the simulations</w:t>
      </w:r>
      <w:r>
        <w:t xml:space="preserve"> </w:t>
      </w:r>
      <w:r w:rsidRPr="008C6380">
        <w:t xml:space="preserve">(and corrected where appropriate), the maximum FFDI for each simulated day </w:t>
      </w:r>
      <w:r>
        <w:t xml:space="preserve">was </w:t>
      </w:r>
      <w:r w:rsidRPr="008C6380">
        <w:t>calculated, again using a constant drought factor. Each of these FFDI maps w</w:t>
      </w:r>
      <w:r>
        <w:t>ere</w:t>
      </w:r>
      <w:r w:rsidRPr="008C6380">
        <w:t xml:space="preserve"> then</w:t>
      </w:r>
      <w:r>
        <w:t xml:space="preserve"> </w:t>
      </w:r>
      <w:r w:rsidRPr="008C6380">
        <w:t>normalised to the value of the FFDI at the grid point corresponding to Rockhampton</w:t>
      </w:r>
      <w:r>
        <w:t xml:space="preserve"> </w:t>
      </w:r>
      <w:r w:rsidRPr="008C6380">
        <w:t>Airport – i.e. each grid point in the map defines the ratio of the FFDI at that point</w:t>
      </w:r>
      <w:r>
        <w:t xml:space="preserve"> </w:t>
      </w:r>
      <w:r w:rsidRPr="008C6380">
        <w:t xml:space="preserve">relative to the FFDI at Rockhampton Airport. The final output </w:t>
      </w:r>
      <w:r>
        <w:t>was</w:t>
      </w:r>
      <w:r w:rsidRPr="008C6380">
        <w:t xml:space="preserve"> an average of the six</w:t>
      </w:r>
      <w:r>
        <w:t xml:space="preserve"> </w:t>
      </w:r>
      <w:r w:rsidRPr="008C6380">
        <w:t>days of FFDI ratio maps, providing a map of the spatial distribution of FFDI for</w:t>
      </w:r>
      <w:r>
        <w:t xml:space="preserve"> </w:t>
      </w:r>
      <w:r w:rsidRPr="008C6380">
        <w:t>extreme fire weather days.</w:t>
      </w:r>
    </w:p>
    <w:p w:rsidR="002F691C" w:rsidRDefault="008237BB" w:rsidP="008237BB">
      <w:pPr>
        <w:pStyle w:val="BodyText"/>
      </w:pPr>
      <w:r w:rsidRPr="008C6380">
        <w:lastRenderedPageBreak/>
        <w:t xml:space="preserve">The </w:t>
      </w:r>
      <w:r>
        <w:t>ARI</w:t>
      </w:r>
      <w:r w:rsidRPr="008C6380">
        <w:t xml:space="preserve"> of FFDI at Rockhampton Airport was calculated from observations</w:t>
      </w:r>
      <w:r>
        <w:t xml:space="preserve"> </w:t>
      </w:r>
      <w:r w:rsidRPr="008C6380">
        <w:t>(Lucas</w:t>
      </w:r>
      <w:r>
        <w:t>,</w:t>
      </w:r>
      <w:r w:rsidRPr="008C6380">
        <w:t xml:space="preserve"> 2010). For </w:t>
      </w:r>
      <w:r>
        <w:t>ARI</w:t>
      </w:r>
      <w:r w:rsidRPr="008C6380">
        <w:t>s greater than the length of the record (39 years) the</w:t>
      </w:r>
      <w:r>
        <w:t xml:space="preserve"> </w:t>
      </w:r>
      <w:r w:rsidRPr="008C6380">
        <w:t xml:space="preserve">observations of FFDI were fitted </w:t>
      </w:r>
      <w:r>
        <w:t>with</w:t>
      </w:r>
      <w:r w:rsidRPr="008C6380">
        <w:t xml:space="preserve"> a Generalised Extreme Value (GEV) distribution</w:t>
      </w:r>
      <w:r>
        <w:t xml:space="preserve"> (Generalised Pareto Distribution) </w:t>
      </w:r>
      <w:r w:rsidRPr="008C6380">
        <w:t xml:space="preserve">permitting the calculation of </w:t>
      </w:r>
      <w:r>
        <w:t>ARI hazard</w:t>
      </w:r>
      <w:r w:rsidRPr="008C6380">
        <w:t xml:space="preserve"> outside the range of the dataset (</w:t>
      </w:r>
      <w:r>
        <w:fldChar w:fldCharType="begin"/>
      </w:r>
      <w:r>
        <w:instrText xml:space="preserve"> REF _Ref350337489 \h </w:instrText>
      </w:r>
      <w:r>
        <w:fldChar w:fldCharType="separate"/>
      </w:r>
      <w:r w:rsidR="00413858">
        <w:t xml:space="preserve">Appendix Figure </w:t>
      </w:r>
      <w:r w:rsidR="00413858">
        <w:rPr>
          <w:noProof/>
        </w:rPr>
        <w:t>B</w:t>
      </w:r>
      <w:r w:rsidR="00413858">
        <w:t>.</w:t>
      </w:r>
      <w:r w:rsidR="00413858">
        <w:rPr>
          <w:noProof/>
        </w:rPr>
        <w:t>1</w:t>
      </w:r>
      <w:r>
        <w:fldChar w:fldCharType="end"/>
      </w:r>
      <w:r w:rsidRPr="008C6380">
        <w:t>).</w:t>
      </w:r>
    </w:p>
    <w:p w:rsidR="00D0344B" w:rsidRDefault="00D0344B" w:rsidP="00253307">
      <w:pPr>
        <w:pStyle w:val="Figuresandimagescentred"/>
      </w:pPr>
      <w:r w:rsidRPr="00253307">
        <w:rPr>
          <w:noProof/>
        </w:rPr>
        <w:drawing>
          <wp:inline distT="0" distB="0" distL="0" distR="0" wp14:anchorId="124C827C" wp14:editId="1C369269">
            <wp:extent cx="3691255" cy="3258185"/>
            <wp:effectExtent l="19050" t="19050" r="23495" b="18415"/>
            <wp:docPr id="99" name="Picture 4" descr="This graph shows the FFDI plotted for those instances at Rockhampton airport, numbering 22, over nearly 40 years of daily records where FFDI &gt; 50. The predicted (GPD) FFDI is shown with 95% confidence limits which shows most observed FFDI are very close to the predicted line however the last two, at around 20 and 40 year ARI (ARI is equivalent to Return Period) are just below and over, respectively, the upper 95% confidence li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4" descr="This graph shows the FFDI plotted for those instances at Rockhampton airport, numbering 22, over nearly 40 years of daily records where FFDI &gt; 50. The predicted (GPD) FFDI is shown with 95% confidence limits which shows most observed FFDI are very close to the predicted line however the last two, at around 20 and 40 year ARI (ARI is equivalent to Return Period) are just below and over, respectively, the upper 95% confidence limi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91255" cy="3258185"/>
                    </a:xfrm>
                    <a:prstGeom prst="rect">
                      <a:avLst/>
                    </a:prstGeom>
                    <a:noFill/>
                    <a:ln w="9525">
                      <a:solidFill>
                        <a:srgbClr val="000000"/>
                      </a:solidFill>
                      <a:miter lim="800000"/>
                      <a:headEnd/>
                      <a:tailEnd/>
                    </a:ln>
                  </pic:spPr>
                </pic:pic>
              </a:graphicData>
            </a:graphic>
          </wp:inline>
        </w:drawing>
      </w:r>
    </w:p>
    <w:p w:rsidR="008237BB" w:rsidRDefault="00414D8E" w:rsidP="008237BB">
      <w:pPr>
        <w:pStyle w:val="Caption"/>
        <w:keepNext/>
      </w:pPr>
      <w:bookmarkStart w:id="2977" w:name="_Ref350337489"/>
      <w:bookmarkStart w:id="2978" w:name="_Toc340844491"/>
      <w:bookmarkStart w:id="2979" w:name="_Toc342638649"/>
      <w:bookmarkStart w:id="2980" w:name="_Toc349055163"/>
      <w:bookmarkStart w:id="2981" w:name="_Toc349114911"/>
      <w:bookmarkStart w:id="2982" w:name="_Toc349115002"/>
      <w:bookmarkStart w:id="2983" w:name="_Toc349115141"/>
      <w:bookmarkStart w:id="2984" w:name="_Toc349115534"/>
      <w:bookmarkStart w:id="2985" w:name="_Toc350325582"/>
      <w:bookmarkStart w:id="2986" w:name="_Toc350327006"/>
      <w:bookmarkStart w:id="2987" w:name="_Toc350327152"/>
      <w:bookmarkStart w:id="2988" w:name="_Toc350327284"/>
      <w:bookmarkStart w:id="2989" w:name="_Toc350330231"/>
      <w:bookmarkStart w:id="2990" w:name="_Toc350341640"/>
      <w:bookmarkStart w:id="2991" w:name="_Toc351449925"/>
      <w:bookmarkStart w:id="2992" w:name="_Toc351450006"/>
      <w:bookmarkStart w:id="2993" w:name="_Toc352242308"/>
      <w:bookmarkStart w:id="2994" w:name="_Toc352243867"/>
      <w:bookmarkStart w:id="2995" w:name="_Toc352244412"/>
      <w:bookmarkStart w:id="2996" w:name="_Toc352244507"/>
      <w:bookmarkStart w:id="2997" w:name="_Toc354403613"/>
      <w:bookmarkStart w:id="2998" w:name="_Toc354476618"/>
      <w:bookmarkStart w:id="2999" w:name="_Toc354493375"/>
      <w:bookmarkStart w:id="3000" w:name="_Toc354493916"/>
      <w:bookmarkStart w:id="3001" w:name="_Toc354494598"/>
      <w:bookmarkStart w:id="3002" w:name="_Toc354494788"/>
      <w:bookmarkStart w:id="3003" w:name="_Toc354497532"/>
      <w:bookmarkStart w:id="3004" w:name="_Toc354561195"/>
      <w:bookmarkStart w:id="3005" w:name="_Toc354561379"/>
      <w:bookmarkStart w:id="3006" w:name="_Toc354561451"/>
      <w:bookmarkStart w:id="3007" w:name="_Toc354561523"/>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w:t>
      </w:r>
      <w:r w:rsidR="007F11CF">
        <w:rPr>
          <w:noProof/>
        </w:rPr>
        <w:fldChar w:fldCharType="end"/>
      </w:r>
      <w:bookmarkEnd w:id="2977"/>
      <w:r w:rsidR="008237BB">
        <w:t>. Rockhampton airport Return Period</w:t>
      </w:r>
      <w:r w:rsidR="008237BB">
        <w:rPr>
          <w:rStyle w:val="FootnoteReference"/>
        </w:rPr>
        <w:footnoteReference w:id="23"/>
      </w:r>
      <w:r w:rsidR="008237BB">
        <w:t xml:space="preserve"> of FFDI calculated using observations.</w:t>
      </w:r>
      <w:bookmarkEnd w:id="2978"/>
      <w:r w:rsidR="008237BB">
        <w:t xml:space="preserve"> The broken lines represent the 95% confidence limits for the predicted FFDI (black solid line).</w:t>
      </w:r>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p>
    <w:p w:rsidR="008237BB" w:rsidRDefault="008237BB" w:rsidP="008237BB">
      <w:pPr>
        <w:pStyle w:val="BodyText"/>
      </w:pPr>
      <w:r w:rsidRPr="00F43926">
        <w:t xml:space="preserve">The GPD was used to obtain the optimum fit for the FFDI dataset. The GPD has been utilised for </w:t>
      </w:r>
      <w:r>
        <w:t>ARI</w:t>
      </w:r>
      <w:r w:rsidRPr="00F43926">
        <w:t xml:space="preserve"> analysis for a range of environmental parameters (</w:t>
      </w:r>
      <w:r>
        <w:t xml:space="preserve">e.g. </w:t>
      </w:r>
      <w:r w:rsidRPr="00F43926">
        <w:t xml:space="preserve">Sanabria and Cechet, 2007). The broken lines shown in </w:t>
      </w:r>
      <w:r>
        <w:fldChar w:fldCharType="begin"/>
      </w:r>
      <w:r>
        <w:instrText xml:space="preserve"> REF _Ref350337489 \h </w:instrText>
      </w:r>
      <w:r>
        <w:fldChar w:fldCharType="separate"/>
      </w:r>
      <w:r w:rsidR="00413858">
        <w:t xml:space="preserve">Appendix Figure </w:t>
      </w:r>
      <w:r w:rsidR="00413858">
        <w:rPr>
          <w:noProof/>
        </w:rPr>
        <w:t>B</w:t>
      </w:r>
      <w:r w:rsidR="00413858">
        <w:t>.</w:t>
      </w:r>
      <w:r w:rsidR="00413858">
        <w:rPr>
          <w:noProof/>
        </w:rPr>
        <w:t>1</w:t>
      </w:r>
      <w:r>
        <w:fldChar w:fldCharType="end"/>
      </w:r>
      <w:r>
        <w:t xml:space="preserve"> </w:t>
      </w:r>
      <w:r w:rsidRPr="00F43926">
        <w:t xml:space="preserve">depict the 95% confidence limits for the optimal fit of the GPD to the observed values (shown in </w:t>
      </w:r>
      <w:r>
        <w:fldChar w:fldCharType="begin"/>
      </w:r>
      <w:r>
        <w:instrText xml:space="preserve"> REF _Ref350337489 \h </w:instrText>
      </w:r>
      <w:r>
        <w:fldChar w:fldCharType="separate"/>
      </w:r>
      <w:r w:rsidR="00413858">
        <w:t xml:space="preserve">Appendix Figure </w:t>
      </w:r>
      <w:r w:rsidR="00413858">
        <w:rPr>
          <w:noProof/>
        </w:rPr>
        <w:t>B</w:t>
      </w:r>
      <w:r w:rsidR="00413858">
        <w:t>.</w:t>
      </w:r>
      <w:r w:rsidR="00413858">
        <w:rPr>
          <w:noProof/>
        </w:rPr>
        <w:t>1</w:t>
      </w:r>
      <w:r>
        <w:fldChar w:fldCharType="end"/>
      </w:r>
      <w:r>
        <w:t xml:space="preserve"> </w:t>
      </w:r>
      <w:r w:rsidRPr="00F43926">
        <w:t>as open circles). It should be noted that the highest observed FFDI value (open circle to</w:t>
      </w:r>
      <w:r>
        <w:t xml:space="preserve"> the right-most edge of </w:t>
      </w:r>
      <w:r>
        <w:fldChar w:fldCharType="begin"/>
      </w:r>
      <w:r>
        <w:instrText xml:space="preserve"> REF _Ref350337489 \h </w:instrText>
      </w:r>
      <w:r>
        <w:fldChar w:fldCharType="separate"/>
      </w:r>
      <w:r w:rsidR="00413858">
        <w:t xml:space="preserve">Appendix Figure </w:t>
      </w:r>
      <w:r w:rsidR="00413858">
        <w:rPr>
          <w:noProof/>
        </w:rPr>
        <w:t>B</w:t>
      </w:r>
      <w:r w:rsidR="00413858">
        <w:t>.</w:t>
      </w:r>
      <w:r w:rsidR="00413858">
        <w:rPr>
          <w:noProof/>
        </w:rPr>
        <w:t>1</w:t>
      </w:r>
      <w:r>
        <w:fldChar w:fldCharType="end"/>
      </w:r>
      <w:r w:rsidRPr="00F43926">
        <w:t xml:space="preserve">) is just outside the 95% confidence limit for the extreme value distribution (GPD) fit to the observed data. This indicates that the occurrence of this </w:t>
      </w:r>
      <w:r>
        <w:t>extreme</w:t>
      </w:r>
      <w:r w:rsidRPr="00F43926">
        <w:t xml:space="preserve"> fire danger day within the </w:t>
      </w:r>
      <w:r>
        <w:t>39</w:t>
      </w:r>
      <w:r w:rsidRPr="00F43926">
        <w:t xml:space="preserve"> year</w:t>
      </w:r>
      <w:r>
        <w:t>s of</w:t>
      </w:r>
      <w:r w:rsidRPr="00F43926">
        <w:t xml:space="preserve"> observed data is indeed very rare.</w:t>
      </w:r>
    </w:p>
    <w:p w:rsidR="008237BB" w:rsidRPr="00F43926" w:rsidRDefault="008237BB" w:rsidP="009D7E82">
      <w:pPr>
        <w:pStyle w:val="BodyText"/>
        <w:keepNext/>
      </w:pPr>
      <w:r w:rsidRPr="00F43926">
        <w:t>The observed</w:t>
      </w:r>
      <w:r>
        <w:t xml:space="preserve"> (Rockhampton Airport)</w:t>
      </w:r>
      <w:r w:rsidRPr="00F43926">
        <w:t xml:space="preserve"> </w:t>
      </w:r>
      <w:r>
        <w:t>ARI</w:t>
      </w:r>
      <w:r w:rsidRPr="00F43926">
        <w:t xml:space="preserve"> FFDI values (50, 100 years) were then combined with the FFDI ratio maps generated from the</w:t>
      </w:r>
      <w:r>
        <w:t xml:space="preserve"> weather</w:t>
      </w:r>
      <w:r w:rsidRPr="00F43926">
        <w:t xml:space="preserve"> simulations discussed previously to provide spatial representation of the FFDI </w:t>
      </w:r>
      <w:r>
        <w:t>ARI hazard</w:t>
      </w:r>
      <w:r w:rsidRPr="00F43926">
        <w:t xml:space="preserve"> across the Rockhampton</w:t>
      </w:r>
      <w:r>
        <w:t xml:space="preserve"> study</w:t>
      </w:r>
      <w:r w:rsidRPr="00F43926">
        <w:t xml:space="preserve"> region. FFDI alone does not provide the complete picture of fire hazard. FFDI needs to be initially combined with a weighting based on the vegetation type as FFDI is based solely on forested vegetation. The weighting required is calculated based on the</w:t>
      </w:r>
      <w:r>
        <w:t xml:space="preserve"> </w:t>
      </w:r>
      <w:r w:rsidRPr="00F43926">
        <w:t>vegetation type created by:</w:t>
      </w:r>
    </w:p>
    <w:p w:rsidR="008237BB" w:rsidRPr="005B6444" w:rsidRDefault="008237BB" w:rsidP="004B379B">
      <w:pPr>
        <w:pStyle w:val="Bulletlevel1"/>
      </w:pPr>
      <w:r w:rsidRPr="005B6444">
        <w:t>Obtaining the vegetation map for the region (From Landsat 5 TM satellite at 25 m resolution captured during May-August 2011)</w:t>
      </w:r>
    </w:p>
    <w:p w:rsidR="008237BB" w:rsidRPr="005B6444" w:rsidRDefault="008237BB" w:rsidP="004B379B">
      <w:pPr>
        <w:pStyle w:val="Bulletlevel1"/>
      </w:pPr>
      <w:r w:rsidRPr="005B6444">
        <w:lastRenderedPageBreak/>
        <w:t>Classifying and merging the vegetation layers into:</w:t>
      </w:r>
    </w:p>
    <w:p w:rsidR="008237BB" w:rsidRPr="005B6444" w:rsidRDefault="008237BB" w:rsidP="00590FF0">
      <w:pPr>
        <w:pStyle w:val="Bulletlevel2"/>
      </w:pPr>
      <w:r w:rsidRPr="005B6444">
        <w:t>Closed Forest (weighting 1.0</w:t>
      </w:r>
    </w:p>
    <w:p w:rsidR="008237BB" w:rsidRPr="005B6444" w:rsidRDefault="008237BB" w:rsidP="00590FF0">
      <w:pPr>
        <w:pStyle w:val="Bulletlevel2"/>
      </w:pPr>
      <w:r w:rsidRPr="005B6444">
        <w:t>Open Forest</w:t>
      </w:r>
      <w:r w:rsidRPr="00A15A5E">
        <w:rPr>
          <w:rStyle w:val="Superscript"/>
        </w:rPr>
        <w:footnoteReference w:id="24"/>
      </w:r>
      <w:r w:rsidRPr="005B6444">
        <w:t xml:space="preserve"> (weighting 0.8)</w:t>
      </w:r>
    </w:p>
    <w:p w:rsidR="008237BB" w:rsidRDefault="008237BB" w:rsidP="00590FF0">
      <w:pPr>
        <w:pStyle w:val="Bulletlevel2"/>
      </w:pPr>
      <w:r w:rsidRPr="005B6444">
        <w:t>Grassland</w:t>
      </w:r>
      <w:r w:rsidRPr="00A15A5E">
        <w:rPr>
          <w:rStyle w:val="Superscript"/>
        </w:rPr>
        <w:footnoteReference w:id="25"/>
      </w:r>
      <w:r w:rsidRPr="005B6444">
        <w:t xml:space="preserve"> (weighting 0.7)</w:t>
      </w:r>
    </w:p>
    <w:p w:rsidR="008237BB" w:rsidRDefault="008237BB" w:rsidP="00590FF0">
      <w:pPr>
        <w:pStyle w:val="Bulletlevel2"/>
      </w:pPr>
      <w:r w:rsidRPr="005B6444">
        <w:t>None</w:t>
      </w:r>
      <w:r w:rsidRPr="00A15A5E">
        <w:rPr>
          <w:rStyle w:val="Superscript"/>
        </w:rPr>
        <w:footnoteReference w:id="26"/>
      </w:r>
      <w:r w:rsidRPr="005B6444">
        <w:t xml:space="preserve"> (weighting 0.0).</w:t>
      </w:r>
    </w:p>
    <w:p w:rsidR="008237BB" w:rsidRPr="003D074D" w:rsidRDefault="008237BB" w:rsidP="008237BB">
      <w:pPr>
        <w:pStyle w:val="BodyText"/>
      </w:pPr>
      <w:r w:rsidRPr="00C23584">
        <w:t xml:space="preserve">A Bushfire </w:t>
      </w:r>
      <w:r>
        <w:t>h</w:t>
      </w:r>
      <w:r w:rsidRPr="00C23584">
        <w:t xml:space="preserve">azard </w:t>
      </w:r>
      <w:r>
        <w:t>m</w:t>
      </w:r>
      <w:r w:rsidRPr="00C23584">
        <w:t>ap was produced, with symbology classified into the following ratings</w:t>
      </w:r>
      <w:r w:rsidR="001B78DC">
        <w:t xml:space="preserve"> (</w:t>
      </w:r>
      <w:r w:rsidR="001B78DC">
        <w:fldChar w:fldCharType="begin"/>
      </w:r>
      <w:r w:rsidR="001B78DC">
        <w:instrText xml:space="preserve"> REF _Ref354580910 \h </w:instrText>
      </w:r>
      <w:r w:rsidR="001B78DC">
        <w:fldChar w:fldCharType="separate"/>
      </w:r>
      <w:r w:rsidR="00413858">
        <w:t xml:space="preserve">Appendix Table </w:t>
      </w:r>
      <w:r w:rsidR="00413858">
        <w:rPr>
          <w:noProof/>
        </w:rPr>
        <w:t>B</w:t>
      </w:r>
      <w:r w:rsidR="00413858">
        <w:t>.</w:t>
      </w:r>
      <w:r w:rsidR="00413858">
        <w:rPr>
          <w:noProof/>
        </w:rPr>
        <w:t>1</w:t>
      </w:r>
      <w:r w:rsidR="001B78DC">
        <w:fldChar w:fldCharType="end"/>
      </w:r>
      <w:r w:rsidR="00A53B9A">
        <w:t xml:space="preserve">) </w:t>
      </w:r>
      <w:r w:rsidRPr="00C23584">
        <w:t>as developed for the new fire danger rating system for bushfires by the National Bushfire Warnings Taskforce, established following the Victorian bushfires of February 2009</w:t>
      </w:r>
      <w:r w:rsidR="001B78DC">
        <w:t xml:space="preserve"> (</w:t>
      </w:r>
      <w:r>
        <w:t>Table 2)</w:t>
      </w:r>
      <w:r w:rsidR="00DD02DF">
        <w:t>.</w:t>
      </w:r>
    </w:p>
    <w:p w:rsidR="001B78DC" w:rsidRDefault="001B78DC" w:rsidP="001B78DC">
      <w:pPr>
        <w:pStyle w:val="Tabletitle"/>
      </w:pPr>
      <w:bookmarkStart w:id="3008" w:name="_Ref354580910"/>
      <w:bookmarkStart w:id="3009" w:name="_Toc355016324"/>
      <w:bookmarkStart w:id="3010" w:name="_Toc355016395"/>
      <w:bookmarkStart w:id="3011" w:name="_Toc355016495"/>
      <w:bookmarkStart w:id="3012" w:name="_Toc355073364"/>
      <w:bookmarkStart w:id="3013" w:name="_Toc355162314"/>
      <w:bookmarkStart w:id="3014" w:name="_Toc355249457"/>
      <w:r>
        <w:t xml:space="preserve">Appendix Table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Appendix_Table \* ARABIC \s 9 </w:instrText>
      </w:r>
      <w:r w:rsidR="007F11CF">
        <w:fldChar w:fldCharType="separate"/>
      </w:r>
      <w:r w:rsidR="00413858">
        <w:rPr>
          <w:noProof/>
        </w:rPr>
        <w:t>1</w:t>
      </w:r>
      <w:r w:rsidR="007F11CF">
        <w:rPr>
          <w:noProof/>
        </w:rPr>
        <w:fldChar w:fldCharType="end"/>
      </w:r>
      <w:bookmarkEnd w:id="3008"/>
      <w:r>
        <w:t>.</w:t>
      </w:r>
      <w:r w:rsidRPr="001B78DC">
        <w:t xml:space="preserve"> </w:t>
      </w:r>
      <w:r>
        <w:t>Fire danger classification</w:t>
      </w:r>
      <w:bookmarkEnd w:id="3009"/>
      <w:bookmarkEnd w:id="3010"/>
      <w:bookmarkEnd w:id="3011"/>
      <w:bookmarkEnd w:id="3012"/>
      <w:bookmarkEnd w:id="3013"/>
      <w:r w:rsidR="00DD02DF">
        <w:t>.</w:t>
      </w:r>
      <w:bookmarkEnd w:id="3014"/>
    </w:p>
    <w:tbl>
      <w:tblPr>
        <w:tblStyle w:val="TableGAHeaderRow"/>
        <w:tblW w:w="0" w:type="auto"/>
        <w:tblLook w:val="04A0" w:firstRow="1" w:lastRow="0" w:firstColumn="1" w:lastColumn="0" w:noHBand="0" w:noVBand="1"/>
        <w:tblDescription w:val="This table provides the range for each bushfire rating as:&#10;Moderate (FFDI x weighting &gt;    5 and &lt;=11.9), High (FFDI x weighting &gt;=12 and &lt;=24.9), Very High (FFDI x weighting &gt;=25 and &lt;=49.9), Severe (FFDI x weighting &gt;=50 and &lt;=74.9), Extreme (FFDI x weighting &gt;=75 and &lt;=99.9), Catastrophic (FFDI x weighting &gt;=100).&#10;"/>
      </w:tblPr>
      <w:tblGrid>
        <w:gridCol w:w="1418"/>
        <w:gridCol w:w="3544"/>
      </w:tblGrid>
      <w:tr w:rsidR="0087665A" w:rsidTr="000871C1">
        <w:trPr>
          <w:cnfStyle w:val="100000000000" w:firstRow="1" w:lastRow="0" w:firstColumn="0" w:lastColumn="0" w:oddVBand="0" w:evenVBand="0" w:oddHBand="0" w:evenHBand="0" w:firstRowFirstColumn="0" w:firstRowLastColumn="0" w:lastRowFirstColumn="0" w:lastRowLastColumn="0"/>
          <w:cantSplit w:val="0"/>
          <w:tblHeader/>
        </w:trPr>
        <w:tc>
          <w:tcPr>
            <w:tcW w:w="1418" w:type="dxa"/>
          </w:tcPr>
          <w:p w:rsidR="0087665A" w:rsidRDefault="00B80619" w:rsidP="001D132F">
            <w:pPr>
              <w:pStyle w:val="Tabletextleft"/>
            </w:pPr>
            <w:r>
              <w:t>Rating</w:t>
            </w:r>
          </w:p>
        </w:tc>
        <w:tc>
          <w:tcPr>
            <w:tcW w:w="3544" w:type="dxa"/>
          </w:tcPr>
          <w:p w:rsidR="0087665A" w:rsidRDefault="00B80619" w:rsidP="001D132F">
            <w:pPr>
              <w:pStyle w:val="Tabletextleft"/>
            </w:pPr>
            <w:r>
              <w:t>Range</w:t>
            </w:r>
          </w:p>
        </w:tc>
      </w:tr>
      <w:tr w:rsidR="0087665A" w:rsidTr="007A632D">
        <w:trPr>
          <w:cnfStyle w:val="000000100000" w:firstRow="0" w:lastRow="0" w:firstColumn="0" w:lastColumn="0" w:oddVBand="0" w:evenVBand="0" w:oddHBand="1" w:evenHBand="0" w:firstRowFirstColumn="0" w:firstRowLastColumn="0" w:lastRowFirstColumn="0" w:lastRowLastColumn="0"/>
        </w:trPr>
        <w:tc>
          <w:tcPr>
            <w:tcW w:w="1418" w:type="dxa"/>
          </w:tcPr>
          <w:p w:rsidR="0087665A" w:rsidRDefault="0087665A" w:rsidP="001D132F">
            <w:pPr>
              <w:pStyle w:val="Tabletextleft"/>
            </w:pPr>
            <w:r>
              <w:t>Moderate</w:t>
            </w:r>
          </w:p>
        </w:tc>
        <w:tc>
          <w:tcPr>
            <w:tcW w:w="3544" w:type="dxa"/>
          </w:tcPr>
          <w:p w:rsidR="0087665A" w:rsidRDefault="0087665A" w:rsidP="001D132F">
            <w:pPr>
              <w:pStyle w:val="Tabletextleft"/>
            </w:pPr>
            <w:r>
              <w:t>(FFDI x weighting &gt;</w:t>
            </w:r>
            <w:r w:rsidR="009C559C">
              <w:t xml:space="preserve"> </w:t>
            </w:r>
            <w:r>
              <w:t>5 and &lt;=11.9)</w:t>
            </w:r>
          </w:p>
        </w:tc>
      </w:tr>
      <w:tr w:rsidR="0087665A" w:rsidTr="007A632D">
        <w:trPr>
          <w:cnfStyle w:val="000000010000" w:firstRow="0" w:lastRow="0" w:firstColumn="0" w:lastColumn="0" w:oddVBand="0" w:evenVBand="0" w:oddHBand="0" w:evenHBand="1" w:firstRowFirstColumn="0" w:firstRowLastColumn="0" w:lastRowFirstColumn="0" w:lastRowLastColumn="0"/>
        </w:trPr>
        <w:tc>
          <w:tcPr>
            <w:tcW w:w="1418" w:type="dxa"/>
          </w:tcPr>
          <w:p w:rsidR="0087665A" w:rsidRDefault="0087665A" w:rsidP="001D132F">
            <w:pPr>
              <w:pStyle w:val="Tabletextleft"/>
            </w:pPr>
            <w:r>
              <w:t>High</w:t>
            </w:r>
          </w:p>
        </w:tc>
        <w:tc>
          <w:tcPr>
            <w:tcW w:w="3544" w:type="dxa"/>
          </w:tcPr>
          <w:p w:rsidR="0087665A" w:rsidRDefault="0087665A" w:rsidP="001D132F">
            <w:pPr>
              <w:pStyle w:val="Tabletextleft"/>
            </w:pPr>
            <w:r>
              <w:t>(FFDI x weighting &gt;=12 and &lt;=24.9)</w:t>
            </w:r>
          </w:p>
        </w:tc>
      </w:tr>
      <w:tr w:rsidR="0087665A" w:rsidTr="007A632D">
        <w:trPr>
          <w:cnfStyle w:val="000000100000" w:firstRow="0" w:lastRow="0" w:firstColumn="0" w:lastColumn="0" w:oddVBand="0" w:evenVBand="0" w:oddHBand="1" w:evenHBand="0" w:firstRowFirstColumn="0" w:firstRowLastColumn="0" w:lastRowFirstColumn="0" w:lastRowLastColumn="0"/>
        </w:trPr>
        <w:tc>
          <w:tcPr>
            <w:tcW w:w="1418" w:type="dxa"/>
          </w:tcPr>
          <w:p w:rsidR="0087665A" w:rsidRDefault="0087665A" w:rsidP="001D132F">
            <w:pPr>
              <w:pStyle w:val="Tabletextleft"/>
            </w:pPr>
            <w:r>
              <w:t>Very High</w:t>
            </w:r>
          </w:p>
        </w:tc>
        <w:tc>
          <w:tcPr>
            <w:tcW w:w="3544" w:type="dxa"/>
          </w:tcPr>
          <w:p w:rsidR="0087665A" w:rsidRDefault="0087665A" w:rsidP="001D132F">
            <w:pPr>
              <w:pStyle w:val="Tabletextleft"/>
            </w:pPr>
            <w:r>
              <w:t>(FFDI x weighting &gt;=25 and &lt;=49.9)</w:t>
            </w:r>
          </w:p>
        </w:tc>
      </w:tr>
      <w:tr w:rsidR="0087665A" w:rsidTr="007A632D">
        <w:trPr>
          <w:cnfStyle w:val="000000010000" w:firstRow="0" w:lastRow="0" w:firstColumn="0" w:lastColumn="0" w:oddVBand="0" w:evenVBand="0" w:oddHBand="0" w:evenHBand="1" w:firstRowFirstColumn="0" w:firstRowLastColumn="0" w:lastRowFirstColumn="0" w:lastRowLastColumn="0"/>
        </w:trPr>
        <w:tc>
          <w:tcPr>
            <w:tcW w:w="1418" w:type="dxa"/>
          </w:tcPr>
          <w:p w:rsidR="0087665A" w:rsidRDefault="0087665A" w:rsidP="001D132F">
            <w:pPr>
              <w:pStyle w:val="Tabletextleft"/>
            </w:pPr>
            <w:r>
              <w:t>Severe</w:t>
            </w:r>
          </w:p>
        </w:tc>
        <w:tc>
          <w:tcPr>
            <w:tcW w:w="3544" w:type="dxa"/>
          </w:tcPr>
          <w:p w:rsidR="0087665A" w:rsidRDefault="0087665A" w:rsidP="001D132F">
            <w:pPr>
              <w:pStyle w:val="Tabletextleft"/>
            </w:pPr>
            <w:r>
              <w:t>(FFDI x weighting &gt;=50 and &lt;=74.9)</w:t>
            </w:r>
          </w:p>
        </w:tc>
      </w:tr>
      <w:tr w:rsidR="0087665A" w:rsidTr="007A632D">
        <w:trPr>
          <w:cnfStyle w:val="000000100000" w:firstRow="0" w:lastRow="0" w:firstColumn="0" w:lastColumn="0" w:oddVBand="0" w:evenVBand="0" w:oddHBand="1" w:evenHBand="0" w:firstRowFirstColumn="0" w:firstRowLastColumn="0" w:lastRowFirstColumn="0" w:lastRowLastColumn="0"/>
        </w:trPr>
        <w:tc>
          <w:tcPr>
            <w:tcW w:w="1418" w:type="dxa"/>
          </w:tcPr>
          <w:p w:rsidR="0087665A" w:rsidRDefault="0087665A" w:rsidP="001D132F">
            <w:pPr>
              <w:pStyle w:val="Tabletextleft"/>
            </w:pPr>
            <w:r>
              <w:t>Extreme</w:t>
            </w:r>
          </w:p>
        </w:tc>
        <w:tc>
          <w:tcPr>
            <w:tcW w:w="3544" w:type="dxa"/>
          </w:tcPr>
          <w:p w:rsidR="0087665A" w:rsidRDefault="0087665A" w:rsidP="001D132F">
            <w:pPr>
              <w:pStyle w:val="Tabletextleft"/>
            </w:pPr>
            <w:r>
              <w:t>(FFDI x weighting &gt;=75 and &lt;=99.9)</w:t>
            </w:r>
          </w:p>
        </w:tc>
      </w:tr>
      <w:tr w:rsidR="0087665A" w:rsidTr="007A632D">
        <w:trPr>
          <w:cnfStyle w:val="000000010000" w:firstRow="0" w:lastRow="0" w:firstColumn="0" w:lastColumn="0" w:oddVBand="0" w:evenVBand="0" w:oddHBand="0" w:evenHBand="1" w:firstRowFirstColumn="0" w:firstRowLastColumn="0" w:lastRowFirstColumn="0" w:lastRowLastColumn="0"/>
        </w:trPr>
        <w:tc>
          <w:tcPr>
            <w:tcW w:w="1418" w:type="dxa"/>
          </w:tcPr>
          <w:p w:rsidR="0087665A" w:rsidRDefault="0087665A" w:rsidP="001D132F">
            <w:pPr>
              <w:pStyle w:val="Tabletextleft"/>
            </w:pPr>
            <w:r>
              <w:t>Catastrophic</w:t>
            </w:r>
          </w:p>
        </w:tc>
        <w:tc>
          <w:tcPr>
            <w:tcW w:w="3544" w:type="dxa"/>
          </w:tcPr>
          <w:p w:rsidR="0087665A" w:rsidRDefault="0087665A" w:rsidP="001D132F">
            <w:pPr>
              <w:pStyle w:val="Tabletextleft"/>
            </w:pPr>
            <w:r>
              <w:t>(FFDI x weighting &gt;=100)</w:t>
            </w:r>
          </w:p>
        </w:tc>
      </w:tr>
    </w:tbl>
    <w:p w:rsidR="008237BB" w:rsidRPr="00B53ACA" w:rsidRDefault="008237BB" w:rsidP="009D7E82">
      <w:pPr>
        <w:pStyle w:val="BodyText"/>
        <w:keepNext/>
      </w:pPr>
      <w:r w:rsidRPr="00B53ACA">
        <w:t xml:space="preserve">This </w:t>
      </w:r>
      <w:r>
        <w:t>b</w:t>
      </w:r>
      <w:r w:rsidRPr="00B53ACA">
        <w:t xml:space="preserve">ushfire </w:t>
      </w:r>
      <w:r>
        <w:t>h</w:t>
      </w:r>
      <w:r w:rsidRPr="00B53ACA">
        <w:t xml:space="preserve">azard </w:t>
      </w:r>
      <w:r>
        <w:t>m</w:t>
      </w:r>
      <w:r w:rsidRPr="00B53ACA">
        <w:t xml:space="preserve">ap does not supply details of where the bushfire hazard can be minimised to allow for future development. </w:t>
      </w:r>
      <w:r>
        <w:t>To address this,</w:t>
      </w:r>
      <w:r w:rsidRPr="00B53ACA">
        <w:t xml:space="preserve"> two factors</w:t>
      </w:r>
      <w:r>
        <w:t xml:space="preserve"> were added,</w:t>
      </w:r>
      <w:r w:rsidRPr="00B53ACA">
        <w:t xml:space="preserve"> </w:t>
      </w:r>
      <w:r>
        <w:t>“</w:t>
      </w:r>
      <w:r w:rsidRPr="00B53ACA">
        <w:t>setback</w:t>
      </w:r>
      <w:r>
        <w:t xml:space="preserve"> </w:t>
      </w:r>
      <w:r w:rsidRPr="00B53ACA">
        <w:t>from closed forest</w:t>
      </w:r>
      <w:r>
        <w:t>”</w:t>
      </w:r>
      <w:r w:rsidRPr="00B53ACA">
        <w:t xml:space="preserve"> </w:t>
      </w:r>
      <w:r>
        <w:t xml:space="preserve">and “slope”, </w:t>
      </w:r>
      <w:r w:rsidRPr="00B53ACA">
        <w:t xml:space="preserve">to </w:t>
      </w:r>
      <w:r>
        <w:t xml:space="preserve">generate </w:t>
      </w:r>
      <w:r w:rsidRPr="00B53ACA">
        <w:t xml:space="preserve">the </w:t>
      </w:r>
      <w:r>
        <w:t>final b</w:t>
      </w:r>
      <w:r w:rsidRPr="00B53ACA">
        <w:t xml:space="preserve">ushfire </w:t>
      </w:r>
      <w:r>
        <w:t>h</w:t>
      </w:r>
      <w:r w:rsidRPr="00B53ACA">
        <w:t xml:space="preserve">azard </w:t>
      </w:r>
      <w:r>
        <w:t>m</w:t>
      </w:r>
      <w:r w:rsidRPr="00B53ACA">
        <w:t>ap as follows:</w:t>
      </w:r>
    </w:p>
    <w:p w:rsidR="008237BB" w:rsidRPr="005B6444" w:rsidRDefault="008237BB" w:rsidP="004B379B">
      <w:pPr>
        <w:pStyle w:val="Bulletlevel1"/>
      </w:pPr>
      <w:r w:rsidRPr="005B6444">
        <w:t xml:space="preserve">For setback, the Queensland Rural Fire Service (QRFS) uses the Building Code AS3959 which only addresses radiant heat impact on structures. New South Wales and Victoria allow a </w:t>
      </w:r>
      <w:r w:rsidR="005D5011" w:rsidRPr="005B6444">
        <w:t>setback</w:t>
      </w:r>
      <w:r w:rsidRPr="005B6444">
        <w:t xml:space="preserve"> of 100 m from closed forest which goes some way to addressing both radiant heat and ember attack. For this analysis, the closed forest areas were extended to include a 100 m buffer zone (</w:t>
      </w:r>
      <w:r>
        <w:fldChar w:fldCharType="begin"/>
      </w:r>
      <w:r>
        <w:instrText xml:space="preserve"> REF _Ref350337580 \h </w:instrText>
      </w:r>
      <w:r w:rsidR="004B379B">
        <w:instrText xml:space="preserve"> \* MERGEFORMAT </w:instrText>
      </w:r>
      <w:r>
        <w:fldChar w:fldCharType="separate"/>
      </w:r>
      <w:r w:rsidR="00413858">
        <w:t>Appendix Figure B.</w:t>
      </w:r>
      <w:r w:rsidR="00413858">
        <w:rPr>
          <w:noProof/>
        </w:rPr>
        <w:t>2</w:t>
      </w:r>
      <w:r>
        <w:fldChar w:fldCharType="end"/>
      </w:r>
      <w:r w:rsidRPr="005B6444">
        <w:t>).</w:t>
      </w:r>
    </w:p>
    <w:p w:rsidR="008237BB" w:rsidRDefault="008237BB" w:rsidP="004B379B">
      <w:pPr>
        <w:pStyle w:val="Bulletlevel1"/>
      </w:pPr>
      <w:r w:rsidRPr="005B6444">
        <w:t xml:space="preserve">For slope, the QRFS uses AS3959 which states that development should not occur on land which has a slope of greater than 20 degrees. Areas where the slope is greater than 20 degrees are shown in red in the </w:t>
      </w:r>
      <w:r>
        <w:fldChar w:fldCharType="begin"/>
      </w:r>
      <w:r>
        <w:instrText xml:space="preserve"> REF _Ref350337601 \h </w:instrText>
      </w:r>
      <w:r w:rsidR="004B379B">
        <w:instrText xml:space="preserve"> \* MERGEFORMAT </w:instrText>
      </w:r>
      <w:r>
        <w:fldChar w:fldCharType="separate"/>
      </w:r>
      <w:r w:rsidR="00413858">
        <w:t>Appendix Figure B.</w:t>
      </w:r>
      <w:r w:rsidR="00413858">
        <w:rPr>
          <w:noProof/>
        </w:rPr>
        <w:t>3</w:t>
      </w:r>
      <w:r>
        <w:fldChar w:fldCharType="end"/>
      </w:r>
      <w:r w:rsidRPr="005B6444">
        <w:t>. Note that most of these areas occur in the closed forest and setback areas.</w:t>
      </w:r>
    </w:p>
    <w:p w:rsidR="008237BB" w:rsidRDefault="008237BB" w:rsidP="00253307">
      <w:pPr>
        <w:pStyle w:val="Figuresandimagesleft"/>
      </w:pPr>
      <w:bookmarkStart w:id="3015" w:name="_Toc340842963"/>
      <w:r>
        <w:rPr>
          <w:noProof/>
        </w:rPr>
        <w:lastRenderedPageBreak/>
        <w:drawing>
          <wp:inline distT="0" distB="0" distL="0" distR="0" wp14:anchorId="3BEB5EF0" wp14:editId="4FA5FD8B">
            <wp:extent cx="5400675" cy="3600450"/>
            <wp:effectExtent l="0" t="0" r="9525" b="0"/>
            <wp:docPr id="59" name="Picture 59" descr="The bushfire vegetation classification shows grassland on the Fitzroy River flood plain and extedning down both sides of the Bruce Highway down to Marmor in the south of the study region.The closed forest with 100 m buffer is shown within the Mount Archer National Park, generally encompassing a 10 km strip along the coastline from yeppoon down to the mouth of the Fitzroy River, within a 10 km radius of Mount Morgan, Native Cat Range (including Stuart Creek State Forest, and a range to the north-west of Native Cat Range that includes the Morinish State Forest. The open forest vegetation mostly borders the closed forest with 100 m buffer vegetation and predominantly fills out the remainder of the study region not mentio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he bushfire vegetation classification shows grassland on the Fitzroy River flood plain and extedning down both sides of the Bruce Highway down to Marmor in the south of the study region.The closed forest with 100 m buffer is shown within the Mount Archer National Park, generally encompassing a 10 km strip along the coastline from yeppoon down to the mouth of the Fitzroy River, within a 10 km radius of Mount Morgan, Native Cat Range (including Stuart Creek State Forest, and a range to the north-west of Native Cat Range that includes the Morinish State Forest. The open forest vegetation mostly borders the closed forest with 100 m buffer vegetation and predominantly fills out the remainder of the study region not mention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414D8E" w:rsidP="008237BB">
      <w:pPr>
        <w:pStyle w:val="Caption"/>
        <w:keepNext/>
      </w:pPr>
      <w:bookmarkStart w:id="3016" w:name="_Ref350337580"/>
      <w:bookmarkStart w:id="3017" w:name="_Toc340844492"/>
      <w:bookmarkStart w:id="3018" w:name="_Toc342638650"/>
      <w:bookmarkStart w:id="3019" w:name="_Toc349055164"/>
      <w:bookmarkStart w:id="3020" w:name="_Toc349114912"/>
      <w:bookmarkStart w:id="3021" w:name="_Toc349115003"/>
      <w:bookmarkStart w:id="3022" w:name="_Toc349115142"/>
      <w:bookmarkStart w:id="3023" w:name="_Toc349115535"/>
      <w:bookmarkStart w:id="3024" w:name="_Toc350325583"/>
      <w:bookmarkStart w:id="3025" w:name="_Toc350327007"/>
      <w:bookmarkStart w:id="3026" w:name="_Toc350327153"/>
      <w:bookmarkStart w:id="3027" w:name="_Toc350327285"/>
      <w:bookmarkStart w:id="3028" w:name="_Toc350330232"/>
      <w:bookmarkStart w:id="3029" w:name="_Toc350341641"/>
      <w:bookmarkStart w:id="3030" w:name="_Toc351449926"/>
      <w:bookmarkStart w:id="3031" w:name="_Toc351450007"/>
      <w:bookmarkStart w:id="3032" w:name="_Toc352242309"/>
      <w:bookmarkStart w:id="3033" w:name="_Toc352243868"/>
      <w:bookmarkStart w:id="3034" w:name="_Toc352244413"/>
      <w:bookmarkStart w:id="3035" w:name="_Toc352244508"/>
      <w:bookmarkStart w:id="3036" w:name="_Toc354403614"/>
      <w:bookmarkStart w:id="3037" w:name="_Toc354476619"/>
      <w:bookmarkStart w:id="3038" w:name="_Toc354493376"/>
      <w:bookmarkStart w:id="3039" w:name="_Toc354493917"/>
      <w:bookmarkStart w:id="3040" w:name="_Toc354494599"/>
      <w:bookmarkStart w:id="3041" w:name="_Toc354494789"/>
      <w:bookmarkStart w:id="3042" w:name="_Toc354497533"/>
      <w:bookmarkStart w:id="3043" w:name="_Toc354561196"/>
      <w:bookmarkStart w:id="3044" w:name="_Toc354561380"/>
      <w:bookmarkStart w:id="3045" w:name="_Toc354561452"/>
      <w:bookmarkStart w:id="3046" w:name="_Toc354561524"/>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2</w:t>
      </w:r>
      <w:r w:rsidR="007F11CF">
        <w:rPr>
          <w:noProof/>
        </w:rPr>
        <w:fldChar w:fldCharType="end"/>
      </w:r>
      <w:bookmarkEnd w:id="3016"/>
      <w:r w:rsidR="008237BB">
        <w:t>. Bushfire vegetation classification</w:t>
      </w:r>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r w:rsidR="00DD02DF">
        <w:t>.</w:t>
      </w:r>
    </w:p>
    <w:p w:rsidR="008237BB" w:rsidRPr="003776CC" w:rsidRDefault="008237BB" w:rsidP="00253307">
      <w:pPr>
        <w:pStyle w:val="Figuresandimagesleft"/>
        <w:rPr>
          <w:noProof/>
        </w:rPr>
      </w:pPr>
      <w:r w:rsidRPr="003776CC">
        <w:rPr>
          <w:noProof/>
        </w:rPr>
        <w:drawing>
          <wp:inline distT="0" distB="0" distL="0" distR="0" wp14:anchorId="2DFCADF7" wp14:editId="51AAA8DB">
            <wp:extent cx="5400675" cy="3600450"/>
            <wp:effectExtent l="0" t="0" r="9525" b="0"/>
            <wp:docPr id="58" name="Picture 58" descr="This figure shows the closed forest with 100 m buffer with a description, as previously provided, following. The slope greater than 20 degrees, which is also a constraint within AS3959, exists almost entirely within the closed forest with 100 m buffer zones. &#10;&#10;The closed forest with 100 m buffer is shown within the Mount Archer National Park, generally encompassing a 10 km strip along the coastline from yeppoon down to the mouth of the Fitzroy River, within a 10 km radius of Mount Morgan, Native Cat Range (including Stuart Creek State Forest, and a range to the north-west of Native Cat Range that includes the Morinish State For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his figure shows the closed forest with 100 m buffer with a description, as previously provided, following. The slope greater than 20 degrees, which is also a constraint within AS3959, exists almost entirely within the closed forest with 100 m buffer zones. &#10;&#10;The closed forest with 100 m buffer is shown within the Mount Archer National Park, generally encompassing a 10 km strip along the coastline from yeppoon down to the mouth of the Fitzroy River, within a 10 km radius of Mount Morgan, Native Cat Range (including Stuart Creek State Forest, and a range to the north-west of Native Cat Range that includes the Morinish State Forest. "/>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pic:spPr>
                </pic:pic>
              </a:graphicData>
            </a:graphic>
          </wp:inline>
        </w:drawing>
      </w:r>
    </w:p>
    <w:p w:rsidR="008237BB" w:rsidRDefault="00414D8E" w:rsidP="008237BB">
      <w:pPr>
        <w:pStyle w:val="Caption"/>
        <w:keepNext/>
      </w:pPr>
      <w:bookmarkStart w:id="3047" w:name="_Ref350337601"/>
      <w:bookmarkStart w:id="3048" w:name="_Toc340844493"/>
      <w:bookmarkStart w:id="3049" w:name="_Toc342638651"/>
      <w:bookmarkStart w:id="3050" w:name="_Toc349055165"/>
      <w:bookmarkStart w:id="3051" w:name="_Toc349114913"/>
      <w:bookmarkStart w:id="3052" w:name="_Toc349115004"/>
      <w:bookmarkStart w:id="3053" w:name="_Toc349115143"/>
      <w:bookmarkStart w:id="3054" w:name="_Toc349115536"/>
      <w:bookmarkStart w:id="3055" w:name="_Toc350325584"/>
      <w:bookmarkStart w:id="3056" w:name="_Toc350327008"/>
      <w:bookmarkStart w:id="3057" w:name="_Toc350327154"/>
      <w:bookmarkStart w:id="3058" w:name="_Toc350327286"/>
      <w:bookmarkStart w:id="3059" w:name="_Toc350330233"/>
      <w:bookmarkStart w:id="3060" w:name="_Toc350341642"/>
      <w:bookmarkStart w:id="3061" w:name="_Toc351449927"/>
      <w:bookmarkStart w:id="3062" w:name="_Toc351450008"/>
      <w:bookmarkStart w:id="3063" w:name="_Toc352242310"/>
      <w:bookmarkStart w:id="3064" w:name="_Toc352243869"/>
      <w:bookmarkStart w:id="3065" w:name="_Toc352244414"/>
      <w:bookmarkStart w:id="3066" w:name="_Toc352244509"/>
      <w:bookmarkStart w:id="3067" w:name="_Toc354403615"/>
      <w:bookmarkStart w:id="3068" w:name="_Toc354476620"/>
      <w:bookmarkStart w:id="3069" w:name="_Toc354493377"/>
      <w:bookmarkStart w:id="3070" w:name="_Toc354493918"/>
      <w:bookmarkStart w:id="3071" w:name="_Toc354494600"/>
      <w:bookmarkStart w:id="3072" w:name="_Toc354494790"/>
      <w:bookmarkStart w:id="3073" w:name="_Toc354497534"/>
      <w:bookmarkStart w:id="3074" w:name="_Toc354561197"/>
      <w:bookmarkStart w:id="3075" w:name="_Toc354561381"/>
      <w:bookmarkStart w:id="3076" w:name="_Toc354561453"/>
      <w:bookmarkStart w:id="3077" w:name="_Toc354561525"/>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3</w:t>
      </w:r>
      <w:r w:rsidR="007F11CF">
        <w:rPr>
          <w:noProof/>
        </w:rPr>
        <w:fldChar w:fldCharType="end"/>
      </w:r>
      <w:bookmarkEnd w:id="3047"/>
      <w:r w:rsidR="008237BB">
        <w:t>. AS3959 bushfire constraints</w:t>
      </w:r>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r w:rsidR="00DD02DF">
        <w:t>.</w:t>
      </w:r>
    </w:p>
    <w:p w:rsidR="008237BB" w:rsidRPr="006C0A72" w:rsidRDefault="008237BB" w:rsidP="00935848">
      <w:pPr>
        <w:pStyle w:val="Headingappendix3"/>
      </w:pPr>
      <w:r>
        <w:br w:type="page"/>
      </w:r>
      <w:bookmarkStart w:id="3078" w:name="_Toc342638501"/>
      <w:bookmarkStart w:id="3079" w:name="_Toc346261000"/>
      <w:bookmarkStart w:id="3080" w:name="_Toc346632562"/>
      <w:bookmarkStart w:id="3081" w:name="_Toc346632781"/>
      <w:bookmarkStart w:id="3082" w:name="_Toc346633005"/>
      <w:bookmarkStart w:id="3083" w:name="_Toc346633117"/>
      <w:bookmarkStart w:id="3084" w:name="_Toc346633229"/>
      <w:bookmarkStart w:id="3085" w:name="_Toc347401662"/>
      <w:bookmarkStart w:id="3086" w:name="_Toc347401886"/>
      <w:bookmarkStart w:id="3087" w:name="_Toc347401998"/>
      <w:bookmarkStart w:id="3088" w:name="_Toc347402110"/>
      <w:bookmarkStart w:id="3089" w:name="_Toc347402497"/>
      <w:bookmarkStart w:id="3090" w:name="_Toc349055069"/>
      <w:bookmarkStart w:id="3091" w:name="_Toc349055290"/>
      <w:bookmarkStart w:id="3092" w:name="_Toc349055516"/>
      <w:bookmarkStart w:id="3093" w:name="_Toc349055629"/>
      <w:bookmarkStart w:id="3094" w:name="_Toc349055742"/>
      <w:bookmarkStart w:id="3095" w:name="_Toc349116973"/>
      <w:bookmarkStart w:id="3096" w:name="_Toc350330063"/>
      <w:bookmarkStart w:id="3097" w:name="_Toc354402031"/>
      <w:bookmarkStart w:id="3098" w:name="_Toc354476528"/>
      <w:bookmarkStart w:id="3099" w:name="_Toc354492757"/>
      <w:bookmarkStart w:id="3100" w:name="_Toc354492887"/>
      <w:bookmarkStart w:id="3101" w:name="_Toc354493135"/>
      <w:bookmarkStart w:id="3102" w:name="_Toc354493296"/>
      <w:bookmarkStart w:id="3103" w:name="_Toc354493754"/>
      <w:bookmarkStart w:id="3104" w:name="_Toc354494289"/>
      <w:bookmarkStart w:id="3105" w:name="_Toc354494507"/>
      <w:bookmarkStart w:id="3106" w:name="_Toc354494718"/>
      <w:bookmarkStart w:id="3107" w:name="_Toc354495012"/>
      <w:bookmarkStart w:id="3108" w:name="_Toc354497894"/>
      <w:bookmarkStart w:id="3109" w:name="_Toc354561307"/>
      <w:bookmarkStart w:id="3110" w:name="_Toc355164216"/>
      <w:bookmarkStart w:id="3111" w:name="_Toc355249648"/>
      <w:r>
        <w:lastRenderedPageBreak/>
        <w:t>Future Climate</w:t>
      </w:r>
      <w:bookmarkEnd w:id="3015"/>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p>
    <w:p w:rsidR="002F691C" w:rsidRDefault="008237BB" w:rsidP="008237BB">
      <w:pPr>
        <w:pStyle w:val="BodyText"/>
      </w:pPr>
      <w:r w:rsidRPr="0052217D">
        <w:t xml:space="preserve">This study utilised data (climate simulations) from three </w:t>
      </w:r>
      <w:r>
        <w:t>GCM</w:t>
      </w:r>
      <w:r w:rsidRPr="0052217D">
        <w:t>s all being forced by the</w:t>
      </w:r>
      <w:r>
        <w:t xml:space="preserve"> A2</w:t>
      </w:r>
      <w:r w:rsidRPr="0052217D">
        <w:t xml:space="preserve"> SRES </w:t>
      </w:r>
      <w:r>
        <w:t xml:space="preserve">GHG emissions </w:t>
      </w:r>
      <w:r w:rsidRPr="0052217D">
        <w:t>scenario.</w:t>
      </w:r>
    </w:p>
    <w:p w:rsidR="002F691C" w:rsidRDefault="008237BB" w:rsidP="008237BB">
      <w:pPr>
        <w:pStyle w:val="BodyText"/>
        <w:rPr>
          <w:lang w:val="en-GB"/>
        </w:rPr>
      </w:pPr>
      <w:r w:rsidRPr="0052217D">
        <w:rPr>
          <w:lang w:val="en-GB"/>
        </w:rPr>
        <w:t xml:space="preserve">CSIRO Marine and Atmospheric Research (CMAR) has produced high-resolution climate change projections for the eastern part of the Australian continent as part of the </w:t>
      </w:r>
      <w:r w:rsidRPr="007B6C0C">
        <w:rPr>
          <w:rStyle w:val="Bodytextitalic"/>
        </w:rPr>
        <w:t xml:space="preserve">South East Queensland Climate Adaptation Research Initiative </w:t>
      </w:r>
      <w:r w:rsidRPr="0052217D">
        <w:rPr>
          <w:lang w:val="en-GB"/>
        </w:rPr>
        <w:t>(SEQCARI) project</w:t>
      </w:r>
      <w:r>
        <w:rPr>
          <w:lang w:val="en-GB"/>
        </w:rPr>
        <w:t xml:space="preserve"> (CSIRO, 2012)</w:t>
      </w:r>
      <w:r w:rsidRPr="00055DCB">
        <w:t xml:space="preserve">. </w:t>
      </w:r>
      <w:r w:rsidRPr="0052217D">
        <w:rPr>
          <w:lang w:val="en-GB"/>
        </w:rPr>
        <w:t>A key component of the project was to establish possible changes to climatic extreme events as a consequence of climate change up to the end of the 21</w:t>
      </w:r>
      <w:r w:rsidRPr="00055DCB">
        <w:rPr>
          <w:rStyle w:val="Superscript"/>
        </w:rPr>
        <w:t>st</w:t>
      </w:r>
      <w:r w:rsidRPr="0052217D">
        <w:rPr>
          <w:lang w:val="en-GB"/>
        </w:rPr>
        <w:t xml:space="preserve"> century. </w:t>
      </w:r>
      <w:r>
        <w:rPr>
          <w:lang w:val="en-GB"/>
        </w:rPr>
        <w:t>We utilised the new high-resolution p</w:t>
      </w:r>
      <w:r w:rsidRPr="0052217D">
        <w:rPr>
          <w:lang w:val="en-GB"/>
        </w:rPr>
        <w:t xml:space="preserve">rojections </w:t>
      </w:r>
      <w:r>
        <w:rPr>
          <w:lang w:val="en-GB"/>
        </w:rPr>
        <w:t xml:space="preserve">provided by CSIRO to obtain </w:t>
      </w:r>
      <w:r w:rsidRPr="0052217D">
        <w:rPr>
          <w:lang w:val="en-GB"/>
        </w:rPr>
        <w:t>a 0.15</w:t>
      </w:r>
      <w:r w:rsidRPr="0052217D">
        <w:rPr>
          <w:lang w:val="en-GB"/>
        </w:rPr>
        <w:sym w:font="Symbol" w:char="F0B0"/>
      </w:r>
      <w:r w:rsidRPr="0052217D">
        <w:rPr>
          <w:lang w:val="en-GB"/>
        </w:rPr>
        <w:t xml:space="preserve"> grid </w:t>
      </w:r>
      <w:r>
        <w:rPr>
          <w:lang w:val="en-GB"/>
        </w:rPr>
        <w:t xml:space="preserve">of meteorological parameters </w:t>
      </w:r>
      <w:r w:rsidRPr="0052217D">
        <w:rPr>
          <w:lang w:val="en-GB"/>
        </w:rPr>
        <w:t>(</w:t>
      </w:r>
      <w:r w:rsidR="00DD02DF" w:rsidRPr="0052217D">
        <w:rPr>
          <w:lang w:val="en-GB"/>
        </w:rPr>
        <w:t>approx.</w:t>
      </w:r>
      <w:r w:rsidRPr="0052217D">
        <w:rPr>
          <w:lang w:val="en-GB"/>
        </w:rPr>
        <w:t xml:space="preserve"> </w:t>
      </w:r>
      <w:r w:rsidRPr="0052217D">
        <w:t>15</w:t>
      </w:r>
      <w:r>
        <w:t> </w:t>
      </w:r>
      <w:r w:rsidRPr="0052217D">
        <w:t>km horizontal resolution)</w:t>
      </w:r>
      <w:r w:rsidRPr="0052217D">
        <w:rPr>
          <w:lang w:val="en-GB"/>
        </w:rPr>
        <w:t xml:space="preserve"> across the eastern part of the continent (Latitude -10</w:t>
      </w:r>
      <w:r w:rsidRPr="0052217D">
        <w:rPr>
          <w:lang w:val="en-GB"/>
        </w:rPr>
        <w:sym w:font="Symbol" w:char="F0B0"/>
      </w:r>
      <w:r w:rsidRPr="0052217D">
        <w:rPr>
          <w:lang w:val="en-GB"/>
        </w:rPr>
        <w:t>S to -50</w:t>
      </w:r>
      <w:r w:rsidRPr="0052217D">
        <w:rPr>
          <w:lang w:val="en-GB"/>
        </w:rPr>
        <w:sym w:font="Symbol" w:char="F0B0"/>
      </w:r>
      <w:r w:rsidRPr="0052217D">
        <w:rPr>
          <w:lang w:val="en-GB"/>
        </w:rPr>
        <w:t>S; Longitude 135</w:t>
      </w:r>
      <w:r w:rsidRPr="0052217D">
        <w:rPr>
          <w:lang w:val="en-GB"/>
        </w:rPr>
        <w:sym w:font="Symbol" w:char="F0B0"/>
      </w:r>
      <w:r>
        <w:rPr>
          <w:lang w:val="en-GB"/>
        </w:rPr>
        <w:t>E</w:t>
      </w:r>
      <w:r w:rsidRPr="0052217D">
        <w:rPr>
          <w:lang w:val="en-GB"/>
        </w:rPr>
        <w:t xml:space="preserve"> to 155</w:t>
      </w:r>
      <w:r w:rsidRPr="0052217D">
        <w:rPr>
          <w:lang w:val="en-GB"/>
        </w:rPr>
        <w:sym w:font="Symbol" w:char="F0B0"/>
      </w:r>
      <w:r>
        <w:rPr>
          <w:lang w:val="en-GB"/>
        </w:rPr>
        <w:t>E</w:t>
      </w:r>
      <w:r w:rsidRPr="0052217D">
        <w:rPr>
          <w:lang w:val="en-GB"/>
        </w:rPr>
        <w:t xml:space="preserve">) </w:t>
      </w:r>
      <w:r>
        <w:rPr>
          <w:lang w:val="en-GB"/>
        </w:rPr>
        <w:t xml:space="preserve">generated by downscaling the global GCMs </w:t>
      </w:r>
      <w:r w:rsidRPr="0052217D">
        <w:rPr>
          <w:lang w:val="en-GB"/>
        </w:rPr>
        <w:t>using the CSIRO Conformal Cubic Atmospheric Model (CCAM).</w:t>
      </w:r>
    </w:p>
    <w:p w:rsidR="008237BB" w:rsidRPr="007B6C0C" w:rsidRDefault="008237BB" w:rsidP="008237BB">
      <w:pPr>
        <w:pStyle w:val="BodyText"/>
      </w:pPr>
      <w:r w:rsidRPr="009D7255">
        <w:t>Three</w:t>
      </w:r>
      <w:r w:rsidRPr="0052217D">
        <w:rPr>
          <w:lang w:val="en-GB"/>
        </w:rPr>
        <w:t xml:space="preserve"> GCMs were dynamically</w:t>
      </w:r>
      <w:r>
        <w:rPr>
          <w:lang w:val="en-GB"/>
        </w:rPr>
        <w:t xml:space="preserve"> </w:t>
      </w:r>
      <w:r w:rsidRPr="0052217D">
        <w:rPr>
          <w:lang w:val="en-GB"/>
        </w:rPr>
        <w:t xml:space="preserve">downscaled using the CCAM model (McGregor, 2005; </w:t>
      </w:r>
      <w:r w:rsidRPr="0052217D">
        <w:fldChar w:fldCharType="begin"/>
      </w:r>
      <w:r w:rsidRPr="0052217D">
        <w:instrText xml:space="preserve"> ADDIN EN.CITE &lt;EndNote&gt;&lt;Cite&gt;&lt;Author&gt;McGregor&lt;/Author&gt;&lt;Year&gt;2008&lt;/Year&gt;&lt;RecNum&gt;761&lt;/RecNum&gt;&lt;record&gt;&lt;rec-number&gt;761&lt;/rec-number&gt;&lt;foreign-keys&gt;&lt;key app="EN" db-id="er2dszxwot5fsrea95i5dd50txredtzve9sa"&gt;761&lt;/key&gt;&lt;/foreign-keys&gt;&lt;ref-type name="Book Section"&gt;5&lt;/ref-type&gt;&lt;contributors&gt;&lt;authors&gt;&lt;author&gt;McGregor, J.&lt;/author&gt;&lt;author&gt;Dix, M. R.&lt;/author&gt;&lt;/authors&gt;&lt;secondary-authors&gt;&lt;author&gt;Kevin Hamilton&lt;/author&gt;&lt;author&gt;Wataru Ohfuchi&lt;/author&gt;&lt;/secondary-authors&gt;&lt;/contributors&gt;&lt;titles&gt;&lt;title&gt;An Updated Description of the Conformal-Cubic Atmospheric Model &lt;/title&gt;&lt;secondary-title&gt;High Resolution Numerical Modelling of the Atmosphere and Ocean &lt;/secondary-title&gt;&lt;/titles&gt;&lt;pages&gt;51-75&lt;/pages&gt;&lt;dates&gt;&lt;year&gt;2008&lt;/year&gt;&lt;/dates&gt;&lt;pub-location&gt;New York&lt;/pub-location&gt;&lt;publisher&gt;Springer &lt;/publisher&gt;&lt;isbn&gt;978-0-387-36671-5 &lt;/isbn&gt;&lt;urls&gt;&lt;/urls&gt;&lt;electronic-resource-num&gt;10.1007/978-0-387-49791-4&lt;/electronic-resource-num&gt;&lt;/record&gt;&lt;/Cite&gt;&lt;/EndNote&gt;</w:instrText>
      </w:r>
      <w:r w:rsidRPr="0052217D">
        <w:fldChar w:fldCharType="separate"/>
      </w:r>
      <w:r w:rsidRPr="0052217D">
        <w:t>McGregor and Dix</w:t>
      </w:r>
      <w:r>
        <w:t>,</w:t>
      </w:r>
      <w:r w:rsidRPr="0052217D">
        <w:t xml:space="preserve"> 2008</w:t>
      </w:r>
      <w:r w:rsidRPr="0052217D">
        <w:fldChar w:fldCharType="end"/>
      </w:r>
      <w:r w:rsidRPr="0052217D">
        <w:rPr>
          <w:lang w:val="en-GB"/>
        </w:rPr>
        <w:t xml:space="preserve">) at </w:t>
      </w:r>
      <w:r>
        <w:rPr>
          <w:lang w:val="en-GB"/>
        </w:rPr>
        <w:t xml:space="preserve">the </w:t>
      </w:r>
      <w:r w:rsidRPr="0052217D">
        <w:rPr>
          <w:lang w:val="en-GB"/>
        </w:rPr>
        <w:t xml:space="preserve">grid resolution of 0.15 degrees for the period 1971-2100. The GCMs selected are detailed in </w:t>
      </w:r>
      <w:r w:rsidR="001B78DC">
        <w:rPr>
          <w:lang w:val="en-GB"/>
        </w:rPr>
        <w:fldChar w:fldCharType="begin"/>
      </w:r>
      <w:r w:rsidR="001B78DC">
        <w:rPr>
          <w:lang w:val="en-GB"/>
        </w:rPr>
        <w:instrText xml:space="preserve"> REF _Ref354581107 \h </w:instrText>
      </w:r>
      <w:r w:rsidR="001B78DC">
        <w:rPr>
          <w:lang w:val="en-GB"/>
        </w:rPr>
      </w:r>
      <w:r w:rsidR="001B78DC">
        <w:rPr>
          <w:lang w:val="en-GB"/>
        </w:rPr>
        <w:fldChar w:fldCharType="separate"/>
      </w:r>
      <w:r w:rsidR="00413858">
        <w:t xml:space="preserve">Appendix Table </w:t>
      </w:r>
      <w:r w:rsidR="00413858">
        <w:rPr>
          <w:noProof/>
        </w:rPr>
        <w:t>B</w:t>
      </w:r>
      <w:r w:rsidR="00413858">
        <w:t>.</w:t>
      </w:r>
      <w:r w:rsidR="00413858">
        <w:rPr>
          <w:noProof/>
        </w:rPr>
        <w:t>2</w:t>
      </w:r>
      <w:r w:rsidR="001B78DC">
        <w:rPr>
          <w:lang w:val="en-GB"/>
        </w:rPr>
        <w:fldChar w:fldCharType="end"/>
      </w:r>
      <w:r w:rsidRPr="0052217D">
        <w:rPr>
          <w:lang w:val="en-GB"/>
        </w:rPr>
        <w:t xml:space="preserve">. The model selection was based on an assessment by Smith and Chandler (2009) that examined the ability of selected models to reproduce the present-day climate of the Australian region. A single SRES emission scenario for atmospheric greenhouse gas emissions (A2; see </w:t>
      </w:r>
      <w:r w:rsidRPr="0052217D">
        <w:t xml:space="preserve">Nakicenovic and Swart, 2000) </w:t>
      </w:r>
      <w:r w:rsidRPr="0052217D">
        <w:rPr>
          <w:lang w:val="en-GB"/>
        </w:rPr>
        <w:t xml:space="preserve">was used to provide a mid- to high-range response for the likely projected future of the region. </w:t>
      </w:r>
      <w:r w:rsidRPr="007B6C0C">
        <w:t>The IPCC SRES A2 emissions scenario provides an average global warming of 3.4 °C and a range of 2.0 </w:t>
      </w:r>
      <w:r w:rsidRPr="007B6C0C">
        <w:noBreakHyphen/>
        <w:t> 5.4 °C (global warming) when considering a number of complex climate models with a range of climate sensitivities (IPCC, 2007a).</w:t>
      </w:r>
    </w:p>
    <w:p w:rsidR="001B78DC" w:rsidRDefault="001B78DC" w:rsidP="00253307">
      <w:pPr>
        <w:pStyle w:val="Tabletitle"/>
      </w:pPr>
      <w:bookmarkStart w:id="3112" w:name="_Ref354581107"/>
      <w:bookmarkStart w:id="3113" w:name="_Toc355016325"/>
      <w:bookmarkStart w:id="3114" w:name="_Toc355016396"/>
      <w:bookmarkStart w:id="3115" w:name="_Toc355016496"/>
      <w:bookmarkStart w:id="3116" w:name="_Toc355073365"/>
      <w:bookmarkStart w:id="3117" w:name="_Toc355162315"/>
      <w:bookmarkStart w:id="3118" w:name="_Toc355249458"/>
      <w:r>
        <w:t xml:space="preserve">Appendix Table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Appendix_Table \* ARABIC \s 9 </w:instrText>
      </w:r>
      <w:r w:rsidR="007F11CF">
        <w:fldChar w:fldCharType="separate"/>
      </w:r>
      <w:r w:rsidR="00413858">
        <w:rPr>
          <w:noProof/>
        </w:rPr>
        <w:t>2</w:t>
      </w:r>
      <w:r w:rsidR="007F11CF">
        <w:rPr>
          <w:noProof/>
        </w:rPr>
        <w:fldChar w:fldCharType="end"/>
      </w:r>
      <w:bookmarkEnd w:id="3112"/>
      <w:r>
        <w:t xml:space="preserve">. </w:t>
      </w:r>
      <w:r w:rsidRPr="00DF7E3F">
        <w:t>Parent GCM model (driver) for the CCAM climate simulations (regional downscaling)</w:t>
      </w:r>
      <w:bookmarkEnd w:id="3113"/>
      <w:bookmarkEnd w:id="3114"/>
      <w:bookmarkEnd w:id="3115"/>
      <w:bookmarkEnd w:id="3116"/>
      <w:bookmarkEnd w:id="3117"/>
      <w:r w:rsidR="00DD02DF">
        <w:t>.</w:t>
      </w:r>
      <w:bookmarkEnd w:id="3118"/>
    </w:p>
    <w:tbl>
      <w:tblPr>
        <w:tblStyle w:val="TableGAHeaderRow"/>
        <w:tblW w:w="0" w:type="auto"/>
        <w:jc w:val="center"/>
        <w:tblInd w:w="0" w:type="dxa"/>
        <w:tblLayout w:type="fixed"/>
        <w:tblLook w:val="00A0" w:firstRow="1" w:lastRow="0" w:firstColumn="1" w:lastColumn="0" w:noHBand="0" w:noVBand="0"/>
        <w:tblDescription w:val="This table provides the source organisation of the GCMs used in the bushfire hazard analysis. ECHAM 5 from the Max-Planck Institut (Germany), GFDL_CM 2.1 from Princeton Univ./NOAA (USA) and MIROC 3.2 medres from the Interdisciplinary Research on Climate (Japan).&#10;"/>
      </w:tblPr>
      <w:tblGrid>
        <w:gridCol w:w="2948"/>
        <w:gridCol w:w="3969"/>
      </w:tblGrid>
      <w:tr w:rsidR="008237BB" w:rsidRPr="00885255" w:rsidTr="000871C1">
        <w:trPr>
          <w:cnfStyle w:val="100000000000" w:firstRow="1" w:lastRow="0" w:firstColumn="0" w:lastColumn="0" w:oddVBand="0" w:evenVBand="0" w:oddHBand="0" w:evenHBand="0" w:firstRowFirstColumn="0" w:firstRowLastColumn="0" w:lastRowFirstColumn="0" w:lastRowLastColumn="0"/>
          <w:cantSplit w:val="0"/>
          <w:trHeight w:val="497"/>
          <w:tblHeader/>
          <w:jc w:val="center"/>
        </w:trPr>
        <w:tc>
          <w:tcPr>
            <w:cnfStyle w:val="000010000000" w:firstRow="0" w:lastRow="0" w:firstColumn="0" w:lastColumn="0" w:oddVBand="1" w:evenVBand="0" w:oddHBand="0" w:evenHBand="0" w:firstRowFirstColumn="0" w:firstRowLastColumn="0" w:lastRowFirstColumn="0" w:lastRowLastColumn="0"/>
            <w:tcW w:w="2948" w:type="dxa"/>
            <w:vAlign w:val="center"/>
          </w:tcPr>
          <w:p w:rsidR="008237BB" w:rsidRPr="00DB0FF6" w:rsidRDefault="008237BB" w:rsidP="001D132F">
            <w:pPr>
              <w:pStyle w:val="Tabletextleft"/>
            </w:pPr>
            <w:r w:rsidRPr="00DB0FF6">
              <w:t>CCAM “parent model” (driver)</w:t>
            </w:r>
          </w:p>
        </w:tc>
        <w:tc>
          <w:tcPr>
            <w:tcW w:w="3969" w:type="dxa"/>
            <w:vAlign w:val="center"/>
          </w:tcPr>
          <w:p w:rsidR="008237BB" w:rsidRPr="00DB0FF6" w:rsidRDefault="008237BB" w:rsidP="001D132F">
            <w:pPr>
              <w:pStyle w:val="Tabletextleft"/>
              <w:cnfStyle w:val="100000000000" w:firstRow="1" w:lastRow="0" w:firstColumn="0" w:lastColumn="0" w:oddVBand="0" w:evenVBand="0" w:oddHBand="0" w:evenHBand="0" w:firstRowFirstColumn="0" w:firstRowLastColumn="0" w:lastRowFirstColumn="0" w:lastRowLastColumn="0"/>
            </w:pPr>
            <w:r w:rsidRPr="00DB0FF6">
              <w:t>Institution</w:t>
            </w:r>
          </w:p>
        </w:tc>
      </w:tr>
      <w:tr w:rsidR="008237BB" w:rsidRPr="000D1715" w:rsidTr="009340CE">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948" w:type="dxa"/>
            <w:vAlign w:val="center"/>
          </w:tcPr>
          <w:p w:rsidR="008237BB" w:rsidRPr="00DB0FF6" w:rsidRDefault="008237BB" w:rsidP="001D132F">
            <w:pPr>
              <w:pStyle w:val="Tabletextcentred"/>
            </w:pPr>
            <w:r w:rsidRPr="00DB0FF6">
              <w:t>ECHAM 5</w:t>
            </w:r>
          </w:p>
        </w:tc>
        <w:tc>
          <w:tcPr>
            <w:tcW w:w="3969" w:type="dxa"/>
            <w:vAlign w:val="center"/>
          </w:tcPr>
          <w:p w:rsidR="008237BB" w:rsidRPr="00DB0FF6" w:rsidRDefault="008237BB" w:rsidP="001D132F">
            <w:pPr>
              <w:pStyle w:val="Tabletextcentred"/>
              <w:cnfStyle w:val="000000100000" w:firstRow="0" w:lastRow="0" w:firstColumn="0" w:lastColumn="0" w:oddVBand="0" w:evenVBand="0" w:oddHBand="1" w:evenHBand="0" w:firstRowFirstColumn="0" w:firstRowLastColumn="0" w:lastRowFirstColumn="0" w:lastRowLastColumn="0"/>
            </w:pPr>
            <w:r w:rsidRPr="00DB0FF6">
              <w:t>Max-Planck Institut (Germany)</w:t>
            </w:r>
          </w:p>
        </w:tc>
      </w:tr>
      <w:tr w:rsidR="008237BB" w:rsidRPr="000D1715" w:rsidTr="009340CE">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948" w:type="dxa"/>
            <w:vAlign w:val="center"/>
          </w:tcPr>
          <w:p w:rsidR="008237BB" w:rsidRPr="00DB0FF6" w:rsidRDefault="008237BB" w:rsidP="001D132F">
            <w:pPr>
              <w:pStyle w:val="Tabletextcentred"/>
            </w:pPr>
            <w:r w:rsidRPr="00DB0FF6">
              <w:t>GFDL_CM 2.1</w:t>
            </w:r>
          </w:p>
        </w:tc>
        <w:tc>
          <w:tcPr>
            <w:tcW w:w="3969" w:type="dxa"/>
            <w:vAlign w:val="center"/>
          </w:tcPr>
          <w:p w:rsidR="008237BB" w:rsidRPr="00DB0FF6" w:rsidRDefault="008237BB" w:rsidP="001D132F">
            <w:pPr>
              <w:pStyle w:val="Tabletextcentred"/>
              <w:cnfStyle w:val="000000010000" w:firstRow="0" w:lastRow="0" w:firstColumn="0" w:lastColumn="0" w:oddVBand="0" w:evenVBand="0" w:oddHBand="0" w:evenHBand="1" w:firstRowFirstColumn="0" w:firstRowLastColumn="0" w:lastRowFirstColumn="0" w:lastRowLastColumn="0"/>
            </w:pPr>
            <w:r w:rsidRPr="00DB0FF6">
              <w:t>Princeton Univ./NOAA (USA)</w:t>
            </w:r>
          </w:p>
        </w:tc>
      </w:tr>
      <w:tr w:rsidR="008237BB" w:rsidRPr="000D1715" w:rsidTr="009340CE">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948" w:type="dxa"/>
            <w:vAlign w:val="center"/>
          </w:tcPr>
          <w:p w:rsidR="008237BB" w:rsidRPr="00DB0FF6" w:rsidRDefault="008237BB" w:rsidP="001D132F">
            <w:pPr>
              <w:pStyle w:val="Tabletextcentred"/>
            </w:pPr>
            <w:r w:rsidRPr="00DB0FF6">
              <w:t>MIROC 3.2 medres</w:t>
            </w:r>
          </w:p>
        </w:tc>
        <w:tc>
          <w:tcPr>
            <w:tcW w:w="3969" w:type="dxa"/>
            <w:vAlign w:val="center"/>
          </w:tcPr>
          <w:p w:rsidR="008237BB" w:rsidRPr="00DB0FF6" w:rsidRDefault="008237BB" w:rsidP="001D132F">
            <w:pPr>
              <w:pStyle w:val="Tabletextcentred"/>
              <w:cnfStyle w:val="000000100000" w:firstRow="0" w:lastRow="0" w:firstColumn="0" w:lastColumn="0" w:oddVBand="0" w:evenVBand="0" w:oddHBand="1" w:evenHBand="0" w:firstRowFirstColumn="0" w:firstRowLastColumn="0" w:lastRowFirstColumn="0" w:lastRowLastColumn="0"/>
            </w:pPr>
            <w:r w:rsidRPr="000844AA">
              <w:t>Interdisciplinary</w:t>
            </w:r>
            <w:r w:rsidRPr="006B54B0">
              <w:t xml:space="preserve"> Research on Climate (Japan)</w:t>
            </w:r>
          </w:p>
        </w:tc>
      </w:tr>
    </w:tbl>
    <w:p w:rsidR="008237BB" w:rsidRPr="0052217D" w:rsidRDefault="008237BB" w:rsidP="008237BB">
      <w:pPr>
        <w:pStyle w:val="BodyText"/>
        <w:rPr>
          <w:lang w:val="en-GB"/>
        </w:rPr>
      </w:pPr>
      <w:r w:rsidRPr="0052217D">
        <w:rPr>
          <w:lang w:val="en-GB"/>
        </w:rPr>
        <w:t xml:space="preserve">A </w:t>
      </w:r>
      <w:r w:rsidRPr="009D7255">
        <w:t>regional</w:t>
      </w:r>
      <w:r w:rsidRPr="0052217D">
        <w:rPr>
          <w:lang w:val="en-GB"/>
        </w:rPr>
        <w:t xml:space="preserve"> downscaling approach utilising the CCAM dynamical downscaling model (Katzfey </w:t>
      </w:r>
      <w:r w:rsidRPr="007B6C0C">
        <w:rPr>
          <w:rStyle w:val="Bodytextitalic"/>
        </w:rPr>
        <w:t>et al.,</w:t>
      </w:r>
      <w:r w:rsidRPr="0052217D">
        <w:rPr>
          <w:lang w:val="en-GB"/>
        </w:rPr>
        <w:t xml:space="preserve"> 2009) was employed to model the spatial variability of the regions climate. It uses a stretched-grid global model with forcing data taken from a host GCM. The result is a fine-scale grid of information over the area of interest (dynamically downscaled region). A two stage downscaling process was required to achieve the final resolution of 0.15</w:t>
      </w:r>
      <w:r w:rsidRPr="0052217D">
        <w:rPr>
          <w:lang w:val="en-GB"/>
        </w:rPr>
        <w:sym w:font="Symbol" w:char="F0B0"/>
      </w:r>
      <w:r w:rsidRPr="0052217D">
        <w:rPr>
          <w:lang w:val="en-GB"/>
        </w:rPr>
        <w:t>. The first stage (intermediate model) involved downscaling from the host GCM to a grid with the high-resolution face of the cubic conformal grid covering all of Australia at a resolution of approximately 0.5</w:t>
      </w:r>
      <w:r w:rsidRPr="0052217D">
        <w:rPr>
          <w:lang w:val="en-GB"/>
        </w:rPr>
        <w:sym w:font="Symbol" w:char="F0B0"/>
      </w:r>
      <w:r w:rsidRPr="0052217D">
        <w:rPr>
          <w:lang w:val="en-GB"/>
        </w:rPr>
        <w:t>. T</w:t>
      </w:r>
      <w:r w:rsidR="00DD02DF">
        <w:rPr>
          <w:lang w:val="en-GB"/>
        </w:rPr>
        <w:t>he second stage placed the high</w:t>
      </w:r>
      <w:r w:rsidR="00DD02DF">
        <w:rPr>
          <w:lang w:val="en-GB"/>
        </w:rPr>
        <w:noBreakHyphen/>
      </w:r>
      <w:r w:rsidRPr="0052217D">
        <w:rPr>
          <w:lang w:val="en-GB"/>
        </w:rPr>
        <w:t xml:space="preserve">resolution face over the eastern part of the continent. </w:t>
      </w:r>
      <w:r>
        <w:rPr>
          <w:lang w:val="en-GB"/>
        </w:rPr>
        <w:fldChar w:fldCharType="begin"/>
      </w:r>
      <w:r>
        <w:rPr>
          <w:lang w:val="en-GB"/>
        </w:rPr>
        <w:instrText xml:space="preserve"> REF _Ref350337660 \h </w:instrText>
      </w:r>
      <w:r>
        <w:rPr>
          <w:lang w:val="en-GB"/>
        </w:rPr>
      </w:r>
      <w:r>
        <w:rPr>
          <w:lang w:val="en-GB"/>
        </w:rPr>
        <w:fldChar w:fldCharType="separate"/>
      </w:r>
      <w:r w:rsidR="00413858">
        <w:t xml:space="preserve">Appendix Figure </w:t>
      </w:r>
      <w:r w:rsidR="00413858">
        <w:rPr>
          <w:noProof/>
        </w:rPr>
        <w:t>B</w:t>
      </w:r>
      <w:r w:rsidR="00413858">
        <w:t>.</w:t>
      </w:r>
      <w:r w:rsidR="00413858">
        <w:rPr>
          <w:noProof/>
        </w:rPr>
        <w:t>4</w:t>
      </w:r>
      <w:r>
        <w:rPr>
          <w:lang w:val="en-GB"/>
        </w:rPr>
        <w:fldChar w:fldCharType="end"/>
      </w:r>
      <w:r>
        <w:rPr>
          <w:lang w:val="en-GB"/>
        </w:rPr>
        <w:t xml:space="preserve"> </w:t>
      </w:r>
      <w:r w:rsidRPr="0052217D">
        <w:rPr>
          <w:lang w:val="en-GB"/>
        </w:rPr>
        <w:t>demonstrates the average annual precipitation totals for Tasmania at the three grid resolutions (a typical GCM and the two stages of downscaled results; demonstrated by GFDL-CM2.1 model). A typical GCM resolution (</w:t>
      </w:r>
      <w:r>
        <w:rPr>
          <w:lang w:val="en-GB"/>
        </w:rPr>
        <w:fldChar w:fldCharType="begin"/>
      </w:r>
      <w:r>
        <w:rPr>
          <w:lang w:val="en-GB"/>
        </w:rPr>
        <w:instrText xml:space="preserve"> REF _Ref350337660 \h </w:instrText>
      </w:r>
      <w:r>
        <w:rPr>
          <w:lang w:val="en-GB"/>
        </w:rPr>
      </w:r>
      <w:r>
        <w:rPr>
          <w:lang w:val="en-GB"/>
        </w:rPr>
        <w:fldChar w:fldCharType="separate"/>
      </w:r>
      <w:r w:rsidR="00413858">
        <w:t xml:space="preserve">Appendix Figure </w:t>
      </w:r>
      <w:r w:rsidR="00413858">
        <w:rPr>
          <w:noProof/>
        </w:rPr>
        <w:t>B</w:t>
      </w:r>
      <w:r w:rsidR="00413858">
        <w:t>.</w:t>
      </w:r>
      <w:r w:rsidR="00413858">
        <w:rPr>
          <w:noProof/>
        </w:rPr>
        <w:t>4</w:t>
      </w:r>
      <w:r>
        <w:rPr>
          <w:lang w:val="en-GB"/>
        </w:rPr>
        <w:fldChar w:fldCharType="end"/>
      </w:r>
      <w:r>
        <w:rPr>
          <w:lang w:val="en-GB"/>
        </w:rPr>
        <w:t>a</w:t>
      </w:r>
      <w:r w:rsidR="000538C6">
        <w:rPr>
          <w:lang w:val="en-GB"/>
        </w:rPr>
        <w:t xml:space="preserve">, </w:t>
      </w:r>
      <w:r w:rsidR="000538C6">
        <w:t>Typical GCM Projection</w:t>
      </w:r>
      <w:r w:rsidRPr="0052217D">
        <w:rPr>
          <w:lang w:val="en-GB"/>
        </w:rPr>
        <w:t>) only has two or three grid cells covering the state. The 0.5</w:t>
      </w:r>
      <w:r w:rsidRPr="0052217D">
        <w:rPr>
          <w:lang w:val="en-GB"/>
        </w:rPr>
        <w:sym w:font="Symbol" w:char="F0B0"/>
      </w:r>
      <w:r w:rsidRPr="0052217D">
        <w:rPr>
          <w:lang w:val="en-GB"/>
        </w:rPr>
        <w:t xml:space="preserve"> resolution model (</w:t>
      </w:r>
      <w:r>
        <w:rPr>
          <w:lang w:val="en-GB"/>
        </w:rPr>
        <w:fldChar w:fldCharType="begin"/>
      </w:r>
      <w:r>
        <w:rPr>
          <w:lang w:val="en-GB"/>
        </w:rPr>
        <w:instrText xml:space="preserve"> REF _Ref350337660 \h </w:instrText>
      </w:r>
      <w:r>
        <w:rPr>
          <w:lang w:val="en-GB"/>
        </w:rPr>
      </w:r>
      <w:r>
        <w:rPr>
          <w:lang w:val="en-GB"/>
        </w:rPr>
        <w:fldChar w:fldCharType="separate"/>
      </w:r>
      <w:r w:rsidR="00413858">
        <w:t xml:space="preserve">Appendix Figure </w:t>
      </w:r>
      <w:r w:rsidR="00413858">
        <w:rPr>
          <w:noProof/>
        </w:rPr>
        <w:t>B</w:t>
      </w:r>
      <w:r w:rsidR="00413858">
        <w:t>.</w:t>
      </w:r>
      <w:r w:rsidR="00413858">
        <w:rPr>
          <w:noProof/>
        </w:rPr>
        <w:t>4</w:t>
      </w:r>
      <w:r>
        <w:rPr>
          <w:lang w:val="en-GB"/>
        </w:rPr>
        <w:fldChar w:fldCharType="end"/>
      </w:r>
      <w:r>
        <w:rPr>
          <w:lang w:val="en-GB"/>
        </w:rPr>
        <w:t>b</w:t>
      </w:r>
      <w:r w:rsidR="000538C6">
        <w:rPr>
          <w:lang w:val="en-GB"/>
        </w:rPr>
        <w:t xml:space="preserve">, </w:t>
      </w:r>
      <w:r w:rsidR="000538C6">
        <w:t>0.5</w:t>
      </w:r>
      <w:r w:rsidR="000538C6" w:rsidRPr="006B24B4">
        <w:sym w:font="Symbol" w:char="F0B0"/>
      </w:r>
      <w:r w:rsidR="000538C6">
        <w:t xml:space="preserve"> intermediate downscaled projection</w:t>
      </w:r>
      <w:r w:rsidRPr="0052217D">
        <w:rPr>
          <w:lang w:val="en-GB"/>
        </w:rPr>
        <w:t>) shows an improved spatial pattern of precipitation, with the predominantly dryer eastern and wetter western regions starting to be defined. The finest 0.15</w:t>
      </w:r>
      <w:r w:rsidRPr="0052217D">
        <w:rPr>
          <w:lang w:val="en-GB"/>
        </w:rPr>
        <w:sym w:font="Symbol" w:char="F0B0"/>
      </w:r>
      <w:r w:rsidRPr="0052217D">
        <w:rPr>
          <w:lang w:val="en-GB"/>
        </w:rPr>
        <w:t xml:space="preserve"> resolution model (</w:t>
      </w:r>
      <w:r>
        <w:rPr>
          <w:lang w:val="en-GB"/>
        </w:rPr>
        <w:fldChar w:fldCharType="begin"/>
      </w:r>
      <w:r>
        <w:rPr>
          <w:lang w:val="en-GB"/>
        </w:rPr>
        <w:instrText xml:space="preserve"> REF _Ref350337660 \h </w:instrText>
      </w:r>
      <w:r>
        <w:rPr>
          <w:lang w:val="en-GB"/>
        </w:rPr>
      </w:r>
      <w:r>
        <w:rPr>
          <w:lang w:val="en-GB"/>
        </w:rPr>
        <w:fldChar w:fldCharType="separate"/>
      </w:r>
      <w:r w:rsidR="00413858">
        <w:t xml:space="preserve">Appendix Figure </w:t>
      </w:r>
      <w:r w:rsidR="00413858">
        <w:rPr>
          <w:noProof/>
        </w:rPr>
        <w:t>B</w:t>
      </w:r>
      <w:r w:rsidR="00413858">
        <w:t>.</w:t>
      </w:r>
      <w:r w:rsidR="00413858">
        <w:rPr>
          <w:noProof/>
        </w:rPr>
        <w:t>4</w:t>
      </w:r>
      <w:r>
        <w:rPr>
          <w:lang w:val="en-GB"/>
        </w:rPr>
        <w:fldChar w:fldCharType="end"/>
      </w:r>
      <w:r>
        <w:rPr>
          <w:lang w:val="en-GB"/>
        </w:rPr>
        <w:t>c</w:t>
      </w:r>
      <w:r w:rsidR="000538C6">
        <w:rPr>
          <w:lang w:val="en-GB"/>
        </w:rPr>
        <w:t xml:space="preserve">, </w:t>
      </w:r>
      <w:r w:rsidR="000538C6">
        <w:t>0.15</w:t>
      </w:r>
      <w:r w:rsidR="000538C6" w:rsidRPr="006B24B4">
        <w:sym w:font="Symbol" w:char="F0B0"/>
      </w:r>
      <w:r w:rsidR="000538C6">
        <w:t xml:space="preserve"> downscaled projection</w:t>
      </w:r>
      <w:r w:rsidRPr="0052217D">
        <w:rPr>
          <w:lang w:val="en-GB"/>
        </w:rPr>
        <w:t>) closely resembl</w:t>
      </w:r>
      <w:r>
        <w:rPr>
          <w:lang w:val="en-GB"/>
        </w:rPr>
        <w:t>es</w:t>
      </w:r>
      <w:r w:rsidRPr="0052217D">
        <w:rPr>
          <w:lang w:val="en-GB"/>
        </w:rPr>
        <w:t xml:space="preserve"> the observed spatial pattern of annual precipitation. It was concluded that the high-resolution 0.15</w:t>
      </w:r>
      <w:r w:rsidRPr="0052217D">
        <w:rPr>
          <w:lang w:val="en-GB"/>
        </w:rPr>
        <w:sym w:font="Symbol" w:char="F0B0"/>
      </w:r>
      <w:r w:rsidRPr="0052217D">
        <w:rPr>
          <w:lang w:val="en-GB"/>
        </w:rPr>
        <w:t xml:space="preserve"> dynamical downscaling process had the ability to model the </w:t>
      </w:r>
      <w:r w:rsidRPr="0052217D">
        <w:rPr>
          <w:lang w:val="en-GB"/>
        </w:rPr>
        <w:lastRenderedPageBreak/>
        <w:t>local climate of a region such as Central Queensland accurately across the downscaled models, including seasonality, spatial variance and relationships between the different climate variables.</w:t>
      </w:r>
    </w:p>
    <w:p w:rsidR="008237BB" w:rsidRDefault="00011E6E" w:rsidP="000538C6">
      <w:pPr>
        <w:pStyle w:val="Figuresandimagescentred"/>
        <w:rPr>
          <w:lang w:val="en-GB"/>
        </w:rPr>
      </w:pPr>
      <w:r>
        <w:rPr>
          <w:noProof/>
        </w:rPr>
        <w:drawing>
          <wp:inline distT="0" distB="0" distL="0" distR="0" wp14:anchorId="1B1CC861" wp14:editId="3A3FFD84">
            <wp:extent cx="1764000" cy="2332800"/>
            <wp:effectExtent l="19050" t="19050" r="27305" b="10795"/>
            <wp:docPr id="102" name="Picture 102" descr="Typical GCM resolution output over Tasmania. Two to three grid cells cover the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Figure 4.18.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64000" cy="2332800"/>
                    </a:xfrm>
                    <a:prstGeom prst="rect">
                      <a:avLst/>
                    </a:prstGeom>
                    <a:noFill/>
                    <a:ln>
                      <a:solidFill>
                        <a:schemeClr val="accent1">
                          <a:shade val="50000"/>
                        </a:schemeClr>
                      </a:solidFill>
                    </a:ln>
                  </pic:spPr>
                </pic:pic>
              </a:graphicData>
            </a:graphic>
          </wp:inline>
        </w:drawing>
      </w:r>
      <w:r>
        <w:rPr>
          <w:noProof/>
        </w:rPr>
        <w:drawing>
          <wp:inline distT="0" distB="0" distL="0" distR="0" wp14:anchorId="43ED8758" wp14:editId="0A6E255F">
            <wp:extent cx="1749600" cy="2332800"/>
            <wp:effectExtent l="19050" t="19050" r="22225" b="10795"/>
            <wp:docPr id="103" name="Picture 103" descr="The intermediate resolution 0.5 degree resolution model output for Tas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Figure 4.18.png"/>
                    <pic:cNvPicPr>
                      <a:picLocks noChangeAspect="1" noChangeArrowheads="1"/>
                    </pic:cNvPicPr>
                  </pic:nvPicPr>
                  <pic:blipFill>
                    <a:blip r:embed="rId89">
                      <a:extLst>
                        <a:ext uri="{28A0092B-C50C-407E-A947-70E740481C1C}">
                          <a14:useLocalDpi xmlns:a14="http://schemas.microsoft.com/office/drawing/2010/main" val="0"/>
                        </a:ext>
                      </a:extLst>
                    </a:blip>
                    <a:srcRect l="41045" t="19252" r="43497" b="22862"/>
                    <a:stretch>
                      <a:fillRect/>
                    </a:stretch>
                  </pic:blipFill>
                  <pic:spPr bwMode="auto">
                    <a:xfrm>
                      <a:off x="0" y="0"/>
                      <a:ext cx="1749600" cy="2332800"/>
                    </a:xfrm>
                    <a:prstGeom prst="rect">
                      <a:avLst/>
                    </a:prstGeom>
                    <a:noFill/>
                    <a:ln>
                      <a:solidFill>
                        <a:schemeClr val="accent1">
                          <a:shade val="50000"/>
                        </a:schemeClr>
                      </a:solidFill>
                    </a:ln>
                  </pic:spPr>
                </pic:pic>
              </a:graphicData>
            </a:graphic>
          </wp:inline>
        </w:drawing>
      </w:r>
      <w:r>
        <w:rPr>
          <w:noProof/>
        </w:rPr>
        <w:drawing>
          <wp:inline distT="0" distB="0" distL="0" distR="0" wp14:anchorId="3E9C5E4A" wp14:editId="0FDA203E">
            <wp:extent cx="1762239" cy="2332800"/>
            <wp:effectExtent l="19050" t="19050" r="9525" b="10795"/>
            <wp:docPr id="106" name="Picture 106" descr="The 0.15 degree resolution final downscaled output for Tas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Users\u70587\Desktop\Clipboard0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62239" cy="2332800"/>
                    </a:xfrm>
                    <a:prstGeom prst="rect">
                      <a:avLst/>
                    </a:prstGeom>
                    <a:noFill/>
                    <a:ln>
                      <a:solidFill>
                        <a:schemeClr val="accent1">
                          <a:shade val="50000"/>
                        </a:schemeClr>
                      </a:solidFill>
                    </a:ln>
                  </pic:spPr>
                </pic:pic>
              </a:graphicData>
            </a:graphic>
          </wp:inline>
        </w:drawing>
      </w:r>
    </w:p>
    <w:p w:rsidR="000538C6" w:rsidRPr="000538C6" w:rsidRDefault="000538C6" w:rsidP="00C86D91">
      <w:pPr>
        <w:pStyle w:val="Figurex3"/>
      </w:pPr>
      <w:r>
        <w:t>a)</w:t>
      </w:r>
      <w:r>
        <w:tab/>
        <w:t>b)</w:t>
      </w:r>
      <w:r w:rsidR="00C86D91" w:rsidRPr="00C86D91">
        <w:tab/>
      </w:r>
      <w:r>
        <w:t>c)</w:t>
      </w:r>
    </w:p>
    <w:p w:rsidR="008237BB" w:rsidRPr="001D1D44" w:rsidRDefault="00414D8E" w:rsidP="001D1D44">
      <w:pPr>
        <w:pStyle w:val="Caption"/>
      </w:pPr>
      <w:bookmarkStart w:id="3119" w:name="_Ref350337660"/>
      <w:bookmarkStart w:id="3120" w:name="_Ref342391415"/>
      <w:bookmarkStart w:id="3121" w:name="_Toc342638652"/>
      <w:bookmarkStart w:id="3122" w:name="_Toc349055166"/>
      <w:bookmarkStart w:id="3123" w:name="_Toc349114914"/>
      <w:bookmarkStart w:id="3124" w:name="_Toc349115005"/>
      <w:bookmarkStart w:id="3125" w:name="_Toc349115144"/>
      <w:bookmarkStart w:id="3126" w:name="_Toc349115537"/>
      <w:bookmarkStart w:id="3127" w:name="_Toc350325585"/>
      <w:bookmarkStart w:id="3128" w:name="_Toc350327009"/>
      <w:bookmarkStart w:id="3129" w:name="_Toc350327155"/>
      <w:bookmarkStart w:id="3130" w:name="_Toc350327287"/>
      <w:bookmarkStart w:id="3131" w:name="_Toc350330234"/>
      <w:bookmarkStart w:id="3132" w:name="_Toc350341643"/>
      <w:bookmarkStart w:id="3133" w:name="_Toc351449928"/>
      <w:bookmarkStart w:id="3134" w:name="_Toc351450009"/>
      <w:bookmarkStart w:id="3135" w:name="_Toc352242311"/>
      <w:bookmarkStart w:id="3136" w:name="_Toc352243870"/>
      <w:bookmarkStart w:id="3137" w:name="_Toc352244415"/>
      <w:bookmarkStart w:id="3138" w:name="_Toc352244510"/>
      <w:bookmarkStart w:id="3139" w:name="_Toc354403616"/>
      <w:bookmarkStart w:id="3140" w:name="_Toc354476621"/>
      <w:bookmarkStart w:id="3141" w:name="_Toc354493378"/>
      <w:bookmarkStart w:id="3142" w:name="_Toc354493919"/>
      <w:bookmarkStart w:id="3143" w:name="_Toc354494601"/>
      <w:bookmarkStart w:id="3144" w:name="_Toc354494791"/>
      <w:bookmarkStart w:id="3145" w:name="_Toc354497535"/>
      <w:bookmarkStart w:id="3146" w:name="_Toc354561198"/>
      <w:bookmarkStart w:id="3147" w:name="_Toc354561382"/>
      <w:bookmarkStart w:id="3148" w:name="_Toc354561454"/>
      <w:bookmarkStart w:id="3149" w:name="_Toc354561526"/>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4</w:t>
      </w:r>
      <w:r w:rsidR="007F11CF">
        <w:rPr>
          <w:noProof/>
        </w:rPr>
        <w:fldChar w:fldCharType="end"/>
      </w:r>
      <w:bookmarkEnd w:id="3119"/>
      <w:r w:rsidR="008237BB" w:rsidRPr="005C67AB">
        <w:rPr>
          <w:lang w:val="en-GB"/>
        </w:rPr>
        <w:t xml:space="preserve">. </w:t>
      </w:r>
      <w:r w:rsidR="008237BB" w:rsidRPr="006B24B4">
        <w:t>Average annual precipitation totals for Tasmania projected on typical a) GCM, b) 0.5</w:t>
      </w:r>
      <w:r w:rsidR="008237BB" w:rsidRPr="006B24B4">
        <w:sym w:font="Symbol" w:char="F0B0"/>
      </w:r>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r w:rsidR="008237BB" w:rsidRPr="006B24B4">
        <w:t xml:space="preserve"> </w:t>
      </w:r>
      <w:r w:rsidR="006B24B4">
        <w:t xml:space="preserve">and c) </w:t>
      </w:r>
      <w:r w:rsidR="008237BB" w:rsidRPr="006B24B4">
        <w:t>0.15</w:t>
      </w:r>
      <w:r w:rsidR="008237BB" w:rsidRPr="006B24B4">
        <w:sym w:font="Symbol" w:char="F0B0"/>
      </w:r>
      <w:r w:rsidR="008237BB" w:rsidRPr="006B24B4">
        <w:t xml:space="preserve"> grids (Corney et al., 2010). Precipitation scaled from 0-3000 mm per annum.</w:t>
      </w:r>
      <w:bookmarkEnd w:id="3139"/>
      <w:bookmarkEnd w:id="3140"/>
      <w:bookmarkEnd w:id="3141"/>
      <w:bookmarkEnd w:id="3142"/>
      <w:bookmarkEnd w:id="3143"/>
      <w:bookmarkEnd w:id="3144"/>
      <w:bookmarkEnd w:id="3145"/>
      <w:bookmarkEnd w:id="3146"/>
      <w:bookmarkEnd w:id="3147"/>
      <w:bookmarkEnd w:id="3148"/>
      <w:bookmarkEnd w:id="3149"/>
    </w:p>
    <w:p w:rsidR="008237BB" w:rsidRPr="005C6D04" w:rsidRDefault="008237BB" w:rsidP="00935848">
      <w:pPr>
        <w:pStyle w:val="Headingappendix3"/>
      </w:pPr>
      <w:bookmarkStart w:id="3150" w:name="_Toc340842964"/>
      <w:bookmarkStart w:id="3151" w:name="_Toc342638502"/>
      <w:bookmarkStart w:id="3152" w:name="_Toc346261001"/>
      <w:bookmarkStart w:id="3153" w:name="_Toc346632563"/>
      <w:bookmarkStart w:id="3154" w:name="_Toc347402498"/>
      <w:bookmarkStart w:id="3155" w:name="_Toc349055070"/>
      <w:bookmarkStart w:id="3156" w:name="_Toc349116974"/>
      <w:bookmarkStart w:id="3157" w:name="_Toc354402032"/>
      <w:bookmarkStart w:id="3158" w:name="_Toc354476529"/>
      <w:bookmarkStart w:id="3159" w:name="_Toc354492758"/>
      <w:bookmarkStart w:id="3160" w:name="_Toc354492888"/>
      <w:bookmarkStart w:id="3161" w:name="_Toc354493136"/>
      <w:bookmarkStart w:id="3162" w:name="_Toc354493297"/>
      <w:bookmarkStart w:id="3163" w:name="_Toc354493755"/>
      <w:bookmarkStart w:id="3164" w:name="_Toc354494290"/>
      <w:bookmarkStart w:id="3165" w:name="_Toc354494508"/>
      <w:bookmarkStart w:id="3166" w:name="_Toc354494719"/>
      <w:bookmarkStart w:id="3167" w:name="_Toc354495013"/>
      <w:bookmarkStart w:id="3168" w:name="_Toc354497895"/>
      <w:bookmarkStart w:id="3169" w:name="_Toc354561308"/>
      <w:bookmarkStart w:id="3170" w:name="_Toc355164217"/>
      <w:bookmarkStart w:id="3171" w:name="_Toc355249649"/>
      <w:r>
        <w:t>Forest Fire Danger Index</w:t>
      </w:r>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p>
    <w:p w:rsidR="002F691C" w:rsidRDefault="008237BB" w:rsidP="008237BB">
      <w:pPr>
        <w:pStyle w:val="BodyText"/>
      </w:pPr>
      <w:r w:rsidRPr="001C2551">
        <w:t xml:space="preserve">For current climate, the FFDI was obtained utilising the observational record, which spanned </w:t>
      </w:r>
      <w:r>
        <w:t>four</w:t>
      </w:r>
      <w:r w:rsidRPr="001C2551">
        <w:t xml:space="preserve"> decades in the Central Queensland region. High-resolution spatial detail for the FFDI was obtained by using a modelling approach that considered a number of extreme events that were </w:t>
      </w:r>
      <w:r>
        <w:t>identified</w:t>
      </w:r>
      <w:r w:rsidRPr="001C2551">
        <w:t xml:space="preserve"> as “typical” of the type of event that would be experienced for a </w:t>
      </w:r>
      <w:r>
        <w:t>50 year ARI or 100 year ARI</w:t>
      </w:r>
      <w:r w:rsidRPr="001C2551">
        <w:t xml:space="preserve"> event (i.e. the synoptic forcing had been determined as being similar to the majority of the extreme fire weather events in the observational record).</w:t>
      </w:r>
    </w:p>
    <w:p w:rsidR="008237BB" w:rsidRDefault="008237BB" w:rsidP="009D7E82">
      <w:pPr>
        <w:pStyle w:val="BodyText"/>
        <w:keepNext/>
      </w:pPr>
      <w:r w:rsidRPr="001C2551">
        <w:t xml:space="preserve">For future climate, three downscaled GCMs forced by the A2 </w:t>
      </w:r>
      <w:r>
        <w:t xml:space="preserve">GHG </w:t>
      </w:r>
      <w:r w:rsidRPr="001C2551">
        <w:t>emission</w:t>
      </w:r>
      <w:r>
        <w:t>s</w:t>
      </w:r>
      <w:r w:rsidRPr="001C2551">
        <w:t xml:space="preserve"> scenario for atmospheric greenhouse gas emissions</w:t>
      </w:r>
      <w:r>
        <w:t xml:space="preserve"> were considered</w:t>
      </w:r>
      <w:r w:rsidRPr="001C2551">
        <w:t xml:space="preserve">. The models were initially run in “control” mode where the present-day (1990) atmospheric forcings were kept constant. From 1991 to 2100 the atmospheric forcing followed the A2 scenario (Nakicenovic and Swart, 2000) resulting in a change within each model from the “control” climate. </w:t>
      </w:r>
      <w:r>
        <w:t>T</w:t>
      </w:r>
      <w:r w:rsidRPr="001C2551">
        <w:t>hree periods of the simulation within each of the three mode</w:t>
      </w:r>
      <w:r>
        <w:t>l</w:t>
      </w:r>
      <w:r w:rsidRPr="001C2551">
        <w:t>s</w:t>
      </w:r>
      <w:r>
        <w:t xml:space="preserve"> were considered</w:t>
      </w:r>
      <w:r w:rsidRPr="001C2551">
        <w:t>:</w:t>
      </w:r>
    </w:p>
    <w:p w:rsidR="008237BB" w:rsidRPr="005B6444" w:rsidRDefault="008237BB" w:rsidP="00481556">
      <w:pPr>
        <w:pStyle w:val="Bulletlevel1"/>
        <w:keepNext/>
        <w:ind w:left="568" w:hanging="284"/>
      </w:pPr>
      <w:r w:rsidRPr="005B6444">
        <w:t xml:space="preserve">(Dataset 1) 1971 – 1990 (considered as the </w:t>
      </w:r>
      <w:r>
        <w:t>current-climate</w:t>
      </w:r>
      <w:r w:rsidRPr="005B6444">
        <w:t xml:space="preserve"> [CC] simulation)</w:t>
      </w:r>
    </w:p>
    <w:p w:rsidR="008237BB" w:rsidRPr="005B6444" w:rsidRDefault="008237BB" w:rsidP="00481556">
      <w:pPr>
        <w:pStyle w:val="Bulletlevel1"/>
        <w:keepNext/>
        <w:ind w:left="568" w:hanging="284"/>
      </w:pPr>
      <w:r w:rsidRPr="005B6444">
        <w:t>(Dataset 2) 2041 – 2060 (considered as the simulated climate of 2050)</w:t>
      </w:r>
    </w:p>
    <w:p w:rsidR="008237BB" w:rsidRDefault="008237BB" w:rsidP="004B379B">
      <w:pPr>
        <w:pStyle w:val="Bulletlevel1"/>
      </w:pPr>
      <w:r w:rsidRPr="005B6444">
        <w:t>(Dataset 3) 2081 – 2100 (considered as the simulated climate of 2090)</w:t>
      </w:r>
    </w:p>
    <w:p w:rsidR="008237BB" w:rsidRDefault="008237BB" w:rsidP="008237BB">
      <w:pPr>
        <w:pStyle w:val="BodyText"/>
      </w:pPr>
      <w:r w:rsidRPr="001C2551">
        <w:t xml:space="preserve">The maximum FFDI </w:t>
      </w:r>
      <w:r>
        <w:t xml:space="preserve">for the Rockhampton region </w:t>
      </w:r>
      <w:r w:rsidRPr="001C2551">
        <w:t xml:space="preserve">was calculated for each day in these datasets (as with the observed </w:t>
      </w:r>
      <w:r>
        <w:t>current-climate</w:t>
      </w:r>
      <w:r w:rsidRPr="001C2551">
        <w:t xml:space="preserve"> data) and extreme value statistics were employed to determine the magnitude of the 50</w:t>
      </w:r>
      <w:r>
        <w:t xml:space="preserve"> year ARI [50ARI] </w:t>
      </w:r>
      <w:r w:rsidRPr="001C2551">
        <w:t>and 100</w:t>
      </w:r>
      <w:r>
        <w:t xml:space="preserve"> year ARI [100ARI]</w:t>
      </w:r>
      <w:r w:rsidRPr="001C2551">
        <w:t xml:space="preserve"> FFDI event. Finally, the FFDI for the observed </w:t>
      </w:r>
      <w:r>
        <w:t>current-climate</w:t>
      </w:r>
      <w:r w:rsidRPr="001C2551">
        <w:t xml:space="preserve"> data was scaled by the simulated data (</w:t>
      </w:r>
      <w:r w:rsidR="003F3766">
        <w:fldChar w:fldCharType="begin"/>
      </w:r>
      <w:r w:rsidR="003F3766">
        <w:instrText xml:space="preserve"> REF _Ref355073346 \h </w:instrText>
      </w:r>
      <w:r w:rsidR="003F3766">
        <w:fldChar w:fldCharType="separate"/>
      </w:r>
      <w:r w:rsidR="00413858">
        <w:t xml:space="preserve">Appendix Table </w:t>
      </w:r>
      <w:r w:rsidR="00413858">
        <w:rPr>
          <w:noProof/>
        </w:rPr>
        <w:t>B</w:t>
      </w:r>
      <w:r w:rsidR="00413858">
        <w:t>.</w:t>
      </w:r>
      <w:r w:rsidR="00413858">
        <w:rPr>
          <w:noProof/>
        </w:rPr>
        <w:t>3</w:t>
      </w:r>
      <w:r w:rsidR="003F3766">
        <w:fldChar w:fldCharType="end"/>
      </w:r>
      <w:r w:rsidRPr="001C2551">
        <w:t>) to determine how the FFDI would be modified in a new climate.</w:t>
      </w:r>
    </w:p>
    <w:p w:rsidR="003F3766" w:rsidRPr="003F3766" w:rsidRDefault="003F3766" w:rsidP="00253307">
      <w:pPr>
        <w:pStyle w:val="Tabletitle"/>
      </w:pPr>
      <w:bookmarkStart w:id="3172" w:name="_Ref355073346"/>
      <w:bookmarkStart w:id="3173" w:name="_Toc355073366"/>
      <w:bookmarkStart w:id="3174" w:name="_Toc355162316"/>
      <w:bookmarkStart w:id="3175" w:name="_Toc355249459"/>
      <w:r>
        <w:lastRenderedPageBreak/>
        <w:t xml:space="preserve">Appendix Table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Appendix_Table \* ARABIC \s 9 </w:instrText>
      </w:r>
      <w:r w:rsidR="007F11CF">
        <w:fldChar w:fldCharType="separate"/>
      </w:r>
      <w:r w:rsidR="00413858">
        <w:rPr>
          <w:noProof/>
        </w:rPr>
        <w:t>3</w:t>
      </w:r>
      <w:r w:rsidR="007F11CF">
        <w:rPr>
          <w:noProof/>
        </w:rPr>
        <w:fldChar w:fldCharType="end"/>
      </w:r>
      <w:bookmarkEnd w:id="3172"/>
      <w:r w:rsidRPr="003F3766">
        <w:t xml:space="preserve"> </w:t>
      </w:r>
      <w:r>
        <w:t>Future climate bushfire hazard calculation</w:t>
      </w:r>
      <w:bookmarkEnd w:id="3173"/>
      <w:bookmarkEnd w:id="3174"/>
      <w:r w:rsidR="00DD02DF">
        <w:t>.</w:t>
      </w:r>
      <w:bookmarkEnd w:id="3175"/>
    </w:p>
    <w:tbl>
      <w:tblPr>
        <w:tblStyle w:val="TableGAHeaderRowColumn"/>
        <w:tblW w:w="8647" w:type="dxa"/>
        <w:tblLook w:val="04A0" w:firstRow="1" w:lastRow="0" w:firstColumn="1" w:lastColumn="0" w:noHBand="0" w:noVBand="1"/>
        <w:tblDescription w:val="&#10;2050 – 50 year ARI = [50ARI (2041-2060) / 50ARI (1971-1990)] x 50ARI (observed current climate). 2050 – 100 year ARI = [100ARI (2041-2060) / 100ARI (1971-1990)] x 100ARI (observed current climate). 2090 – 50 year ARI = [50ARI (2081-2100) / 50ARI (1971-1990)] x 50ARI (observed current climate). 2090 – 100 year ARI = [100ARI (2081-2100) / 100ARI (1971-1990)] x 100ARI (observed current climate).&#10;"/>
      </w:tblPr>
      <w:tblGrid>
        <w:gridCol w:w="1985"/>
        <w:gridCol w:w="6662"/>
      </w:tblGrid>
      <w:tr w:rsidR="003F3766" w:rsidTr="00DA3903">
        <w:trPr>
          <w:cnfStyle w:val="100000000000" w:firstRow="1" w:lastRow="0" w:firstColumn="0" w:lastColumn="0" w:oddVBand="0" w:evenVBand="0" w:oddHBand="0" w:evenHBand="0" w:firstRowFirstColumn="0" w:firstRowLastColumn="0" w:lastRowFirstColumn="0" w:lastRowLastColumn="0"/>
          <w:cantSplit w:val="0"/>
          <w:tblHeader/>
        </w:trPr>
        <w:tc>
          <w:tcPr>
            <w:cnfStyle w:val="001000000100" w:firstRow="0" w:lastRow="0" w:firstColumn="1" w:lastColumn="0" w:oddVBand="0" w:evenVBand="0" w:oddHBand="0" w:evenHBand="0" w:firstRowFirstColumn="1" w:firstRowLastColumn="0" w:lastRowFirstColumn="0" w:lastRowLastColumn="0"/>
            <w:tcW w:w="1985" w:type="dxa"/>
          </w:tcPr>
          <w:p w:rsidR="003F3766" w:rsidRDefault="003F3766" w:rsidP="008237BB">
            <w:pPr>
              <w:pStyle w:val="BodyText"/>
              <w:rPr>
                <w:lang w:val="it-IT"/>
              </w:rPr>
            </w:pPr>
          </w:p>
        </w:tc>
        <w:tc>
          <w:tcPr>
            <w:tcW w:w="6662" w:type="dxa"/>
          </w:tcPr>
          <w:p w:rsidR="003F3766" w:rsidRDefault="003F3766" w:rsidP="008237BB">
            <w:pPr>
              <w:pStyle w:val="BodyText"/>
              <w:cnfStyle w:val="100000000000" w:firstRow="1" w:lastRow="0" w:firstColumn="0" w:lastColumn="0" w:oddVBand="0" w:evenVBand="0" w:oddHBand="0" w:evenHBand="0" w:firstRowFirstColumn="0" w:firstRowLastColumn="0" w:lastRowFirstColumn="0" w:lastRowLastColumn="0"/>
              <w:rPr>
                <w:lang w:val="it-IT"/>
              </w:rPr>
            </w:pPr>
            <w:r>
              <w:rPr>
                <w:lang w:val="it-IT"/>
              </w:rPr>
              <w:t>Calculation</w:t>
            </w:r>
          </w:p>
        </w:tc>
      </w:tr>
      <w:tr w:rsidR="003F3766" w:rsidTr="007E5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3F3766" w:rsidRDefault="003F3766" w:rsidP="003F3766">
            <w:pPr>
              <w:pStyle w:val="BodyText"/>
              <w:rPr>
                <w:lang w:val="it-IT"/>
              </w:rPr>
            </w:pPr>
            <w:r>
              <w:rPr>
                <w:lang w:val="it-IT"/>
              </w:rPr>
              <w:t>2050 – 50 year ARI</w:t>
            </w:r>
          </w:p>
        </w:tc>
        <w:tc>
          <w:tcPr>
            <w:tcW w:w="6662" w:type="dxa"/>
          </w:tcPr>
          <w:p w:rsidR="003F3766" w:rsidRDefault="003F3766" w:rsidP="001D132F">
            <w:pPr>
              <w:pStyle w:val="Tabletextleft"/>
              <w:cnfStyle w:val="000000100000" w:firstRow="0" w:lastRow="0" w:firstColumn="0" w:lastColumn="0" w:oddVBand="0" w:evenVBand="0" w:oddHBand="1" w:evenHBand="0" w:firstRowFirstColumn="0" w:firstRowLastColumn="0" w:lastRowFirstColumn="0" w:lastRowLastColumn="0"/>
              <w:rPr>
                <w:lang w:val="it-IT"/>
              </w:rPr>
            </w:pPr>
            <w:r w:rsidRPr="00205D0D">
              <w:rPr>
                <w:lang w:val="it-IT"/>
              </w:rPr>
              <w:t>[50ARI</w:t>
            </w:r>
            <w:r w:rsidRPr="00205D0D" w:rsidDel="009C6E85">
              <w:rPr>
                <w:lang w:val="it-IT"/>
              </w:rPr>
              <w:t xml:space="preserve"> </w:t>
            </w:r>
            <w:r w:rsidRPr="00205D0D">
              <w:rPr>
                <w:lang w:val="it-IT"/>
              </w:rPr>
              <w:t>(2041-2060) /</w:t>
            </w:r>
            <w:r>
              <w:rPr>
                <w:lang w:val="it-IT"/>
              </w:rPr>
              <w:t xml:space="preserve"> </w:t>
            </w:r>
            <w:r w:rsidRPr="00205D0D">
              <w:rPr>
                <w:lang w:val="it-IT"/>
              </w:rPr>
              <w:t>50ARI</w:t>
            </w:r>
            <w:r w:rsidRPr="00205D0D" w:rsidDel="009C6E85">
              <w:rPr>
                <w:lang w:val="it-IT"/>
              </w:rPr>
              <w:t xml:space="preserve"> </w:t>
            </w:r>
            <w:r w:rsidRPr="00205D0D">
              <w:rPr>
                <w:lang w:val="it-IT"/>
              </w:rPr>
              <w:t>(1971-1990)] x</w:t>
            </w:r>
            <w:r>
              <w:rPr>
                <w:lang w:val="it-IT"/>
              </w:rPr>
              <w:t xml:space="preserve"> </w:t>
            </w:r>
            <w:r w:rsidRPr="00205D0D">
              <w:rPr>
                <w:lang w:val="it-IT"/>
              </w:rPr>
              <w:t>50ARI</w:t>
            </w:r>
            <w:r w:rsidRPr="00205D0D" w:rsidDel="009C6E85">
              <w:rPr>
                <w:lang w:val="it-IT"/>
              </w:rPr>
              <w:t xml:space="preserve"> </w:t>
            </w:r>
            <w:r w:rsidRPr="00205D0D">
              <w:rPr>
                <w:lang w:val="it-IT"/>
              </w:rPr>
              <w:t>(observed current climate)</w:t>
            </w:r>
          </w:p>
        </w:tc>
      </w:tr>
      <w:tr w:rsidR="003F3766" w:rsidTr="007E5FA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985" w:type="dxa"/>
          </w:tcPr>
          <w:p w:rsidR="003F3766" w:rsidRDefault="003F3766" w:rsidP="003F3766">
            <w:pPr>
              <w:pStyle w:val="BodyText"/>
              <w:rPr>
                <w:lang w:val="it-IT"/>
              </w:rPr>
            </w:pPr>
            <w:r>
              <w:rPr>
                <w:lang w:val="it-IT"/>
              </w:rPr>
              <w:t>2050 – 100 year ARI</w:t>
            </w:r>
          </w:p>
        </w:tc>
        <w:tc>
          <w:tcPr>
            <w:tcW w:w="6662" w:type="dxa"/>
          </w:tcPr>
          <w:p w:rsidR="003F3766" w:rsidRDefault="003F3766" w:rsidP="001D132F">
            <w:pPr>
              <w:pStyle w:val="Tabletextleft"/>
              <w:cnfStyle w:val="000000010000" w:firstRow="0" w:lastRow="0" w:firstColumn="0" w:lastColumn="0" w:oddVBand="0" w:evenVBand="0" w:oddHBand="0" w:evenHBand="1" w:firstRowFirstColumn="0" w:firstRowLastColumn="0" w:lastRowFirstColumn="0" w:lastRowLastColumn="0"/>
              <w:rPr>
                <w:lang w:val="it-IT"/>
              </w:rPr>
            </w:pPr>
            <w:r w:rsidRPr="00205D0D">
              <w:rPr>
                <w:lang w:val="it-IT"/>
              </w:rPr>
              <w:t>[100ARI</w:t>
            </w:r>
            <w:r w:rsidRPr="00205D0D" w:rsidDel="009C6E85">
              <w:rPr>
                <w:lang w:val="it-IT"/>
              </w:rPr>
              <w:t xml:space="preserve"> </w:t>
            </w:r>
            <w:r w:rsidRPr="00205D0D">
              <w:rPr>
                <w:lang w:val="it-IT"/>
              </w:rPr>
              <w:t>(2041-2060) / 100ARI</w:t>
            </w:r>
            <w:r w:rsidRPr="00205D0D" w:rsidDel="009C6E85">
              <w:rPr>
                <w:lang w:val="it-IT"/>
              </w:rPr>
              <w:t xml:space="preserve"> </w:t>
            </w:r>
            <w:r w:rsidRPr="00205D0D">
              <w:rPr>
                <w:lang w:val="it-IT"/>
              </w:rPr>
              <w:t>(1971-1990)] x 100ARI</w:t>
            </w:r>
            <w:r w:rsidRPr="00205D0D" w:rsidDel="009C6E85">
              <w:rPr>
                <w:lang w:val="it-IT"/>
              </w:rPr>
              <w:t xml:space="preserve"> </w:t>
            </w:r>
            <w:r w:rsidRPr="00205D0D">
              <w:rPr>
                <w:lang w:val="it-IT"/>
              </w:rPr>
              <w:t>(observed current climate)</w:t>
            </w:r>
          </w:p>
        </w:tc>
      </w:tr>
      <w:tr w:rsidR="003F3766" w:rsidTr="007E5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3F3766" w:rsidRDefault="003F3766" w:rsidP="003F3766">
            <w:pPr>
              <w:pStyle w:val="BodyText"/>
              <w:rPr>
                <w:lang w:val="it-IT"/>
              </w:rPr>
            </w:pPr>
            <w:r>
              <w:rPr>
                <w:lang w:val="it-IT"/>
              </w:rPr>
              <w:t>2090 – 50 year ARI</w:t>
            </w:r>
          </w:p>
        </w:tc>
        <w:tc>
          <w:tcPr>
            <w:tcW w:w="6662" w:type="dxa"/>
          </w:tcPr>
          <w:p w:rsidR="003F3766" w:rsidRDefault="003F3766" w:rsidP="001D132F">
            <w:pPr>
              <w:pStyle w:val="Tabletextleft"/>
              <w:cnfStyle w:val="000000100000" w:firstRow="0" w:lastRow="0" w:firstColumn="0" w:lastColumn="0" w:oddVBand="0" w:evenVBand="0" w:oddHBand="1" w:evenHBand="0" w:firstRowFirstColumn="0" w:firstRowLastColumn="0" w:lastRowFirstColumn="0" w:lastRowLastColumn="0"/>
              <w:rPr>
                <w:lang w:val="it-IT"/>
              </w:rPr>
            </w:pPr>
            <w:r w:rsidRPr="00205D0D">
              <w:rPr>
                <w:lang w:val="it-IT"/>
              </w:rPr>
              <w:t>[50ARI (2081-2100) /</w:t>
            </w:r>
            <w:r>
              <w:rPr>
                <w:lang w:val="it-IT"/>
              </w:rPr>
              <w:t xml:space="preserve"> </w:t>
            </w:r>
            <w:r w:rsidRPr="00205D0D">
              <w:rPr>
                <w:lang w:val="it-IT"/>
              </w:rPr>
              <w:t>50ARI</w:t>
            </w:r>
            <w:r w:rsidRPr="00205D0D" w:rsidDel="009C6E85">
              <w:rPr>
                <w:lang w:val="it-IT"/>
              </w:rPr>
              <w:t xml:space="preserve"> </w:t>
            </w:r>
            <w:r w:rsidRPr="00205D0D">
              <w:rPr>
                <w:lang w:val="it-IT"/>
              </w:rPr>
              <w:t>(1971-1990)] x</w:t>
            </w:r>
            <w:r>
              <w:rPr>
                <w:lang w:val="it-IT"/>
              </w:rPr>
              <w:t xml:space="preserve"> </w:t>
            </w:r>
            <w:r w:rsidRPr="00205D0D">
              <w:rPr>
                <w:lang w:val="it-IT"/>
              </w:rPr>
              <w:t>50ARI</w:t>
            </w:r>
            <w:r w:rsidRPr="00205D0D" w:rsidDel="009C6E85">
              <w:rPr>
                <w:lang w:val="it-IT"/>
              </w:rPr>
              <w:t xml:space="preserve"> </w:t>
            </w:r>
            <w:r w:rsidRPr="00205D0D">
              <w:rPr>
                <w:lang w:val="it-IT"/>
              </w:rPr>
              <w:t>(observed current climate)</w:t>
            </w:r>
          </w:p>
        </w:tc>
      </w:tr>
      <w:tr w:rsidR="003F3766" w:rsidTr="007E5FA5">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985" w:type="dxa"/>
          </w:tcPr>
          <w:p w:rsidR="003F3766" w:rsidRDefault="003F3766" w:rsidP="003F3766">
            <w:pPr>
              <w:pStyle w:val="BodyText"/>
              <w:rPr>
                <w:lang w:val="it-IT"/>
              </w:rPr>
            </w:pPr>
            <w:r>
              <w:rPr>
                <w:lang w:val="it-IT"/>
              </w:rPr>
              <w:t>2090 – 100 year ARI</w:t>
            </w:r>
          </w:p>
        </w:tc>
        <w:tc>
          <w:tcPr>
            <w:tcW w:w="6662" w:type="dxa"/>
          </w:tcPr>
          <w:p w:rsidR="003F3766" w:rsidRDefault="003F3766" w:rsidP="001D132F">
            <w:pPr>
              <w:pStyle w:val="Tabletextleft"/>
              <w:cnfStyle w:val="000000010000" w:firstRow="0" w:lastRow="0" w:firstColumn="0" w:lastColumn="0" w:oddVBand="0" w:evenVBand="0" w:oddHBand="0" w:evenHBand="1" w:firstRowFirstColumn="0" w:firstRowLastColumn="0" w:lastRowFirstColumn="0" w:lastRowLastColumn="0"/>
              <w:rPr>
                <w:lang w:val="it-IT"/>
              </w:rPr>
            </w:pPr>
            <w:r w:rsidRPr="00205D0D">
              <w:rPr>
                <w:lang w:val="it-IT"/>
              </w:rPr>
              <w:t>[100ARI</w:t>
            </w:r>
            <w:r w:rsidRPr="00205D0D" w:rsidDel="009C6E85">
              <w:rPr>
                <w:lang w:val="it-IT"/>
              </w:rPr>
              <w:t xml:space="preserve"> </w:t>
            </w:r>
            <w:r w:rsidRPr="00205D0D">
              <w:rPr>
                <w:lang w:val="it-IT"/>
              </w:rPr>
              <w:t>(2081-2100) / 100ARI</w:t>
            </w:r>
            <w:r w:rsidRPr="00205D0D" w:rsidDel="009C6E85">
              <w:rPr>
                <w:lang w:val="it-IT"/>
              </w:rPr>
              <w:t xml:space="preserve"> </w:t>
            </w:r>
            <w:r w:rsidRPr="00205D0D">
              <w:rPr>
                <w:lang w:val="it-IT"/>
              </w:rPr>
              <w:t>(1971-1990)] x 100ARI</w:t>
            </w:r>
            <w:r w:rsidRPr="00205D0D" w:rsidDel="009C6E85">
              <w:rPr>
                <w:lang w:val="it-IT"/>
              </w:rPr>
              <w:t xml:space="preserve"> </w:t>
            </w:r>
            <w:r w:rsidRPr="00205D0D">
              <w:rPr>
                <w:lang w:val="it-IT"/>
              </w:rPr>
              <w:t>(observed current climate)</w:t>
            </w:r>
          </w:p>
        </w:tc>
      </w:tr>
    </w:tbl>
    <w:p w:rsidR="008237BB" w:rsidRPr="004B379B" w:rsidRDefault="008237BB" w:rsidP="00FF6328">
      <w:pPr>
        <w:pStyle w:val="BodyText"/>
      </w:pPr>
      <w:r w:rsidRPr="00C23584">
        <w:t>NOTE: The ensemble average of the three downscaled GCMs was used to provide estimates for the 50 year ARI and the 100 year ARI FFDI predictors that inform the future climate FFDI. For the 100 year ARI estimate for 2090, the MIROC3.2 model was not used as it gave extremely high FFDI values when compared with the other two models with a highly unlikely spatial distribution. The FFDI is an exponential index, therefore care needs to be taken that any significant model bias has been removed before calculating the FFDI values. It was also decided not to use the MIROC3.2 model for the 2090 climate simulation due to the very high values and the highly unlikely spatial distribution of FFDI where, for 2090, the derived FFDI was a maximum near the coast. The three model constituents that combined to identify extremely high FFDI on the coast were</w:t>
      </w:r>
      <w:r w:rsidR="00FF6328">
        <w:t xml:space="preserve"> a</w:t>
      </w:r>
      <w:r w:rsidRPr="00C23584">
        <w:t xml:space="preserve"> </w:t>
      </w:r>
      <w:r w:rsidRPr="004B379B">
        <w:t>maximum wind speed near the coast</w:t>
      </w:r>
      <w:r w:rsidR="00FF6328">
        <w:t xml:space="preserve">, </w:t>
      </w:r>
      <w:r w:rsidRPr="004B379B">
        <w:t>a lack of temperature gradient (with distance from the coast)</w:t>
      </w:r>
      <w:r w:rsidR="00FF6328">
        <w:t xml:space="preserve">, and </w:t>
      </w:r>
      <w:r w:rsidRPr="004B379B">
        <w:t>a lack of humidity (driven by an offshore wind direction).</w:t>
      </w:r>
    </w:p>
    <w:p w:rsidR="008237BB" w:rsidRPr="009A3F95" w:rsidRDefault="008237BB" w:rsidP="006B24B4">
      <w:pPr>
        <w:pStyle w:val="Headingappendix2"/>
      </w:pPr>
      <w:bookmarkStart w:id="3176" w:name="_Toc340842965"/>
      <w:bookmarkStart w:id="3177" w:name="_Toc342638504"/>
      <w:bookmarkStart w:id="3178" w:name="_Toc346261002"/>
      <w:bookmarkStart w:id="3179" w:name="_Toc346632564"/>
      <w:bookmarkStart w:id="3180" w:name="_Toc346632782"/>
      <w:bookmarkStart w:id="3181" w:name="_Toc346633006"/>
      <w:bookmarkStart w:id="3182" w:name="_Toc346633118"/>
      <w:bookmarkStart w:id="3183" w:name="_Toc346633230"/>
      <w:bookmarkStart w:id="3184" w:name="_Toc347401663"/>
      <w:bookmarkStart w:id="3185" w:name="_Toc347401887"/>
      <w:bookmarkStart w:id="3186" w:name="_Toc347401999"/>
      <w:bookmarkStart w:id="3187" w:name="_Toc347402111"/>
      <w:bookmarkStart w:id="3188" w:name="_Toc347402499"/>
      <w:bookmarkStart w:id="3189" w:name="_Toc349055071"/>
      <w:bookmarkStart w:id="3190" w:name="_Toc349055291"/>
      <w:bookmarkStart w:id="3191" w:name="_Toc349055517"/>
      <w:bookmarkStart w:id="3192" w:name="_Toc349055630"/>
      <w:bookmarkStart w:id="3193" w:name="_Toc349055743"/>
      <w:bookmarkStart w:id="3194" w:name="_Toc349116975"/>
      <w:bookmarkStart w:id="3195" w:name="_Toc350330064"/>
      <w:bookmarkStart w:id="3196" w:name="_Toc354402033"/>
      <w:bookmarkStart w:id="3197" w:name="_Toc354404070"/>
      <w:bookmarkStart w:id="3198" w:name="_Toc354476530"/>
      <w:bookmarkStart w:id="3199" w:name="_Toc354492759"/>
      <w:bookmarkStart w:id="3200" w:name="_Toc354492889"/>
      <w:bookmarkStart w:id="3201" w:name="_Toc354493137"/>
      <w:bookmarkStart w:id="3202" w:name="_Toc354493298"/>
      <w:bookmarkStart w:id="3203" w:name="_Toc354493756"/>
      <w:bookmarkStart w:id="3204" w:name="_Toc354494291"/>
      <w:bookmarkStart w:id="3205" w:name="_Toc354494509"/>
      <w:bookmarkStart w:id="3206" w:name="_Toc354494720"/>
      <w:bookmarkStart w:id="3207" w:name="_Toc354495014"/>
      <w:bookmarkStart w:id="3208" w:name="_Toc354497896"/>
      <w:bookmarkStart w:id="3209" w:name="_Toc354561309"/>
      <w:bookmarkStart w:id="3210" w:name="_Toc355164218"/>
      <w:bookmarkStart w:id="3211" w:name="_Toc355249650"/>
      <w:r w:rsidRPr="009A3F95">
        <w:t>Results</w:t>
      </w:r>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p>
    <w:p w:rsidR="008237BB" w:rsidRPr="009754CA" w:rsidRDefault="008237BB" w:rsidP="00935848">
      <w:pPr>
        <w:pStyle w:val="Headingappendix3"/>
      </w:pPr>
      <w:bookmarkStart w:id="3212" w:name="_Toc340842966"/>
      <w:bookmarkStart w:id="3213" w:name="_Toc342638505"/>
      <w:bookmarkStart w:id="3214" w:name="_Toc346261003"/>
      <w:bookmarkStart w:id="3215" w:name="_Toc346632565"/>
      <w:bookmarkStart w:id="3216" w:name="_Toc346632783"/>
      <w:bookmarkStart w:id="3217" w:name="_Toc346633007"/>
      <w:bookmarkStart w:id="3218" w:name="_Toc346633119"/>
      <w:bookmarkStart w:id="3219" w:name="_Toc346633231"/>
      <w:bookmarkStart w:id="3220" w:name="_Toc347401664"/>
      <w:bookmarkStart w:id="3221" w:name="_Toc347401888"/>
      <w:bookmarkStart w:id="3222" w:name="_Toc347402000"/>
      <w:bookmarkStart w:id="3223" w:name="_Toc347402112"/>
      <w:bookmarkStart w:id="3224" w:name="_Toc347402500"/>
      <w:bookmarkStart w:id="3225" w:name="_Toc349055072"/>
      <w:bookmarkStart w:id="3226" w:name="_Toc349055292"/>
      <w:bookmarkStart w:id="3227" w:name="_Toc349055518"/>
      <w:bookmarkStart w:id="3228" w:name="_Toc349055631"/>
      <w:bookmarkStart w:id="3229" w:name="_Toc349055744"/>
      <w:bookmarkStart w:id="3230" w:name="_Toc349116976"/>
      <w:bookmarkStart w:id="3231" w:name="_Toc350330065"/>
      <w:bookmarkStart w:id="3232" w:name="_Toc354402034"/>
      <w:bookmarkStart w:id="3233" w:name="_Toc354476531"/>
      <w:bookmarkStart w:id="3234" w:name="_Toc354492760"/>
      <w:bookmarkStart w:id="3235" w:name="_Toc354492890"/>
      <w:bookmarkStart w:id="3236" w:name="_Toc354493138"/>
      <w:bookmarkStart w:id="3237" w:name="_Toc354493299"/>
      <w:bookmarkStart w:id="3238" w:name="_Toc354493757"/>
      <w:bookmarkStart w:id="3239" w:name="_Toc354494292"/>
      <w:bookmarkStart w:id="3240" w:name="_Toc354494510"/>
      <w:bookmarkStart w:id="3241" w:name="_Toc354494721"/>
      <w:bookmarkStart w:id="3242" w:name="_Toc354495015"/>
      <w:bookmarkStart w:id="3243" w:name="_Toc354497897"/>
      <w:bookmarkStart w:id="3244" w:name="_Toc354561310"/>
      <w:bookmarkStart w:id="3245" w:name="_Toc355164219"/>
      <w:bookmarkStart w:id="3246" w:name="_Toc355249651"/>
      <w:r>
        <w:t>Current Climate</w:t>
      </w:r>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p>
    <w:p w:rsidR="00FF6328" w:rsidRDefault="008237BB" w:rsidP="00FF6328">
      <w:pPr>
        <w:pStyle w:val="BodyText"/>
      </w:pPr>
      <w:r>
        <w:t xml:space="preserve">For the </w:t>
      </w:r>
      <w:r w:rsidRPr="00DB0AB3">
        <w:t>50 and 100 year</w:t>
      </w:r>
      <w:r>
        <w:t xml:space="preserve"> ARI scenarios </w:t>
      </w:r>
      <w:r w:rsidRPr="00DB0AB3">
        <w:t xml:space="preserve">the </w:t>
      </w:r>
      <w:r>
        <w:t xml:space="preserve">bushfire danger rating is shown in </w:t>
      </w:r>
      <w:r w:rsidR="00FF6328">
        <w:fldChar w:fldCharType="begin"/>
      </w:r>
      <w:r w:rsidR="00FF6328">
        <w:instrText xml:space="preserve"> REF _Ref354559232 \h </w:instrText>
      </w:r>
      <w:r w:rsidR="00FF6328">
        <w:fldChar w:fldCharType="separate"/>
      </w:r>
      <w:r w:rsidR="00413858">
        <w:t xml:space="preserve">Appendix Figure </w:t>
      </w:r>
      <w:r w:rsidR="00413858">
        <w:rPr>
          <w:noProof/>
        </w:rPr>
        <w:t>B</w:t>
      </w:r>
      <w:r w:rsidR="00413858">
        <w:t>.</w:t>
      </w:r>
      <w:r w:rsidR="00413858">
        <w:rPr>
          <w:noProof/>
        </w:rPr>
        <w:t>5</w:t>
      </w:r>
      <w:r w:rsidR="00FF6328">
        <w:fldChar w:fldCharType="end"/>
      </w:r>
      <w:r>
        <w:t xml:space="preserve"> and </w:t>
      </w:r>
      <w:r w:rsidR="00FF6328">
        <w:fldChar w:fldCharType="begin"/>
      </w:r>
      <w:r w:rsidR="00FF6328">
        <w:instrText xml:space="preserve"> REF _Ref354559292 \h </w:instrText>
      </w:r>
      <w:r w:rsidR="00FF6328">
        <w:fldChar w:fldCharType="separate"/>
      </w:r>
      <w:r w:rsidR="00413858">
        <w:t xml:space="preserve">Appendix Figure </w:t>
      </w:r>
      <w:r w:rsidR="00413858">
        <w:rPr>
          <w:noProof/>
        </w:rPr>
        <w:t>B</w:t>
      </w:r>
      <w:r w:rsidR="00413858">
        <w:t>.</w:t>
      </w:r>
      <w:r w:rsidR="00413858">
        <w:rPr>
          <w:noProof/>
        </w:rPr>
        <w:t>6</w:t>
      </w:r>
      <w:r w:rsidR="00FF6328">
        <w:fldChar w:fldCharType="end"/>
      </w:r>
      <w:r>
        <w:t xml:space="preserve"> respectively</w:t>
      </w:r>
      <w:r w:rsidRPr="00DB0AB3">
        <w:t xml:space="preserve">. </w:t>
      </w:r>
      <w:r w:rsidR="00DD02DF">
        <w:t>The bushfire</w:t>
      </w:r>
      <w:r>
        <w:t xml:space="preserve"> hazard is in part based on t</w:t>
      </w:r>
      <w:r w:rsidRPr="00DB0AB3">
        <w:t>he simplified vegetation model (</w:t>
      </w:r>
      <w:r>
        <w:fldChar w:fldCharType="begin"/>
      </w:r>
      <w:r>
        <w:instrText xml:space="preserve"> REF _Ref350337580 \h </w:instrText>
      </w:r>
      <w:r>
        <w:fldChar w:fldCharType="separate"/>
      </w:r>
      <w:r w:rsidR="00413858">
        <w:t xml:space="preserve">Appendix Figure </w:t>
      </w:r>
      <w:r w:rsidR="00413858">
        <w:rPr>
          <w:noProof/>
        </w:rPr>
        <w:t>B</w:t>
      </w:r>
      <w:r w:rsidR="00413858">
        <w:t>.</w:t>
      </w:r>
      <w:r w:rsidR="00413858">
        <w:rPr>
          <w:noProof/>
        </w:rPr>
        <w:t>2</w:t>
      </w:r>
      <w:r>
        <w:fldChar w:fldCharType="end"/>
      </w:r>
      <w:r w:rsidRPr="00DB0AB3">
        <w:t>) and</w:t>
      </w:r>
      <w:r>
        <w:t xml:space="preserve"> the </w:t>
      </w:r>
      <w:r w:rsidRPr="00DB0AB3">
        <w:t>“Vegetation type (including 100</w:t>
      </w:r>
      <w:r>
        <w:t> </w:t>
      </w:r>
      <w:r w:rsidRPr="00DB0AB3">
        <w:t>m setback from closed forest) and slope”</w:t>
      </w:r>
      <w:r w:rsidRPr="001F20DA">
        <w:t xml:space="preserve"> </w:t>
      </w:r>
      <w:r w:rsidRPr="00DB0AB3">
        <w:t>(</w:t>
      </w:r>
      <w:r>
        <w:fldChar w:fldCharType="begin"/>
      </w:r>
      <w:r>
        <w:instrText xml:space="preserve"> REF _Ref350337601 \h </w:instrText>
      </w:r>
      <w:r>
        <w:fldChar w:fldCharType="separate"/>
      </w:r>
      <w:r w:rsidR="00413858">
        <w:t xml:space="preserve">Appendix Figure </w:t>
      </w:r>
      <w:r w:rsidR="00413858">
        <w:rPr>
          <w:noProof/>
        </w:rPr>
        <w:t>B</w:t>
      </w:r>
      <w:r w:rsidR="00413858">
        <w:t>.</w:t>
      </w:r>
      <w:r w:rsidR="00413858">
        <w:rPr>
          <w:noProof/>
        </w:rPr>
        <w:t>3</w:t>
      </w:r>
      <w:r>
        <w:fldChar w:fldCharType="end"/>
      </w:r>
      <w:r w:rsidRPr="00DB0AB3">
        <w:t>)</w:t>
      </w:r>
      <w:r>
        <w:t xml:space="preserve"> which was</w:t>
      </w:r>
      <w:r w:rsidRPr="00DB0AB3">
        <w:t xml:space="preserve"> used to</w:t>
      </w:r>
      <w:r>
        <w:t xml:space="preserve"> </w:t>
      </w:r>
      <w:r w:rsidRPr="00DB0AB3">
        <w:t xml:space="preserve">create the </w:t>
      </w:r>
      <w:r>
        <w:t>b</w:t>
      </w:r>
      <w:r w:rsidRPr="00DB0AB3">
        <w:t xml:space="preserve">ushfire </w:t>
      </w:r>
      <w:r>
        <w:t>h</w:t>
      </w:r>
      <w:r w:rsidRPr="00DB0AB3">
        <w:t>azard maps</w:t>
      </w:r>
      <w:r>
        <w:t>.</w:t>
      </w:r>
      <w:r w:rsidRPr="00DB0AB3">
        <w:t xml:space="preserve"> </w:t>
      </w:r>
      <w:r>
        <w:t>Note</w:t>
      </w:r>
      <w:r w:rsidRPr="00DB0AB3">
        <w:t xml:space="preserve"> that</w:t>
      </w:r>
      <w:r>
        <w:t xml:space="preserve"> the </w:t>
      </w:r>
      <w:r w:rsidRPr="00DB0AB3">
        <w:t>current vegetation</w:t>
      </w:r>
      <w:r>
        <w:t xml:space="preserve"> (May-August 2011 Landsat 5 TM image)</w:t>
      </w:r>
      <w:r w:rsidRPr="00DB0AB3">
        <w:t xml:space="preserve"> has been used in calculating the 50 year and 100 year </w:t>
      </w:r>
      <w:r>
        <w:t>bushfire hazard maps, and that a change in the vegetation caused by land use practices or perhaps wet or dry decades (compared to average rainfall) will alter these results.</w:t>
      </w:r>
    </w:p>
    <w:p w:rsidR="00FF6328" w:rsidRDefault="008237BB" w:rsidP="00253307">
      <w:pPr>
        <w:pStyle w:val="Figuresandimagesleft"/>
      </w:pPr>
      <w:r>
        <w:rPr>
          <w:noProof/>
        </w:rPr>
        <w:lastRenderedPageBreak/>
        <w:drawing>
          <wp:inline distT="0" distB="0" distL="0" distR="0" wp14:anchorId="126B85E3" wp14:editId="41FC0711">
            <wp:extent cx="5400675" cy="3600450"/>
            <wp:effectExtent l="0" t="0" r="9525" b="0"/>
            <wp:docPr id="54" name="Picture 54" descr="Bushfire hazard has been not been spatially defined within the full extent of the study region due to constraints in rerunning the weather simulation model (WRF) in the time available for the project. Bushfire hazard has not been defined in the southern 20 km, including Mount Morgan, or the western 10 km of the study region. There is also an anomaly, caused by mountain waves within WRF, as described in the text, that reduces the bushfire hazard (extent of confidence) shown on the the western extent by another 15 km (total of 25 km from the western extent of the study region). Within this bushfire hazard error zone there are north/south block patterns of higher bushfire hazard, relative for each bushfire hazard map.&#10;&#10;The current climate 50 year ARI bushfire hazard maps shows hazard levels including Low and then Very High through to Catastrophic. Generally, the Low bushfire hazard areas include the city of Rockhampton and small patches (up to 4 square km) on the Fitzroy River flood plain. The Very High bushfire hazard is shown on the coast from Yeppon down to the Fitzroy River mouth and then inland to the city of Rockhampton to form a triangle. The remainder of the study area is dominated by Severe bushfire ha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ushfire hazard has been not been spatially defined within the full extent of the study region due to constraints in rerunning the weather simulation model (WRF) in the time available for the project. Bushfire hazard has not been defined in the southern 20 km, including Mount Morgan, or the western 10 km of the study region. There is also an anomaly, caused by mountain waves within WRF, as described in the text, that reduces the bushfire hazard (extent of confidence) shown on the the western extent by another 15 km (total of 25 km from the western extent of the study region). Within this bushfire hazard error zone there are north/south block patterns of higher bushfire hazard, relative for each bushfire hazard map.&#10;&#10;The current climate 50 year ARI bushfire hazard maps shows hazard levels including Low and then Very High through to Catastrophic. Generally, the Low bushfire hazard areas include the city of Rockhampton and small patches (up to 4 square km) on the Fitzroy River flood plain. The Very High bushfire hazard is shown on the coast from Yeppon down to the Fitzroy River mouth and then inland to the city of Rockhampton to form a triangle. The remainder of the study area is dominated by Severe bushfire hazar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FF6328" w:rsidP="00FF6328">
      <w:pPr>
        <w:pStyle w:val="Caption"/>
      </w:pPr>
      <w:bookmarkStart w:id="3247" w:name="_Ref354559232"/>
      <w:bookmarkStart w:id="3248" w:name="_Toc354561199"/>
      <w:bookmarkStart w:id="3249" w:name="_Toc354561383"/>
      <w:bookmarkStart w:id="3250" w:name="_Toc354561455"/>
      <w:bookmarkStart w:id="3251" w:name="_Toc354561527"/>
      <w:r>
        <w:t xml:space="preserve">Appendix Figure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5</w:t>
      </w:r>
      <w:r w:rsidR="007F11CF">
        <w:rPr>
          <w:noProof/>
        </w:rPr>
        <w:fldChar w:fldCharType="end"/>
      </w:r>
      <w:bookmarkEnd w:id="3247"/>
      <w:r>
        <w:t>. Fire danger rating – current-climate 50 year ARI. The dashed area indicates a region of lower confidence; see the Discussion section.</w:t>
      </w:r>
      <w:bookmarkEnd w:id="3248"/>
      <w:bookmarkEnd w:id="3249"/>
      <w:bookmarkEnd w:id="3250"/>
      <w:bookmarkEnd w:id="3251"/>
    </w:p>
    <w:p w:rsidR="00FF6328" w:rsidRDefault="008237BB" w:rsidP="00253307">
      <w:pPr>
        <w:pStyle w:val="Figuresandimagesleft"/>
      </w:pPr>
      <w:bookmarkStart w:id="3252" w:name="_Toc340844495"/>
      <w:r>
        <w:rPr>
          <w:noProof/>
        </w:rPr>
        <w:drawing>
          <wp:inline distT="0" distB="0" distL="0" distR="0" wp14:anchorId="7CA7FA74" wp14:editId="534027D4">
            <wp:extent cx="5400675" cy="3600450"/>
            <wp:effectExtent l="0" t="0" r="9525" b="0"/>
            <wp:docPr id="53" name="Picture 53" descr="The description of the spatial spread of the bushfire hazard for the current climate 100 year ARI is broadly consistent with the previously described current climate 50 year ARI hazard. There is, however, a trend towards larger areas of higher hazard developing but the general distribution of bushfire hazard is as previously described. The current climate 50 year ARI description is as follows.&#10;&#10;Bushfire hazard has been not been spatially defined within the study region due to constraints in rerunning the weather simulation model (WRF) in the time available for the project. Therefore, bushfire hazard has not been defined in the southern 20 km, including Mount Morgan, or the western 10 km of the study region. There is also an anomaly, caused by mountain waves within WRF, as described in the text, that reduces the bushfire hazard shown on the the western extent by another 15 km (total of 25 km from the western extent of the study region). Within this bushfire hazard error zone there are north/south block patterns of higher bushfire hazard, relative for each bushfire hazard map.&#10;&#10;The current climate 50 year ARI bushfire hazard maps shows hazard levels including Low and then Very High through to Catastrophic. Generally, the Low bushfire hazard areas include the city of Rockhampton and small patches (up to 4 square km) on the Fitzroy River flood plain. The Very High bushfire hazard is shown on the coast from Yeppon down to the Fitzroy River mouth and then inland to the city of Rockhampton to form a triangle. The remainder of the study area is dominated by Severe bushfire ha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he description of the spatial spread of the bushfire hazard for the current climate 100 year ARI is broadly consistent with the previously described current climate 50 year ARI hazard. There is, however, a trend towards larger areas of higher hazard developing but the general distribution of bushfire hazard is as previously described. The current climate 50 year ARI description is as follows.&#10;&#10;Bushfire hazard has been not been spatially defined within the study region due to constraints in rerunning the weather simulation model (WRF) in the time available for the project. Therefore, bushfire hazard has not been defined in the southern 20 km, including Mount Morgan, or the western 10 km of the study region. There is also an anomaly, caused by mountain waves within WRF, as described in the text, that reduces the bushfire hazard shown on the the western extent by another 15 km (total of 25 km from the western extent of the study region). Within this bushfire hazard error zone there are north/south block patterns of higher bushfire hazard, relative for each bushfire hazard map.&#10;&#10;The current climate 50 year ARI bushfire hazard maps shows hazard levels including Low and then Very High through to Catastrophic. Generally, the Low bushfire hazard areas include the city of Rockhampton and small patches (up to 4 square km) on the Fitzroy River flood plain. The Very High bushfire hazard is shown on the coast from Yeppon down to the Fitzroy River mouth and then inland to the city of Rockhampton to form a triangle. The remainder of the study area is dominated by Severe bushfire hazar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bookmarkStart w:id="3253" w:name="_Toc342638654"/>
      <w:bookmarkStart w:id="3254" w:name="_Toc349055168"/>
      <w:bookmarkStart w:id="3255" w:name="_Toc349114916"/>
      <w:bookmarkStart w:id="3256" w:name="_Toc349115007"/>
      <w:bookmarkStart w:id="3257" w:name="_Toc349115146"/>
      <w:bookmarkStart w:id="3258" w:name="_Toc349115539"/>
      <w:bookmarkStart w:id="3259" w:name="_Toc350325587"/>
      <w:bookmarkStart w:id="3260" w:name="_Toc350327011"/>
      <w:bookmarkStart w:id="3261" w:name="_Toc350327157"/>
      <w:bookmarkStart w:id="3262" w:name="_Toc350327289"/>
      <w:bookmarkStart w:id="3263" w:name="_Toc350330236"/>
    </w:p>
    <w:p w:rsidR="008237BB" w:rsidRDefault="00FF6328" w:rsidP="00FF6328">
      <w:pPr>
        <w:pStyle w:val="Caption"/>
      </w:pPr>
      <w:bookmarkStart w:id="3264" w:name="_Ref354559292"/>
      <w:bookmarkStart w:id="3265" w:name="_Toc354561200"/>
      <w:bookmarkStart w:id="3266" w:name="_Toc354561384"/>
      <w:bookmarkStart w:id="3267" w:name="_Toc354561456"/>
      <w:bookmarkStart w:id="3268" w:name="_Toc354561528"/>
      <w:r>
        <w:t xml:space="preserve">Appendix Figure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6</w:t>
      </w:r>
      <w:r w:rsidR="007F11CF">
        <w:rPr>
          <w:noProof/>
        </w:rPr>
        <w:fldChar w:fldCharType="end"/>
      </w:r>
      <w:bookmarkEnd w:id="3264"/>
      <w:r>
        <w:t>. Fire danger rating – current-climate 100 year ARI. The dashed area indicates a region of lower confidence; see the Discussion section.</w:t>
      </w:r>
      <w:bookmarkEnd w:id="3265"/>
      <w:bookmarkEnd w:id="3266"/>
      <w:bookmarkEnd w:id="3267"/>
      <w:bookmarkEnd w:id="3268"/>
    </w:p>
    <w:p w:rsidR="008237BB" w:rsidRDefault="008237BB" w:rsidP="00935848">
      <w:pPr>
        <w:pStyle w:val="Headingappendix3"/>
      </w:pPr>
      <w:bookmarkStart w:id="3269" w:name="_Toc340842967"/>
      <w:bookmarkStart w:id="3270" w:name="_Toc342638506"/>
      <w:bookmarkStart w:id="3271" w:name="_Toc346261004"/>
      <w:bookmarkStart w:id="3272" w:name="_Toc346632566"/>
      <w:bookmarkStart w:id="3273" w:name="_Toc346632784"/>
      <w:bookmarkStart w:id="3274" w:name="_Toc346633008"/>
      <w:bookmarkStart w:id="3275" w:name="_Toc346633120"/>
      <w:bookmarkStart w:id="3276" w:name="_Toc346633232"/>
      <w:bookmarkStart w:id="3277" w:name="_Toc347401665"/>
      <w:bookmarkStart w:id="3278" w:name="_Toc347401889"/>
      <w:bookmarkStart w:id="3279" w:name="_Toc347402001"/>
      <w:bookmarkStart w:id="3280" w:name="_Toc347402113"/>
      <w:bookmarkStart w:id="3281" w:name="_Toc347402501"/>
      <w:bookmarkStart w:id="3282" w:name="_Toc349055073"/>
      <w:bookmarkStart w:id="3283" w:name="_Toc349055293"/>
      <w:bookmarkStart w:id="3284" w:name="_Toc349055519"/>
      <w:bookmarkStart w:id="3285" w:name="_Toc349055632"/>
      <w:bookmarkStart w:id="3286" w:name="_Toc349055745"/>
      <w:bookmarkStart w:id="3287" w:name="_Toc349116977"/>
      <w:bookmarkStart w:id="3288" w:name="_Toc350330066"/>
      <w:bookmarkStart w:id="3289" w:name="_Toc354402035"/>
      <w:bookmarkStart w:id="3290" w:name="_Toc354476532"/>
      <w:bookmarkStart w:id="3291" w:name="_Toc354492761"/>
      <w:bookmarkStart w:id="3292" w:name="_Toc354492891"/>
      <w:bookmarkStart w:id="3293" w:name="_Toc354493139"/>
      <w:bookmarkStart w:id="3294" w:name="_Toc354493300"/>
      <w:bookmarkStart w:id="3295" w:name="_Toc354493758"/>
      <w:bookmarkStart w:id="3296" w:name="_Toc354494293"/>
      <w:bookmarkStart w:id="3297" w:name="_Toc354494511"/>
      <w:bookmarkStart w:id="3298" w:name="_Toc354494722"/>
      <w:bookmarkStart w:id="3299" w:name="_Toc354495016"/>
      <w:bookmarkStart w:id="3300" w:name="_Toc354497898"/>
      <w:bookmarkStart w:id="3301" w:name="_Toc354561311"/>
      <w:bookmarkStart w:id="3302" w:name="_Toc355164220"/>
      <w:bookmarkStart w:id="3303" w:name="_Toc355249652"/>
      <w:bookmarkEnd w:id="3252"/>
      <w:bookmarkEnd w:id="3253"/>
      <w:bookmarkEnd w:id="3254"/>
      <w:bookmarkEnd w:id="3255"/>
      <w:bookmarkEnd w:id="3256"/>
      <w:bookmarkEnd w:id="3257"/>
      <w:bookmarkEnd w:id="3258"/>
      <w:bookmarkEnd w:id="3259"/>
      <w:bookmarkEnd w:id="3260"/>
      <w:bookmarkEnd w:id="3261"/>
      <w:bookmarkEnd w:id="3262"/>
      <w:bookmarkEnd w:id="3263"/>
      <w:r w:rsidRPr="009754CA">
        <w:lastRenderedPageBreak/>
        <w:t>Future</w:t>
      </w:r>
      <w:r w:rsidRPr="009A3F95">
        <w:t xml:space="preserve"> Climate</w:t>
      </w:r>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p>
    <w:p w:rsidR="008237BB" w:rsidRDefault="008237BB" w:rsidP="00253307">
      <w:pPr>
        <w:pStyle w:val="Figuresandimagesleft"/>
      </w:pPr>
      <w:r>
        <w:rPr>
          <w:noProof/>
        </w:rPr>
        <w:drawing>
          <wp:inline distT="0" distB="0" distL="0" distR="0" wp14:anchorId="5F44DB3D" wp14:editId="6F9B8A39">
            <wp:extent cx="5292000" cy="3528000"/>
            <wp:effectExtent l="0" t="0" r="4445" b="0"/>
            <wp:docPr id="52" name="Picture 52" descr="The description of the spatial spread of the bushfire hazard for the 2050 50 year ARI is broadly consistent with the previously described current climate hazard. There is, however, a slight trend towards lesser hazard values than the current climate 50 year ARI bushfire hazard. The current climate 50 year ARI description is as follows.&#10;&#10;Bushfire hazard has been not been spatially defined within the study region due to constraints in rerunning the weather simulation model (WRF) in the time available for the project. Therefore, bushfire hazard has not been defined in the southern 20 km, including Mount Morgan, or the western 10 km of the study region. There is also an anomaly, caused by mountain waves within WRF, as described in the text, that reduces the bushfire hazard shown on the the western extent by another 15 km (total of 25 km from the western extent of the study region). Within this bushfire hazard error zone there are north/south block patterns of higher bushfire hazard, relative for each bushfire hazard map.&#10;&#10;The current climate 50 year ARI bushfire hazard maps shows hazard levels including Low and then Very High through to Catastrophic. Generally, the Low bushfire hazard areas include the city of Rockhampton and small patches (up to 4 square km) on the Fitzroy River flood plain. The Very High bushfire hazard is shown on the coast from Yeppon down to the Fitzroy River mouth and then inland to the city of Rockhampton to form a triangle. The remainder of the study area is dominated by Severe bushfire ha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he description of the spatial spread of the bushfire hazard for the 2050 50 year ARI is broadly consistent with the previously described current climate hazard. There is, however, a slight trend towards lesser hazard values than the current climate 50 year ARI bushfire hazard. The current climate 50 year ARI description is as follows.&#10;&#10;Bushfire hazard has been not been spatially defined within the study region due to constraints in rerunning the weather simulation model (WRF) in the time available for the project. Therefore, bushfire hazard has not been defined in the southern 20 km, including Mount Morgan, or the western 10 km of the study region. There is also an anomaly, caused by mountain waves within WRF, as described in the text, that reduces the bushfire hazard shown on the the western extent by another 15 km (total of 25 km from the western extent of the study region). Within this bushfire hazard error zone there are north/south block patterns of higher bushfire hazard, relative for each bushfire hazard map.&#10;&#10;The current climate 50 year ARI bushfire hazard maps shows hazard levels including Low and then Very High through to Catastrophic. Generally, the Low bushfire hazard areas include the city of Rockhampton and small patches (up to 4 square km) on the Fitzroy River flood plain. The Very High bushfire hazard is shown on the coast from Yeppon down to the Fitzroy River mouth and then inland to the city of Rockhampton to form a triangle. The remainder of the study area is dominated by Severe bushfire hazar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92000" cy="3528000"/>
                    </a:xfrm>
                    <a:prstGeom prst="rect">
                      <a:avLst/>
                    </a:prstGeom>
                    <a:noFill/>
                    <a:ln>
                      <a:noFill/>
                    </a:ln>
                  </pic:spPr>
                </pic:pic>
              </a:graphicData>
            </a:graphic>
          </wp:inline>
        </w:drawing>
      </w:r>
    </w:p>
    <w:p w:rsidR="008237BB" w:rsidRDefault="00414D8E" w:rsidP="008237BB">
      <w:pPr>
        <w:pStyle w:val="Caption"/>
        <w:keepNext/>
      </w:pPr>
      <w:bookmarkStart w:id="3304" w:name="_Ref350338048"/>
      <w:bookmarkStart w:id="3305" w:name="_Toc349055169"/>
      <w:bookmarkStart w:id="3306" w:name="_Toc349114917"/>
      <w:bookmarkStart w:id="3307" w:name="_Toc349115008"/>
      <w:bookmarkStart w:id="3308" w:name="_Toc349115147"/>
      <w:bookmarkStart w:id="3309" w:name="_Toc349115540"/>
      <w:bookmarkStart w:id="3310" w:name="_Toc350325588"/>
      <w:bookmarkStart w:id="3311" w:name="_Toc350327012"/>
      <w:bookmarkStart w:id="3312" w:name="_Toc350327158"/>
      <w:bookmarkStart w:id="3313" w:name="_Toc350327290"/>
      <w:bookmarkStart w:id="3314" w:name="_Toc350330237"/>
      <w:bookmarkStart w:id="3315" w:name="_Toc350341646"/>
      <w:bookmarkStart w:id="3316" w:name="_Toc351449931"/>
      <w:bookmarkStart w:id="3317" w:name="_Toc351450012"/>
      <w:bookmarkStart w:id="3318" w:name="_Toc352242314"/>
      <w:bookmarkStart w:id="3319" w:name="_Toc352243873"/>
      <w:bookmarkStart w:id="3320" w:name="_Toc352244418"/>
      <w:bookmarkStart w:id="3321" w:name="_Toc352244513"/>
      <w:bookmarkStart w:id="3322" w:name="_Toc354403619"/>
      <w:bookmarkStart w:id="3323" w:name="_Toc354476624"/>
      <w:bookmarkStart w:id="3324" w:name="_Toc354493381"/>
      <w:bookmarkStart w:id="3325" w:name="_Toc354493922"/>
      <w:bookmarkStart w:id="3326" w:name="_Toc354494604"/>
      <w:bookmarkStart w:id="3327" w:name="_Toc354494794"/>
      <w:bookmarkStart w:id="3328" w:name="_Toc354497538"/>
      <w:bookmarkStart w:id="3329" w:name="_Toc354561201"/>
      <w:bookmarkStart w:id="3330" w:name="_Toc354561385"/>
      <w:bookmarkStart w:id="3331" w:name="_Toc354561457"/>
      <w:bookmarkStart w:id="3332" w:name="_Toc354561529"/>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7</w:t>
      </w:r>
      <w:r w:rsidR="007F11CF">
        <w:rPr>
          <w:noProof/>
        </w:rPr>
        <w:fldChar w:fldCharType="end"/>
      </w:r>
      <w:bookmarkEnd w:id="3304"/>
      <w:r w:rsidR="008237BB">
        <w:t>. Fire Danger Rating, 2050 – 50 year ARI.</w:t>
      </w:r>
      <w:bookmarkEnd w:id="3305"/>
      <w:bookmarkEnd w:id="3306"/>
      <w:bookmarkEnd w:id="3307"/>
      <w:bookmarkEnd w:id="3308"/>
      <w:bookmarkEnd w:id="3309"/>
      <w:r w:rsidR="008237BB" w:rsidRPr="00C42DDB">
        <w:t xml:space="preserve"> </w:t>
      </w:r>
      <w:r w:rsidR="008237BB">
        <w:t>The dashed area indicates a region of lower confidence; see the Discussion section.</w:t>
      </w:r>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p>
    <w:p w:rsidR="00FF6328" w:rsidRDefault="008237BB" w:rsidP="00253307">
      <w:pPr>
        <w:pStyle w:val="Figuresandimagesleft"/>
      </w:pPr>
      <w:bookmarkStart w:id="3333" w:name="_Ref350338113"/>
      <w:bookmarkStart w:id="3334" w:name="_Toc350339820"/>
      <w:r>
        <w:rPr>
          <w:noProof/>
        </w:rPr>
        <w:drawing>
          <wp:inline distT="0" distB="0" distL="0" distR="0" wp14:anchorId="3D12AF75" wp14:editId="10E1F3FF">
            <wp:extent cx="5292000" cy="3528000"/>
            <wp:effectExtent l="0" t="0" r="4445" b="0"/>
            <wp:docPr id="51" name="Picture 51" descr="The description of the spatial spread of the bushfire hazard for the 2050 100 year ARI is broadly consistent with the previously described current climate hazard. There is, however, an increase in hazard values across the region as compared with the 2050 50 year ARI bushfire hazard. The current climate 50 year ARI description is as follows.&#10;&#10;Bushfire hazard has been not been spatially defined within the study region due to constraints in rerunning the weather simulation model (WRF) in the time available for the project. Therefore, bushfire hazard has not been defined in the southern 20 km, including Mount Morgan, or the western 10 km of the study region. There is also an anomaly, caused by mountain waves within WRF, as described in the text, that reduces the bushfire hazard shown on the the western extent by another 15 km (total of 25 km from the western extent of the study region). Within this bushfire hazard error zone there are north/south block patterns of higher bushfire hazard, relative for each bushfire hazard map.&#10;&#10;The current climate 50 year ARI bushfire hazard maps shows hazard levels including Low and then Very High through to Catastrophic. Generally, the Low bushfire hazard areas include the city of Rockhampton and small patches (up to 4 square km) on the Fitzroy River flood plain. The Very High bushfire hazard is shown on the coast from Yeppon down to the Fitzroy River mouth and then inland to the city of Rockhampton to form a triangle. The remainder of the study area is dominated by Severe bushfire ha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he description of the spatial spread of the bushfire hazard for the 2050 100 year ARI is broadly consistent with the previously described current climate hazard. There is, however, an increase in hazard values across the region as compared with the 2050 50 year ARI bushfire hazard. The current climate 50 year ARI description is as follows.&#10;&#10;Bushfire hazard has been not been spatially defined within the study region due to constraints in rerunning the weather simulation model (WRF) in the time available for the project. Therefore, bushfire hazard has not been defined in the southern 20 km, including Mount Morgan, or the western 10 km of the study region. There is also an anomaly, caused by mountain waves within WRF, as described in the text, that reduces the bushfire hazard shown on the the western extent by another 15 km (total of 25 km from the western extent of the study region). Within this bushfire hazard error zone there are north/south block patterns of higher bushfire hazard, relative for each bushfire hazard map.&#10;&#10;The current climate 50 year ARI bushfire hazard maps shows hazard levels including Low and then Very High through to Catastrophic. Generally, the Low bushfire hazard areas include the city of Rockhampton and small patches (up to 4 square km) on the Fitzroy River flood plain. The Very High bushfire hazard is shown on the coast from Yeppon down to the Fitzroy River mouth and then inland to the city of Rockhampton to form a triangle. The remainder of the study area is dominated by Severe bushfire hazar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92000" cy="3528000"/>
                    </a:xfrm>
                    <a:prstGeom prst="rect">
                      <a:avLst/>
                    </a:prstGeom>
                    <a:noFill/>
                    <a:ln>
                      <a:noFill/>
                    </a:ln>
                  </pic:spPr>
                </pic:pic>
              </a:graphicData>
            </a:graphic>
          </wp:inline>
        </w:drawing>
      </w:r>
      <w:bookmarkEnd w:id="3333"/>
      <w:bookmarkEnd w:id="3334"/>
    </w:p>
    <w:p w:rsidR="00253307" w:rsidRDefault="00FF6328" w:rsidP="00253307">
      <w:pPr>
        <w:pStyle w:val="Caption"/>
      </w:pPr>
      <w:bookmarkStart w:id="3335" w:name="_Ref354561576"/>
      <w:bookmarkStart w:id="3336" w:name="_Toc354561202"/>
      <w:bookmarkStart w:id="3337" w:name="_Toc354561386"/>
      <w:bookmarkStart w:id="3338" w:name="_Toc354561458"/>
      <w:bookmarkStart w:id="3339" w:name="_Toc354561530"/>
      <w:r>
        <w:t xml:space="preserve">Appendix Figure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8</w:t>
      </w:r>
      <w:r w:rsidR="007F11CF">
        <w:rPr>
          <w:noProof/>
        </w:rPr>
        <w:fldChar w:fldCharType="end"/>
      </w:r>
      <w:bookmarkEnd w:id="3335"/>
      <w:r>
        <w:t>. Fire Danger Rating, 20</w:t>
      </w:r>
      <w:r w:rsidR="00DF77DB">
        <w:t>5</w:t>
      </w:r>
      <w:r>
        <w:t>0 – 100 year ARI. The dashed area indicates a region of lower confidence; see the Discussion section.</w:t>
      </w:r>
      <w:bookmarkEnd w:id="3336"/>
      <w:bookmarkEnd w:id="3337"/>
      <w:bookmarkEnd w:id="3338"/>
      <w:bookmarkEnd w:id="3339"/>
    </w:p>
    <w:p w:rsidR="00FF6328" w:rsidRDefault="008237BB" w:rsidP="00253307">
      <w:pPr>
        <w:pStyle w:val="Figuresandimagesleft"/>
      </w:pPr>
      <w:r>
        <w:rPr>
          <w:noProof/>
        </w:rPr>
        <w:lastRenderedPageBreak/>
        <w:drawing>
          <wp:inline distT="0" distB="0" distL="0" distR="0" wp14:anchorId="475A44F8" wp14:editId="6D14B4EF">
            <wp:extent cx="5400675" cy="3600450"/>
            <wp:effectExtent l="0" t="0" r="9525" b="0"/>
            <wp:docPr id="50" name="Picture 50" descr="The description of the spatial spread of the bushfire hazard for the 2090 50 year ARI is broadly consistent with the previously described current climate hazard. There is, however, an increase in hazard values across the region as compared with the 2050 100 year ARI bushfire hazard. This is particularly clear to in the study region to the south of the Fitzroy River as the hazard is trending towards the Extreme range now. The current climate 50 year ARI description is as follows.&#10;&#10;Bushfire hazard has been not been spatially defined within the study region due to constraints in rerunning the weather simulation model (WRF) in the time available for the project. Therefore, bushfire hazard has not been defined in the southern 20 km, including Mount Morgan, or the western 10 km of the study region. There is also an anomaly, caused by mountain waves within WRF, as described in the text, that reduces the bushfire hazard shown on the the western extent by another 15 km (total of 25 km from the western extent of the study region). Within this bushfire hazard error zone there are north/south block patterns of higher bushfire hazard, relative for each bushfire hazard map.&#10;&#10;The current climate 50 year ARI bushfire hazard maps shows hazard levels including Low and then Very High through to Catastrophic. Generally, the Low bushfire hazard areas include the city of Rockhampton and small patches (up to 4 square km) on the Fitzroy River flood plain. The Very High bushfire hazard is shown on the coast from Yeppon down to the Fitzroy River mouth and then inland to the city of Rockhampton to form a triangle. The remainder of the study area is dominated by Severe bushfire ha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he description of the spatial spread of the bushfire hazard for the 2090 50 year ARI is broadly consistent with the previously described current climate hazard. There is, however, an increase in hazard values across the region as compared with the 2050 100 year ARI bushfire hazard. This is particularly clear to in the study region to the south of the Fitzroy River as the hazard is trending towards the Extreme range now. The current climate 50 year ARI description is as follows.&#10;&#10;Bushfire hazard has been not been spatially defined within the study region due to constraints in rerunning the weather simulation model (WRF) in the time available for the project. Therefore, bushfire hazard has not been defined in the southern 20 km, including Mount Morgan, or the western 10 km of the study region. There is also an anomaly, caused by mountain waves within WRF, as described in the text, that reduces the bushfire hazard shown on the the western extent by another 15 km (total of 25 km from the western extent of the study region). Within this bushfire hazard error zone there are north/south block patterns of higher bushfire hazard, relative for each bushfire hazard map.&#10;&#10;The current climate 50 year ARI bushfire hazard maps shows hazard levels including Low and then Very High through to Catastrophic. Generally, the Low bushfire hazard areas include the city of Rockhampton and small patches (up to 4 square km) on the Fitzroy River flood plain. The Very High bushfire hazard is shown on the coast from Yeppon down to the Fitzroy River mouth and then inland to the city of Rockhampton to form a triangle. The remainder of the study area is dominated by Severe bushfire hazar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FF6328" w:rsidRDefault="00FF6328" w:rsidP="00FF6328">
      <w:pPr>
        <w:pStyle w:val="Caption"/>
        <w:keepNext/>
      </w:pPr>
      <w:bookmarkStart w:id="3340" w:name="_Ref354561578"/>
      <w:bookmarkStart w:id="3341" w:name="_Toc354561203"/>
      <w:bookmarkStart w:id="3342" w:name="_Toc354561387"/>
      <w:bookmarkStart w:id="3343" w:name="_Toc354561459"/>
      <w:bookmarkStart w:id="3344" w:name="_Toc354561531"/>
      <w:r>
        <w:t xml:space="preserve">Appendix Figure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9</w:t>
      </w:r>
      <w:r w:rsidR="007F11CF">
        <w:rPr>
          <w:noProof/>
        </w:rPr>
        <w:fldChar w:fldCharType="end"/>
      </w:r>
      <w:bookmarkEnd w:id="3340"/>
      <w:r>
        <w:t>. Fire Danger Rating, 2090 – 50 year ARI. The dashed area indicates a region of lower confidence; see the Discussion section.</w:t>
      </w:r>
      <w:bookmarkEnd w:id="3341"/>
      <w:bookmarkEnd w:id="3342"/>
      <w:bookmarkEnd w:id="3343"/>
      <w:bookmarkEnd w:id="3344"/>
    </w:p>
    <w:p w:rsidR="00FF6328" w:rsidRDefault="008237BB" w:rsidP="00253307">
      <w:pPr>
        <w:pStyle w:val="Figuresandimagesleft"/>
      </w:pPr>
      <w:r w:rsidRPr="00253307">
        <w:rPr>
          <w:noProof/>
        </w:rPr>
        <w:drawing>
          <wp:inline distT="0" distB="0" distL="0" distR="0" wp14:anchorId="4E6E22AB" wp14:editId="7234DEE6">
            <wp:extent cx="5400675" cy="3600450"/>
            <wp:effectExtent l="0" t="0" r="9525" b="0"/>
            <wp:docPr id="49" name="Picture 49" descr="The description of the spatial spread of the bushfire hazard for the 2090 100 year ARI coastal region is broadly consistent with the previously described current climate hazard. There is, however, an increase in hazard values across the region as compared with the 2090 50 year ARI bushfire hazard. This is particularly clear to in the study region to the south of the Fitzroy River as the hazard is trending towards the Extreme range now. The current climate 50 year ARI description is as follows.&#10;&#10;Bushfire hazard has been not been spatially defined within the study region due to constraints in rerunning the weather simulation model (WRF) in the time available for the project. Therefore, bushfire hazard has not been defined in the southern 20 km, including Mount Morgan, or the western 10 km of the study region. There is also an anomaly, caused by mountain waves within WRF, as described in the text, that reduces the bushfire hazard shown on the the western extent by another 15 km (total of 25 km from the western extent of the study region). Within this bushfire hazard error zone there are north/south block patterns of higher bushfire hazard, relative for each bushfire hazard map.&#10;&#10;The current climate 50 year ARI bushfire hazard maps shows hazard levels including Low and then Very High through to Catastrophic. Generally, the Low bushfire hazard areas include the city of Rockhampton and small patches (up to 4 square km) on the Fitzroy River flood plain. The Very High bushfire hazard is shown on the coast from Yeppon down to the Fitzroy River mouth and then inland to the city of Rockhampton to form a triangle. The remainder of the study area is dominated by Severe bushfire ha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he description of the spatial spread of the bushfire hazard for the 2090 100 year ARI coastal region is broadly consistent with the previously described current climate hazard. There is, however, an increase in hazard values across the region as compared with the 2090 50 year ARI bushfire hazard. This is particularly clear to in the study region to the south of the Fitzroy River as the hazard is trending towards the Extreme range now. The current climate 50 year ARI description is as follows.&#10;&#10;Bushfire hazard has been not been spatially defined within the study region due to constraints in rerunning the weather simulation model (WRF) in the time available for the project. Therefore, bushfire hazard has not been defined in the southern 20 km, including Mount Morgan, or the western 10 km of the study region. There is also an anomaly, caused by mountain waves within WRF, as described in the text, that reduces the bushfire hazard shown on the the western extent by another 15 km (total of 25 km from the western extent of the study region). Within this bushfire hazard error zone there are north/south block patterns of higher bushfire hazard, relative for each bushfire hazard map.&#10;&#10;The current climate 50 year ARI bushfire hazard maps shows hazard levels including Low and then Very High through to Catastrophic. Generally, the Low bushfire hazard areas include the city of Rockhampton and small patches (up to 4 square km) on the Fitzroy River flood plain. The Very High bushfire hazard is shown on the coast from Yeppon down to the Fitzroy River mouth and then inland to the city of Rockhampton to form a triangle. The remainder of the study area is dominated by Severe bushfire hazar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FF6328" w:rsidP="00FF6328">
      <w:pPr>
        <w:pStyle w:val="Caption"/>
      </w:pPr>
      <w:bookmarkStart w:id="3345" w:name="_Ref354561579"/>
      <w:bookmarkStart w:id="3346" w:name="_Toc354561204"/>
      <w:bookmarkStart w:id="3347" w:name="_Toc354561388"/>
      <w:bookmarkStart w:id="3348" w:name="_Toc354561460"/>
      <w:bookmarkStart w:id="3349" w:name="_Toc354561532"/>
      <w:r>
        <w:t xml:space="preserve">Appendix Figure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Appendix_Fig</w:instrText>
      </w:r>
      <w:r w:rsidR="007F11CF">
        <w:instrText xml:space="preserve">ure \* ARABIC \s 9 </w:instrText>
      </w:r>
      <w:r w:rsidR="007F11CF">
        <w:fldChar w:fldCharType="separate"/>
      </w:r>
      <w:r w:rsidR="00413858">
        <w:rPr>
          <w:noProof/>
        </w:rPr>
        <w:t>10</w:t>
      </w:r>
      <w:r w:rsidR="007F11CF">
        <w:rPr>
          <w:noProof/>
        </w:rPr>
        <w:fldChar w:fldCharType="end"/>
      </w:r>
      <w:bookmarkEnd w:id="3345"/>
      <w:r>
        <w:t>. Fire Danger Rating, 2090 – 100 year ARI. The dashed area indicates a region of lower confidence; see the Discussion section.</w:t>
      </w:r>
      <w:bookmarkEnd w:id="3346"/>
      <w:bookmarkEnd w:id="3347"/>
      <w:bookmarkEnd w:id="3348"/>
      <w:bookmarkEnd w:id="3349"/>
    </w:p>
    <w:p w:rsidR="008237BB" w:rsidRPr="009754CA" w:rsidRDefault="008237BB" w:rsidP="006B24B4">
      <w:pPr>
        <w:pStyle w:val="Headingappendix2"/>
      </w:pPr>
      <w:bookmarkStart w:id="3350" w:name="_Toc340842968"/>
      <w:bookmarkStart w:id="3351" w:name="_Toc342638508"/>
      <w:bookmarkStart w:id="3352" w:name="_Toc346261005"/>
      <w:bookmarkStart w:id="3353" w:name="_Toc346632567"/>
      <w:bookmarkStart w:id="3354" w:name="_Toc346632785"/>
      <w:bookmarkStart w:id="3355" w:name="_Toc346633009"/>
      <w:bookmarkStart w:id="3356" w:name="_Toc346633121"/>
      <w:bookmarkStart w:id="3357" w:name="_Toc346633233"/>
      <w:bookmarkStart w:id="3358" w:name="_Toc347401666"/>
      <w:bookmarkStart w:id="3359" w:name="_Toc347401890"/>
      <w:bookmarkStart w:id="3360" w:name="_Toc347402002"/>
      <w:bookmarkStart w:id="3361" w:name="_Toc347402114"/>
      <w:bookmarkStart w:id="3362" w:name="_Toc347402502"/>
      <w:bookmarkStart w:id="3363" w:name="_Toc349055074"/>
      <w:bookmarkStart w:id="3364" w:name="_Toc349055294"/>
      <w:bookmarkStart w:id="3365" w:name="_Toc349055520"/>
      <w:bookmarkStart w:id="3366" w:name="_Toc349055633"/>
      <w:bookmarkStart w:id="3367" w:name="_Toc349055746"/>
      <w:bookmarkStart w:id="3368" w:name="_Toc349116978"/>
      <w:bookmarkStart w:id="3369" w:name="_Toc350330067"/>
      <w:bookmarkStart w:id="3370" w:name="_Toc354402036"/>
      <w:bookmarkStart w:id="3371" w:name="_Toc354404071"/>
      <w:bookmarkStart w:id="3372" w:name="_Toc354476533"/>
      <w:bookmarkStart w:id="3373" w:name="_Toc354492762"/>
      <w:bookmarkStart w:id="3374" w:name="_Toc354492892"/>
      <w:bookmarkStart w:id="3375" w:name="_Toc354493140"/>
      <w:bookmarkStart w:id="3376" w:name="_Toc354493301"/>
      <w:bookmarkStart w:id="3377" w:name="_Toc354493759"/>
      <w:bookmarkStart w:id="3378" w:name="_Toc354494294"/>
      <w:bookmarkStart w:id="3379" w:name="_Toc354494512"/>
      <w:bookmarkStart w:id="3380" w:name="_Toc354494723"/>
      <w:bookmarkStart w:id="3381" w:name="_Toc354495017"/>
      <w:bookmarkStart w:id="3382" w:name="_Toc354497899"/>
      <w:bookmarkStart w:id="3383" w:name="_Toc354561312"/>
      <w:bookmarkStart w:id="3384" w:name="_Toc355164221"/>
      <w:bookmarkStart w:id="3385" w:name="_Toc355249653"/>
      <w:r w:rsidRPr="009A3F95">
        <w:lastRenderedPageBreak/>
        <w:t>Discussion</w:t>
      </w:r>
      <w:bookmarkEnd w:id="3350"/>
      <w:r w:rsidRPr="009A3F95">
        <w:t xml:space="preserve"> </w:t>
      </w:r>
      <w:bookmarkStart w:id="3386" w:name="_Toc340842969"/>
      <w:r w:rsidRPr="009A3F95">
        <w:t xml:space="preserve">- </w:t>
      </w:r>
      <w:r>
        <w:t>Current Climate</w:t>
      </w:r>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p>
    <w:p w:rsidR="008237BB" w:rsidRDefault="008237BB" w:rsidP="001B78DC">
      <w:pPr>
        <w:pStyle w:val="BodyText"/>
      </w:pPr>
      <w:r>
        <w:t xml:space="preserve">The Bushfire hazard has been reclassified into three classes to more clearly show the lesser and greater hazard in the 50 year and 100 year ARI events, </w:t>
      </w:r>
      <w:r w:rsidR="00DF77DB">
        <w:fldChar w:fldCharType="begin"/>
      </w:r>
      <w:r w:rsidR="00DF77DB">
        <w:instrText xml:space="preserve"> REF _Ref354561573 \h </w:instrText>
      </w:r>
      <w:r w:rsidR="00DF77DB">
        <w:fldChar w:fldCharType="separate"/>
      </w:r>
      <w:r w:rsidR="00413858">
        <w:t xml:space="preserve">Appendix Figure </w:t>
      </w:r>
      <w:r w:rsidR="00413858">
        <w:rPr>
          <w:noProof/>
        </w:rPr>
        <w:t>B</w:t>
      </w:r>
      <w:r w:rsidR="00413858">
        <w:t>.</w:t>
      </w:r>
      <w:r w:rsidR="00413858">
        <w:rPr>
          <w:noProof/>
        </w:rPr>
        <w:t>11</w:t>
      </w:r>
      <w:r w:rsidR="00DF77DB">
        <w:fldChar w:fldCharType="end"/>
      </w:r>
      <w:r>
        <w:t xml:space="preserve"> and </w:t>
      </w:r>
      <w:r>
        <w:fldChar w:fldCharType="begin"/>
      </w:r>
      <w:r>
        <w:instrText xml:space="preserve"> REF _Ref350337918 \h </w:instrText>
      </w:r>
      <w:r>
        <w:fldChar w:fldCharType="separate"/>
      </w:r>
      <w:r w:rsidR="00413858">
        <w:t xml:space="preserve">Appendix Figure </w:t>
      </w:r>
      <w:r w:rsidR="00413858">
        <w:rPr>
          <w:noProof/>
        </w:rPr>
        <w:t>B</w:t>
      </w:r>
      <w:r w:rsidR="00413858">
        <w:t>.</w:t>
      </w:r>
      <w:r w:rsidR="00413858">
        <w:rPr>
          <w:noProof/>
        </w:rPr>
        <w:t>12</w:t>
      </w:r>
      <w:r>
        <w:fldChar w:fldCharType="end"/>
      </w:r>
      <w:r>
        <w:t xml:space="preserve"> respectively. The existing hazard has been reclassified into three classes: Class 1 - Low, Moderate and High; Class 2 - Very High and Class 3 - Severe, Extreme and Catastrophic. A summary of the business and home risk from the Queensland Rural Fire Service</w:t>
      </w:r>
      <w:r>
        <w:rPr>
          <w:rStyle w:val="FootnoteReference"/>
        </w:rPr>
        <w:footnoteReference w:id="27"/>
      </w:r>
      <w:r>
        <w:t xml:space="preserve"> is replicated below:</w:t>
      </w:r>
    </w:p>
    <w:p w:rsidR="001B78DC" w:rsidRDefault="001B78DC" w:rsidP="00253307">
      <w:pPr>
        <w:pStyle w:val="Tabletitle"/>
      </w:pPr>
      <w:bookmarkStart w:id="3387" w:name="_Ref355247570"/>
      <w:bookmarkStart w:id="3388" w:name="_Toc355016326"/>
      <w:bookmarkStart w:id="3389" w:name="_Toc355016397"/>
      <w:bookmarkStart w:id="3390" w:name="_Toc355016497"/>
      <w:bookmarkStart w:id="3391" w:name="_Toc355073367"/>
      <w:bookmarkStart w:id="3392" w:name="_Toc355162317"/>
      <w:bookmarkStart w:id="3393" w:name="_Toc355249460"/>
      <w:r>
        <w:t xml:space="preserve">Appendix Table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Appendix_Tab</w:instrText>
      </w:r>
      <w:r w:rsidR="007F11CF">
        <w:instrText xml:space="preserve">le \* ARABIC \s 9 </w:instrText>
      </w:r>
      <w:r w:rsidR="007F11CF">
        <w:fldChar w:fldCharType="separate"/>
      </w:r>
      <w:r w:rsidR="00413858">
        <w:rPr>
          <w:noProof/>
        </w:rPr>
        <w:t>4</w:t>
      </w:r>
      <w:r w:rsidR="007F11CF">
        <w:rPr>
          <w:noProof/>
        </w:rPr>
        <w:fldChar w:fldCharType="end"/>
      </w:r>
      <w:bookmarkEnd w:id="3387"/>
      <w:r>
        <w:t>. Fire Danger Rating description – Queensland Rural Fire Service.</w:t>
      </w:r>
      <w:bookmarkEnd w:id="3388"/>
      <w:bookmarkEnd w:id="3389"/>
      <w:bookmarkEnd w:id="3390"/>
      <w:bookmarkEnd w:id="3391"/>
      <w:bookmarkEnd w:id="3392"/>
      <w:bookmarkEnd w:id="3393"/>
    </w:p>
    <w:tbl>
      <w:tblPr>
        <w:tblStyle w:val="TableGAHeaderRow"/>
        <w:tblW w:w="8675" w:type="dxa"/>
        <w:tblLook w:val="0020" w:firstRow="1" w:lastRow="0" w:firstColumn="0" w:lastColumn="0" w:noHBand="0" w:noVBand="0"/>
        <w:tblDescription w:val="This table provides the fire danger rating description as sourced from the Queensland Rural Fire Service.Catastrophic:A fire with a rating of “Catastrophic” may be uncontrollable, unpredictable and fast moving. The flames will be higher than roof tops. Many people will be injured and thousands of homes and businesses will be destroyed. During a “Catastrophic” fire, well prepared, constructed and defended homes may not be safe. Leaving is the safest option for your survival. Extreme:A fire with an “Extreme” rating may be uncontrollable, unpredictable and fast moving. The flames will be higher than roof tops. During an “extreme” fire, people will be injured and hundreds of homes and businesses will be destroyed. During a fire with an “Extreme” rating, only well prepared, well constructed and actively defended houses are likely to offer any safety during a fire. Leaving is the safest option for your survival. Severe: A fire with a “Severe” rating may be uncontrollable and move quickly, with flames that may be higher than roof tops. A severe fire may cause injuries and some homes or businesses will be destroyed.&#10;During a fire with a “Severe” rating, leaving is the safest option for your survival. Only use your home as a place of safety if it is well prepared and you can actively defend it. Very High: A fire with a “Very High” danger rating is a fire that can be difficult to control with flames that may burn into the tree tops. During a fire of this type some homes and businesses may be damaged or destroyed. During a fire with a “Very High” danger rating, you should only use your home as a place of safety if it is well prepared and you can actively defend it. High: A fire with a “High” danger rating is a fire that can be controlled where loss of life is unlikely and damage to property will be limited. During a fire with a “High” danger rating, you should know where to get more information and monitor the situation for any changes. Low - Moderate: A fire with a “Low to Moderate” rating can be easily controlled and post [sic] little or no risk to life or property. During a fire with a “Low to Moderate” rating, you should know where to get more information and monitor the situation for any changes.&#10;"/>
      </w:tblPr>
      <w:tblGrid>
        <w:gridCol w:w="1575"/>
        <w:gridCol w:w="7100"/>
      </w:tblGrid>
      <w:tr w:rsidR="008237BB" w:rsidRPr="005C071F" w:rsidTr="006B54B0">
        <w:trPr>
          <w:cnfStyle w:val="100000000000" w:firstRow="1" w:lastRow="0" w:firstColumn="0" w:lastColumn="0" w:oddVBand="0" w:evenVBand="0" w:oddHBand="0" w:evenHBand="0" w:firstRowFirstColumn="0" w:firstRowLastColumn="0" w:lastRowFirstColumn="0" w:lastRowLastColumn="0"/>
          <w:cantSplit w:val="0"/>
          <w:trHeight w:val="255"/>
          <w:tblHeader/>
        </w:trPr>
        <w:tc>
          <w:tcPr>
            <w:cnfStyle w:val="000010000000" w:firstRow="0" w:lastRow="0" w:firstColumn="0" w:lastColumn="0" w:oddVBand="1" w:evenVBand="0" w:oddHBand="0" w:evenHBand="0" w:firstRowFirstColumn="0" w:firstRowLastColumn="0" w:lastRowFirstColumn="0" w:lastRowLastColumn="0"/>
            <w:tcW w:w="1575" w:type="dxa"/>
            <w:noWrap/>
          </w:tcPr>
          <w:p w:rsidR="001D1D44" w:rsidRPr="005A52CA" w:rsidRDefault="008237BB" w:rsidP="001D132F">
            <w:pPr>
              <w:pStyle w:val="Tabletextleft"/>
            </w:pPr>
            <w:r w:rsidRPr="005A52CA">
              <w:t>Rating</w:t>
            </w:r>
          </w:p>
        </w:tc>
        <w:tc>
          <w:tcPr>
            <w:tcW w:w="7100" w:type="dxa"/>
            <w:noWrap/>
          </w:tcPr>
          <w:p w:rsidR="008237BB" w:rsidRPr="005A52CA" w:rsidRDefault="008237BB" w:rsidP="001D132F">
            <w:pPr>
              <w:pStyle w:val="Tabletextleft"/>
              <w:cnfStyle w:val="100000000000" w:firstRow="1" w:lastRow="0" w:firstColumn="0" w:lastColumn="0" w:oddVBand="0" w:evenVBand="0" w:oddHBand="0" w:evenHBand="0" w:firstRowFirstColumn="0" w:firstRowLastColumn="0" w:lastRowFirstColumn="0" w:lastRowLastColumn="0"/>
            </w:pPr>
            <w:r w:rsidRPr="005A52CA">
              <w:t>Description</w:t>
            </w:r>
          </w:p>
        </w:tc>
      </w:tr>
      <w:tr w:rsidR="008237BB" w:rsidRPr="005C071F" w:rsidTr="00B412E6">
        <w:trPr>
          <w:cnfStyle w:val="000000100000" w:firstRow="0" w:lastRow="0" w:firstColumn="0" w:lastColumn="0" w:oddVBand="0" w:evenVBand="0" w:oddHBand="1" w:evenHBand="0" w:firstRowFirstColumn="0" w:firstRowLastColumn="0" w:lastRowFirstColumn="0" w:lastRowLastColumn="0"/>
          <w:trHeight w:val="340"/>
        </w:trPr>
        <w:tc>
          <w:tcPr>
            <w:cnfStyle w:val="000010000000" w:firstRow="0" w:lastRow="0" w:firstColumn="0" w:lastColumn="0" w:oddVBand="1" w:evenVBand="0" w:oddHBand="0" w:evenHBand="0" w:firstRowFirstColumn="0" w:firstRowLastColumn="0" w:lastRowFirstColumn="0" w:lastRowLastColumn="0"/>
            <w:tcW w:w="1575" w:type="dxa"/>
            <w:noWrap/>
          </w:tcPr>
          <w:p w:rsidR="008237BB" w:rsidRPr="005C071F" w:rsidRDefault="008237BB" w:rsidP="001D132F">
            <w:pPr>
              <w:pStyle w:val="Tabletextleft"/>
              <w:rPr>
                <w:sz w:val="20"/>
              </w:rPr>
            </w:pPr>
            <w:r w:rsidRPr="005A52CA">
              <w:t>Catastrophic</w:t>
            </w:r>
          </w:p>
        </w:tc>
        <w:tc>
          <w:tcPr>
            <w:tcW w:w="7100" w:type="dxa"/>
          </w:tcPr>
          <w:p w:rsidR="008237BB" w:rsidRPr="005C071F" w:rsidRDefault="008237BB" w:rsidP="001D132F">
            <w:pPr>
              <w:pStyle w:val="Tabletextleft"/>
              <w:cnfStyle w:val="000000100000" w:firstRow="0" w:lastRow="0" w:firstColumn="0" w:lastColumn="0" w:oddVBand="0" w:evenVBand="0" w:oddHBand="1" w:evenHBand="0" w:firstRowFirstColumn="0" w:firstRowLastColumn="0" w:lastRowFirstColumn="0" w:lastRowLastColumn="0"/>
              <w:rPr>
                <w:rFonts w:ascii="Verdana" w:hAnsi="Verdana"/>
                <w:sz w:val="20"/>
              </w:rPr>
            </w:pPr>
            <w:r w:rsidRPr="005A52CA">
              <w:t>A fire with a rating of “</w:t>
            </w:r>
            <w:r>
              <w:t>C</w:t>
            </w:r>
            <w:r w:rsidRPr="005A52CA">
              <w:t xml:space="preserve">atastrophic” may be uncontrollable, unpredictable and fast moving. The flames will be higher than roof tops. Many people will be injured and thousands of homes and businesses will be destroyed. </w:t>
            </w:r>
            <w:r w:rsidRPr="005A52CA">
              <w:br/>
            </w:r>
            <w:r w:rsidRPr="005A52CA">
              <w:br/>
              <w:t>During a “</w:t>
            </w:r>
            <w:r>
              <w:t>C</w:t>
            </w:r>
            <w:r w:rsidRPr="005A52CA">
              <w:t>atastrophic” fire, well prepared, constructed and defended homes may not be safe. Leaving is the safest option for your survival.</w:t>
            </w:r>
          </w:p>
        </w:tc>
      </w:tr>
      <w:tr w:rsidR="008237BB" w:rsidRPr="005C071F" w:rsidTr="00B412E6">
        <w:trPr>
          <w:cnfStyle w:val="000000010000" w:firstRow="0" w:lastRow="0" w:firstColumn="0" w:lastColumn="0" w:oddVBand="0" w:evenVBand="0" w:oddHBand="0" w:evenHBand="1" w:firstRowFirstColumn="0" w:firstRowLastColumn="0" w:lastRowFirstColumn="0" w:lastRowLastColumn="0"/>
          <w:trHeight w:val="340"/>
        </w:trPr>
        <w:tc>
          <w:tcPr>
            <w:cnfStyle w:val="000010000000" w:firstRow="0" w:lastRow="0" w:firstColumn="0" w:lastColumn="0" w:oddVBand="1" w:evenVBand="0" w:oddHBand="0" w:evenHBand="0" w:firstRowFirstColumn="0" w:firstRowLastColumn="0" w:lastRowFirstColumn="0" w:lastRowLastColumn="0"/>
            <w:tcW w:w="1575" w:type="dxa"/>
            <w:noWrap/>
          </w:tcPr>
          <w:p w:rsidR="008237BB" w:rsidRPr="005C071F" w:rsidRDefault="008237BB" w:rsidP="001D132F">
            <w:pPr>
              <w:pStyle w:val="Tabletextleft"/>
              <w:rPr>
                <w:sz w:val="20"/>
              </w:rPr>
            </w:pPr>
            <w:r w:rsidRPr="005A52CA">
              <w:t>Extreme</w:t>
            </w:r>
          </w:p>
        </w:tc>
        <w:tc>
          <w:tcPr>
            <w:tcW w:w="7100" w:type="dxa"/>
          </w:tcPr>
          <w:p w:rsidR="008237BB" w:rsidRPr="005C071F" w:rsidRDefault="008237BB" w:rsidP="001D132F">
            <w:pPr>
              <w:pStyle w:val="Tabletextleft"/>
              <w:cnfStyle w:val="000000010000" w:firstRow="0" w:lastRow="0" w:firstColumn="0" w:lastColumn="0" w:oddVBand="0" w:evenVBand="0" w:oddHBand="0" w:evenHBand="1" w:firstRowFirstColumn="0" w:firstRowLastColumn="0" w:lastRowFirstColumn="0" w:lastRowLastColumn="0"/>
              <w:rPr>
                <w:rFonts w:ascii="Verdana" w:hAnsi="Verdana"/>
                <w:sz w:val="20"/>
              </w:rPr>
            </w:pPr>
            <w:r w:rsidRPr="005A52CA">
              <w:t>A fire with an “</w:t>
            </w:r>
            <w:r>
              <w:t>E</w:t>
            </w:r>
            <w:r w:rsidRPr="005A52CA">
              <w:t>xtreme” rating may be uncontrollable, unpredictable and fast moving</w:t>
            </w:r>
            <w:r>
              <w:t xml:space="preserve">. </w:t>
            </w:r>
            <w:r w:rsidRPr="005A52CA">
              <w:t>The flames will be higher than roof tops. During an “extreme” fire, people will be injured and hundreds of homes and businesses will be destroyed.</w:t>
            </w:r>
            <w:r w:rsidRPr="005A52CA">
              <w:br/>
            </w:r>
            <w:r w:rsidRPr="005A52CA">
              <w:br/>
              <w:t>During a fire with an “</w:t>
            </w:r>
            <w:r>
              <w:t>E</w:t>
            </w:r>
            <w:r w:rsidRPr="005A52CA">
              <w:t>xtreme” rating, only well prepared, well constructed and actively defended houses are likely to offer any safety during a fire. Leaving is the safest option for your survival.</w:t>
            </w:r>
          </w:p>
        </w:tc>
      </w:tr>
      <w:tr w:rsidR="008237BB" w:rsidRPr="005C071F" w:rsidTr="00B412E6">
        <w:trPr>
          <w:cnfStyle w:val="000000100000" w:firstRow="0" w:lastRow="0" w:firstColumn="0" w:lastColumn="0" w:oddVBand="0" w:evenVBand="0" w:oddHBand="1" w:evenHBand="0" w:firstRowFirstColumn="0" w:firstRowLastColumn="0" w:lastRowFirstColumn="0" w:lastRowLastColumn="0"/>
          <w:trHeight w:val="340"/>
        </w:trPr>
        <w:tc>
          <w:tcPr>
            <w:cnfStyle w:val="000010000000" w:firstRow="0" w:lastRow="0" w:firstColumn="0" w:lastColumn="0" w:oddVBand="1" w:evenVBand="0" w:oddHBand="0" w:evenHBand="0" w:firstRowFirstColumn="0" w:firstRowLastColumn="0" w:lastRowFirstColumn="0" w:lastRowLastColumn="0"/>
            <w:tcW w:w="1575" w:type="dxa"/>
            <w:noWrap/>
          </w:tcPr>
          <w:p w:rsidR="008237BB" w:rsidRPr="005A52CA" w:rsidRDefault="008237BB" w:rsidP="001D132F">
            <w:pPr>
              <w:pStyle w:val="Tabletextleft"/>
            </w:pPr>
            <w:r w:rsidRPr="005A52CA">
              <w:t>Severe</w:t>
            </w:r>
          </w:p>
        </w:tc>
        <w:tc>
          <w:tcPr>
            <w:tcW w:w="7100" w:type="dxa"/>
          </w:tcPr>
          <w:p w:rsidR="008237BB" w:rsidRPr="005A52CA"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5A52CA">
              <w:t>A fire with a “</w:t>
            </w:r>
            <w:r>
              <w:t>S</w:t>
            </w:r>
            <w:r w:rsidRPr="005A52CA">
              <w:t>evere” rating may be uncontrollable and move quickly, with flames that may be higher than roof tops. A severe fire may cause injuries and some homes or businesses will be destroyed.</w:t>
            </w:r>
            <w:r w:rsidRPr="005A52CA">
              <w:br/>
            </w:r>
            <w:r w:rsidRPr="005A52CA">
              <w:br/>
              <w:t>During a fire with a “</w:t>
            </w:r>
            <w:r>
              <w:t>S</w:t>
            </w:r>
            <w:r w:rsidRPr="005A52CA">
              <w:t>evere” rating, leaving is the safest option for your survival. Only use your home as a place of safety if it is well prepared and you can actively defend it.</w:t>
            </w:r>
          </w:p>
        </w:tc>
      </w:tr>
      <w:tr w:rsidR="008237BB" w:rsidRPr="005C071F" w:rsidTr="00B412E6">
        <w:trPr>
          <w:cnfStyle w:val="000000010000" w:firstRow="0" w:lastRow="0" w:firstColumn="0" w:lastColumn="0" w:oddVBand="0" w:evenVBand="0" w:oddHBand="0" w:evenHBand="1" w:firstRowFirstColumn="0" w:firstRowLastColumn="0" w:lastRowFirstColumn="0" w:lastRowLastColumn="0"/>
          <w:trHeight w:val="340"/>
        </w:trPr>
        <w:tc>
          <w:tcPr>
            <w:cnfStyle w:val="000010000000" w:firstRow="0" w:lastRow="0" w:firstColumn="0" w:lastColumn="0" w:oddVBand="1" w:evenVBand="0" w:oddHBand="0" w:evenHBand="0" w:firstRowFirstColumn="0" w:firstRowLastColumn="0" w:lastRowFirstColumn="0" w:lastRowLastColumn="0"/>
            <w:tcW w:w="1575" w:type="dxa"/>
            <w:noWrap/>
          </w:tcPr>
          <w:p w:rsidR="008237BB" w:rsidRPr="005A52CA" w:rsidRDefault="008237BB" w:rsidP="001D132F">
            <w:pPr>
              <w:pStyle w:val="Tabletextleft"/>
            </w:pPr>
            <w:r w:rsidRPr="005A52CA">
              <w:t>Very High</w:t>
            </w:r>
          </w:p>
        </w:tc>
        <w:tc>
          <w:tcPr>
            <w:tcW w:w="7100" w:type="dxa"/>
          </w:tcPr>
          <w:p w:rsidR="008237BB" w:rsidRPr="005A52CA"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5A52CA">
              <w:t>A fire with a “</w:t>
            </w:r>
            <w:r>
              <w:t>V</w:t>
            </w:r>
            <w:r w:rsidRPr="005A52CA">
              <w:t xml:space="preserve">ery </w:t>
            </w:r>
            <w:r>
              <w:t>H</w:t>
            </w:r>
            <w:r w:rsidRPr="005A52CA">
              <w:t>igh” danger rating is a fire that can be difficult to control with flames that may burn into the tree tops. During a fire of this type some homes and businesses may be damaged or destroyed.</w:t>
            </w:r>
            <w:r w:rsidRPr="005A52CA">
              <w:br/>
            </w:r>
            <w:r w:rsidRPr="005A52CA">
              <w:br/>
              <w:t>During a fire with a “</w:t>
            </w:r>
            <w:r>
              <w:t>V</w:t>
            </w:r>
            <w:r w:rsidRPr="005A52CA">
              <w:t xml:space="preserve">ery </w:t>
            </w:r>
            <w:r>
              <w:t>H</w:t>
            </w:r>
            <w:r w:rsidRPr="005A52CA">
              <w:t>igh” danger rating, you should only use your home as a place of safety if it is well prepared and you can actively defend it.</w:t>
            </w:r>
          </w:p>
        </w:tc>
      </w:tr>
      <w:tr w:rsidR="008237BB" w:rsidRPr="005C071F" w:rsidTr="00B412E6">
        <w:trPr>
          <w:cnfStyle w:val="000000100000" w:firstRow="0" w:lastRow="0" w:firstColumn="0" w:lastColumn="0" w:oddVBand="0" w:evenVBand="0" w:oddHBand="1" w:evenHBand="0" w:firstRowFirstColumn="0" w:firstRowLastColumn="0" w:lastRowFirstColumn="0" w:lastRowLastColumn="0"/>
          <w:trHeight w:val="340"/>
        </w:trPr>
        <w:tc>
          <w:tcPr>
            <w:cnfStyle w:val="000010000000" w:firstRow="0" w:lastRow="0" w:firstColumn="0" w:lastColumn="0" w:oddVBand="1" w:evenVBand="0" w:oddHBand="0" w:evenHBand="0" w:firstRowFirstColumn="0" w:firstRowLastColumn="0" w:lastRowFirstColumn="0" w:lastRowLastColumn="0"/>
            <w:tcW w:w="1575" w:type="dxa"/>
            <w:noWrap/>
          </w:tcPr>
          <w:p w:rsidR="008237BB" w:rsidRPr="005A52CA" w:rsidRDefault="008237BB" w:rsidP="001D132F">
            <w:pPr>
              <w:pStyle w:val="Tabletextleft"/>
            </w:pPr>
            <w:r w:rsidRPr="005A52CA">
              <w:t>High</w:t>
            </w:r>
          </w:p>
        </w:tc>
        <w:tc>
          <w:tcPr>
            <w:tcW w:w="7100" w:type="dxa"/>
          </w:tcPr>
          <w:p w:rsidR="008237BB" w:rsidRPr="005A52CA"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5A52CA">
              <w:t>A fire with a “</w:t>
            </w:r>
            <w:r>
              <w:t>H</w:t>
            </w:r>
            <w:r w:rsidRPr="005A52CA">
              <w:t xml:space="preserve">igh” danger rating is a fire that can be controlled where loss of life is unlikely and damage to property will be limited. </w:t>
            </w:r>
            <w:r w:rsidRPr="005A52CA">
              <w:br/>
            </w:r>
            <w:r w:rsidRPr="005A52CA">
              <w:br/>
              <w:t>During a fire with a “</w:t>
            </w:r>
            <w:r>
              <w:t>H</w:t>
            </w:r>
            <w:r w:rsidRPr="005A52CA">
              <w:t xml:space="preserve">igh” danger rating, you should know where to get more information and monitor the situation for any changes. </w:t>
            </w:r>
          </w:p>
        </w:tc>
      </w:tr>
      <w:tr w:rsidR="008237BB" w:rsidRPr="005C071F" w:rsidTr="00B412E6">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575" w:type="dxa"/>
            <w:noWrap/>
          </w:tcPr>
          <w:p w:rsidR="008237BB" w:rsidRPr="005A52CA" w:rsidRDefault="008237BB" w:rsidP="001D132F">
            <w:pPr>
              <w:pStyle w:val="Tabletextleft"/>
            </w:pPr>
            <w:r w:rsidRPr="005A52CA">
              <w:t>Low - Moderate</w:t>
            </w:r>
          </w:p>
        </w:tc>
        <w:tc>
          <w:tcPr>
            <w:tcW w:w="7100" w:type="dxa"/>
          </w:tcPr>
          <w:p w:rsidR="008237BB" w:rsidRPr="005A52CA"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5A52CA">
              <w:t>A fire with a “</w:t>
            </w:r>
            <w:r>
              <w:t>Lo</w:t>
            </w:r>
            <w:r w:rsidRPr="005A52CA">
              <w:t xml:space="preserve">w to </w:t>
            </w:r>
            <w:r>
              <w:t>M</w:t>
            </w:r>
            <w:r w:rsidRPr="005A52CA">
              <w:t>oderate” rating can be easily controlled and post</w:t>
            </w:r>
            <w:r>
              <w:t xml:space="preserve"> [</w:t>
            </w:r>
            <w:r w:rsidRPr="00B412E6">
              <w:rPr>
                <w:rStyle w:val="Italic"/>
              </w:rPr>
              <w:t>sic</w:t>
            </w:r>
            <w:r>
              <w:t>]</w:t>
            </w:r>
            <w:r w:rsidRPr="005A52CA">
              <w:t xml:space="preserve"> little or no risk to life or property. </w:t>
            </w:r>
            <w:r w:rsidRPr="005A52CA">
              <w:br/>
            </w:r>
            <w:r w:rsidRPr="005A52CA">
              <w:br/>
              <w:t>During a fire with a “</w:t>
            </w:r>
            <w:r>
              <w:t>L</w:t>
            </w:r>
            <w:r w:rsidRPr="005A52CA">
              <w:t xml:space="preserve">ow to </w:t>
            </w:r>
            <w:r>
              <w:t>M</w:t>
            </w:r>
            <w:r w:rsidRPr="005A52CA">
              <w:t>oderate” rating, you should know where to get more information and monitor the situation for any changes.</w:t>
            </w:r>
          </w:p>
        </w:tc>
      </w:tr>
    </w:tbl>
    <w:p w:rsidR="008237BB" w:rsidRDefault="008237BB" w:rsidP="008237BB">
      <w:pPr>
        <w:pStyle w:val="BodyText"/>
      </w:pPr>
      <w:r>
        <w:t>The location of greater and lesser hazard is consistent with the TC wind hazard although the area in the larger bushfire clusters is less than the 500 year ARI wind hazard.</w:t>
      </w:r>
    </w:p>
    <w:p w:rsidR="00FF6328" w:rsidRDefault="008237BB" w:rsidP="00253307">
      <w:pPr>
        <w:pStyle w:val="Figuresandimagesleft"/>
      </w:pPr>
      <w:r>
        <w:rPr>
          <w:noProof/>
        </w:rPr>
        <w:lastRenderedPageBreak/>
        <w:drawing>
          <wp:inline distT="0" distB="0" distL="0" distR="0" wp14:anchorId="1C26AC4B" wp14:editId="12AC7531">
            <wp:extent cx="5400675" cy="3600450"/>
            <wp:effectExtent l="0" t="0" r="9525" b="0"/>
            <wp:docPr id="48" name="Picture 48" descr="The reclassification of the current climate 50 year ARI bushfire hazard to combine the upper three hazard classes (Severe, Extreme and Catastrophic) clearly shows that these are the primary hazard levels defining bushfire hazard in the bushfire modelling area. The exception to this is the Very High bushfire hazard class that is evident as a triangular area with sides from Yeppoon to the mouth of the Fitztroy River and then inland to the city of Rockhampton. The final combined class of the remainder of the bushfire hazard classes less than Very High shows small patches (up to 4 square km) and the extent of the city of Rockhamp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The reclassification of the current climate 50 year ARI bushfire hazard to combine the upper three hazard classes (Severe, Extreme and Catastrophic) clearly shows that these are the primary hazard levels defining bushfire hazard in the bushfire modelling area. The exception to this is the Very High bushfire hazard class that is evident as a triangular area with sides from Yeppoon to the mouth of the Fitztroy River and then inland to the city of Rockhampton. The final combined class of the remainder of the bushfire hazard classes less than Very High shows small patches (up to 4 square km) and the extent of the city of Rockhampton. "/>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FF6328" w:rsidP="00FF6328">
      <w:pPr>
        <w:pStyle w:val="Caption"/>
      </w:pPr>
      <w:bookmarkStart w:id="3394" w:name="_Ref354561573"/>
      <w:bookmarkStart w:id="3395" w:name="_Toc354561205"/>
      <w:bookmarkStart w:id="3396" w:name="_Toc354561389"/>
      <w:bookmarkStart w:id="3397" w:name="_Toc354561461"/>
      <w:bookmarkStart w:id="3398" w:name="_Toc354561533"/>
      <w:r>
        <w:t xml:space="preserve">Appendix Figure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11</w:t>
      </w:r>
      <w:r w:rsidR="007F11CF">
        <w:rPr>
          <w:noProof/>
        </w:rPr>
        <w:fldChar w:fldCharType="end"/>
      </w:r>
      <w:bookmarkEnd w:id="3394"/>
      <w:r>
        <w:t>. Current-climate 50 year ARI bushfire hazard reclassified</w:t>
      </w:r>
      <w:bookmarkEnd w:id="3395"/>
      <w:bookmarkEnd w:id="3396"/>
      <w:bookmarkEnd w:id="3397"/>
      <w:bookmarkEnd w:id="3398"/>
      <w:r w:rsidR="00DD02DF">
        <w:t>.</w:t>
      </w:r>
    </w:p>
    <w:p w:rsidR="008237BB" w:rsidRPr="003842B9" w:rsidRDefault="008237BB" w:rsidP="00253307">
      <w:pPr>
        <w:pStyle w:val="Figuresandimagesleft"/>
      </w:pPr>
      <w:r>
        <w:rPr>
          <w:noProof/>
        </w:rPr>
        <w:drawing>
          <wp:inline distT="0" distB="0" distL="0" distR="0" wp14:anchorId="7D189843" wp14:editId="33963CC6">
            <wp:extent cx="5400675" cy="3600450"/>
            <wp:effectExtent l="0" t="0" r="9525" b="0"/>
            <wp:docPr id="47" name="Picture 47" descr="The general description of the extent of current climate 50 year ARI bushfire hazard also describes the current climate 100 year ARI bushfire hazard. The upper class (Severe, Extreme and Catastrophic) is expanding in extent and, conversely,  the Very High hazard areas are reducing in extent. The combined Low, Moderate and High extent remains the same. The current climate 50 year ARI combined class description is as follows.&#10;&#10;The reclassification of the current climate 50 year ARI bushfire hazard to combine the upper three hazard classes (Severe, Extreme and Catastrophic) clearly shows that these are the primary hazard levels defining bushfire hazard in the bushfire modelling area. The exception to this is the Very High bushfire hazard class that is evident as a triangular area with sides from Yeppoon to the mouth of the Fitztroy River and then inland to the city of Rockhampton. The final combined class of the remainder of the bushfire hazard classes less than Very High shows small patches (up to 4 square km) and the extent of the city of Rockhamp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he general description of the extent of current climate 50 year ARI bushfire hazard also describes the current climate 100 year ARI bushfire hazard. The upper class (Severe, Extreme and Catastrophic) is expanding in extent and, conversely,  the Very High hazard areas are reducing in extent. The combined Low, Moderate and High extent remains the same. The current climate 50 year ARI combined class description is as follows.&#10;&#10;The reclassification of the current climate 50 year ARI bushfire hazard to combine the upper three hazard classes (Severe, Extreme and Catastrophic) clearly shows that these are the primary hazard levels defining bushfire hazard in the bushfire modelling area. The exception to this is the Very High bushfire hazard class that is evident as a triangular area with sides from Yeppoon to the mouth of the Fitztroy River and then inland to the city of Rockhampton. The final combined class of the remainder of the bushfire hazard classes less than Very High shows small patches (up to 4 square km) and the extent of the city of Rockhampton.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414D8E" w:rsidP="008237BB">
      <w:pPr>
        <w:pStyle w:val="Caption"/>
        <w:keepNext/>
      </w:pPr>
      <w:bookmarkStart w:id="3399" w:name="_Ref350337918"/>
      <w:bookmarkStart w:id="3400" w:name="_Toc340844503"/>
      <w:bookmarkStart w:id="3401" w:name="_Toc342638662"/>
      <w:bookmarkStart w:id="3402" w:name="_Toc349055174"/>
      <w:bookmarkStart w:id="3403" w:name="_Toc349114922"/>
      <w:bookmarkStart w:id="3404" w:name="_Toc349115013"/>
      <w:bookmarkStart w:id="3405" w:name="_Toc349115152"/>
      <w:bookmarkStart w:id="3406" w:name="_Toc349115545"/>
      <w:bookmarkStart w:id="3407" w:name="_Toc350325593"/>
      <w:bookmarkStart w:id="3408" w:name="_Toc350327017"/>
      <w:bookmarkStart w:id="3409" w:name="_Toc350327163"/>
      <w:bookmarkStart w:id="3410" w:name="_Toc350327295"/>
      <w:bookmarkStart w:id="3411" w:name="_Toc350330242"/>
      <w:bookmarkStart w:id="3412" w:name="_Toc350341651"/>
      <w:bookmarkStart w:id="3413" w:name="_Toc351449936"/>
      <w:bookmarkStart w:id="3414" w:name="_Toc351450017"/>
      <w:bookmarkStart w:id="3415" w:name="_Toc352242319"/>
      <w:bookmarkStart w:id="3416" w:name="_Toc352243878"/>
      <w:bookmarkStart w:id="3417" w:name="_Toc352244423"/>
      <w:bookmarkStart w:id="3418" w:name="_Toc352244518"/>
      <w:bookmarkStart w:id="3419" w:name="_Toc354403624"/>
      <w:bookmarkStart w:id="3420" w:name="_Toc354476629"/>
      <w:bookmarkStart w:id="3421" w:name="_Toc354493386"/>
      <w:bookmarkStart w:id="3422" w:name="_Toc354493927"/>
      <w:bookmarkStart w:id="3423" w:name="_Toc354494609"/>
      <w:bookmarkStart w:id="3424" w:name="_Toc354494799"/>
      <w:bookmarkStart w:id="3425" w:name="_Toc354497543"/>
      <w:bookmarkStart w:id="3426" w:name="_Toc354561206"/>
      <w:bookmarkStart w:id="3427" w:name="_Toc354561390"/>
      <w:bookmarkStart w:id="3428" w:name="_Toc354561462"/>
      <w:bookmarkStart w:id="3429" w:name="_Toc354561534"/>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12</w:t>
      </w:r>
      <w:r w:rsidR="007F11CF">
        <w:rPr>
          <w:noProof/>
        </w:rPr>
        <w:fldChar w:fldCharType="end"/>
      </w:r>
      <w:bookmarkEnd w:id="3399"/>
      <w:r w:rsidR="008237BB">
        <w:t>. Current-climate 100 year ARI bushfire hazard reclassified</w:t>
      </w:r>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r w:rsidR="00DD02DF">
        <w:t>.</w:t>
      </w:r>
    </w:p>
    <w:p w:rsidR="008237BB" w:rsidRDefault="008237BB" w:rsidP="008237BB">
      <w:pPr>
        <w:pStyle w:val="BodyText"/>
      </w:pPr>
      <w:r w:rsidRPr="002134F7">
        <w:t xml:space="preserve">The </w:t>
      </w:r>
      <w:r>
        <w:t>dashed</w:t>
      </w:r>
      <w:r w:rsidRPr="002134F7">
        <w:t xml:space="preserve"> area </w:t>
      </w:r>
      <w:r>
        <w:t xml:space="preserve">in the bushfire hazard </w:t>
      </w:r>
      <w:r w:rsidRPr="002134F7">
        <w:t>depicts a region of lower confidence in the assessment associated with the numerical model and modelling technique utilised.</w:t>
      </w:r>
      <w:r>
        <w:t xml:space="preserve"> </w:t>
      </w:r>
      <w:r w:rsidRPr="004E0D0D">
        <w:t xml:space="preserve">The area of lower confidence </w:t>
      </w:r>
      <w:r w:rsidRPr="004E0D0D">
        <w:lastRenderedPageBreak/>
        <w:t>has been affected by gravity waves in the</w:t>
      </w:r>
      <w:r>
        <w:t xml:space="preserve"> modelled</w:t>
      </w:r>
      <w:r w:rsidRPr="004E0D0D">
        <w:t xml:space="preserve"> atmosphere caused by westerly flow over the nearby mountain ranges (called mountain waves). The influence on turbulent mixing and on the boundary layer winds is important enough that gravity waves are included in weather and climate models by parameterisation, which is an active area of research. In this study we have averaged the output from four simulations which is considered insufficient to average the gravity influence in the region of lower confidence. As the weather simulations are an input into the </w:t>
      </w:r>
      <w:r>
        <w:t>future-climate</w:t>
      </w:r>
      <w:r w:rsidRPr="004E0D0D">
        <w:t xml:space="preserve"> modelling this issue is therefore present in all the </w:t>
      </w:r>
      <w:r>
        <w:t>future-climate</w:t>
      </w:r>
      <w:r w:rsidRPr="004E0D0D">
        <w:t xml:space="preserve"> results. It is unclear how inaccurate these results are without further weather simulations being completed (extreme fire weather case studies) to attempt to investigate this anomaly</w:t>
      </w:r>
      <w:r>
        <w:t>,</w:t>
      </w:r>
      <w:r w:rsidRPr="004E0D0D">
        <w:t xml:space="preserve"> which was not possible within the project timelines. Otherwise outside the area of lower confidence, the results conform generally with expectations of the spatial distribution of bushfire hazard relating to weather characteristics, such as the proximity of the ocean increasing the relative humidity and reducing fire hazard.</w:t>
      </w:r>
    </w:p>
    <w:p w:rsidR="008237BB" w:rsidRDefault="008237BB" w:rsidP="008237BB">
      <w:pPr>
        <w:pStyle w:val="BodyText"/>
      </w:pPr>
      <w:r>
        <w:t>Without considering the red box area, the larger blocks of less exposed land closer to Rockhampton include:</w:t>
      </w:r>
    </w:p>
    <w:p w:rsidR="008237BB" w:rsidRPr="005B6444" w:rsidRDefault="008237BB" w:rsidP="004B379B">
      <w:pPr>
        <w:pStyle w:val="Bulletlevel1"/>
      </w:pPr>
      <w:r w:rsidRPr="005B6444">
        <w:t>north-west of Rockhampton</w:t>
      </w:r>
    </w:p>
    <w:p w:rsidR="008237BB" w:rsidRDefault="008237BB" w:rsidP="004B379B">
      <w:pPr>
        <w:pStyle w:val="Bulletlevel1"/>
      </w:pPr>
      <w:r w:rsidRPr="005B6444">
        <w:t>south of Rockhampton between the Bruce and Capricorn highways</w:t>
      </w:r>
      <w:r w:rsidR="00C54BDF">
        <w:t>.</w:t>
      </w:r>
    </w:p>
    <w:p w:rsidR="008237BB" w:rsidRDefault="008237BB" w:rsidP="008237BB">
      <w:pPr>
        <w:pStyle w:val="BodyText"/>
      </w:pPr>
      <w:r>
        <w:t>The hazard modelling extent does not extend far enough south to compare with the lesser wind exposed areas south of Bajool and Marmor.</w:t>
      </w:r>
    </w:p>
    <w:p w:rsidR="008237BB" w:rsidRDefault="008237BB" w:rsidP="008237BB">
      <w:pPr>
        <w:pStyle w:val="BodyText"/>
      </w:pPr>
      <w:r>
        <w:t>The Fitzroy floodplain to the east of the Bruce Highway shows mixed areas of high and low hazard whereas the lesser wind hazard was relatively homogenous in comparison.</w:t>
      </w:r>
    </w:p>
    <w:p w:rsidR="008237BB" w:rsidRDefault="008237BB" w:rsidP="008237BB">
      <w:pPr>
        <w:pStyle w:val="BodyText"/>
      </w:pPr>
      <w:r>
        <w:t>Notable areas of peak hazard include:</w:t>
      </w:r>
    </w:p>
    <w:p w:rsidR="008237BB" w:rsidRPr="005B6444" w:rsidRDefault="008237BB" w:rsidP="004B379B">
      <w:pPr>
        <w:pStyle w:val="Bulletlevel1"/>
      </w:pPr>
      <w:r w:rsidRPr="005B6444">
        <w:t>Flat Top Range and to south to the Fitzroy River</w:t>
      </w:r>
    </w:p>
    <w:p w:rsidR="008237BB" w:rsidRDefault="008237BB" w:rsidP="004B379B">
      <w:pPr>
        <w:pStyle w:val="Bulletlevel1"/>
      </w:pPr>
      <w:r w:rsidRPr="005B6444">
        <w:t>Mount Archer National Park.</w:t>
      </w:r>
    </w:p>
    <w:p w:rsidR="008237BB" w:rsidRDefault="008237BB" w:rsidP="008237BB">
      <w:pPr>
        <w:pStyle w:val="BodyText"/>
      </w:pPr>
      <w:r>
        <w:t xml:space="preserve">It should be noted that there is only a small difference in FFDI between the 50 year ARI and 100 year ARI. This is also reflected in </w:t>
      </w:r>
      <w:r>
        <w:fldChar w:fldCharType="begin"/>
      </w:r>
      <w:r>
        <w:instrText xml:space="preserve"> REF _Ref350337489 \h </w:instrText>
      </w:r>
      <w:r>
        <w:fldChar w:fldCharType="separate"/>
      </w:r>
      <w:r w:rsidR="00413858">
        <w:t xml:space="preserve">Appendix Figure </w:t>
      </w:r>
      <w:r w:rsidR="00413858">
        <w:rPr>
          <w:noProof/>
        </w:rPr>
        <w:t>B</w:t>
      </w:r>
      <w:r w:rsidR="00413858">
        <w:t>.</w:t>
      </w:r>
      <w:r w:rsidR="00413858">
        <w:rPr>
          <w:noProof/>
        </w:rPr>
        <w:t>1</w:t>
      </w:r>
      <w:r>
        <w:fldChar w:fldCharType="end"/>
      </w:r>
      <w:r>
        <w:t xml:space="preserve"> (Rockhampton airport FFDI observations). </w:t>
      </w:r>
      <w:r>
        <w:fldChar w:fldCharType="begin"/>
      </w:r>
      <w:r>
        <w:instrText xml:space="preserve"> REF _Ref350337985 \h </w:instrText>
      </w:r>
      <w:r>
        <w:fldChar w:fldCharType="separate"/>
      </w:r>
      <w:r w:rsidR="00413858">
        <w:t xml:space="preserve">Appendix Figure </w:t>
      </w:r>
      <w:r w:rsidR="00413858">
        <w:rPr>
          <w:noProof/>
        </w:rPr>
        <w:t>B</w:t>
      </w:r>
      <w:r w:rsidR="00413858">
        <w:t>.</w:t>
      </w:r>
      <w:r w:rsidR="00413858">
        <w:rPr>
          <w:noProof/>
        </w:rPr>
        <w:t>13</w:t>
      </w:r>
      <w:r>
        <w:fldChar w:fldCharType="end"/>
      </w:r>
      <w:r>
        <w:t xml:space="preserve"> shows a map of the difference between the 50 year ARI and 100 year ARI assessments. Most of the region (about 70%) has a difference below 4 FFDI units, whilst less than 5% of the region has a difference above 6 FFDI units.</w:t>
      </w:r>
    </w:p>
    <w:p w:rsidR="008237BB" w:rsidRPr="0041538D" w:rsidRDefault="008237BB" w:rsidP="00253307">
      <w:pPr>
        <w:pStyle w:val="Figuresandimagesleft"/>
      </w:pPr>
      <w:r>
        <w:rPr>
          <w:noProof/>
        </w:rPr>
        <w:lastRenderedPageBreak/>
        <w:drawing>
          <wp:inline distT="0" distB="0" distL="0" distR="0" wp14:anchorId="25A64A21" wp14:editId="7776916D">
            <wp:extent cx="5400675" cy="3600450"/>
            <wp:effectExtent l="0" t="0" r="9525" b="0"/>
            <wp:docPr id="46" name="Picture 46" descr="This figure compares the current climate 100 and 50 year bushfire hazard. There is a range between 0 and +10 FFDI units. The majority of the modelling area increases in the range of +2 to +4 FFDI units. Areas that increase a larger amount (+4 to +10 FFDI units) occur where there is forested vegetation, higher slopes and within the bushfire error zone to the western 25 km of the stud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his figure compares the current climate 100 and 50 year bushfire hazard. There is a range between 0 and +10 FFDI units. The majority of the modelling area increases in the range of +2 to +4 FFDI units. Areas that increase a larger amount (+4 to +10 FFDI units) occur where there is forested vegetation, higher slopes and within the bushfire error zone to the western 25 km of the study region."/>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414D8E" w:rsidP="008237BB">
      <w:pPr>
        <w:pStyle w:val="Caption"/>
        <w:keepNext/>
      </w:pPr>
      <w:bookmarkStart w:id="3430" w:name="_Ref350337985"/>
      <w:bookmarkStart w:id="3431" w:name="_Toc340844505"/>
      <w:bookmarkStart w:id="3432" w:name="_Toc342638663"/>
      <w:bookmarkStart w:id="3433" w:name="_Toc349055175"/>
      <w:bookmarkStart w:id="3434" w:name="_Toc349114923"/>
      <w:bookmarkStart w:id="3435" w:name="_Toc349115014"/>
      <w:bookmarkStart w:id="3436" w:name="_Toc349115153"/>
      <w:bookmarkStart w:id="3437" w:name="_Toc349115546"/>
      <w:bookmarkStart w:id="3438" w:name="_Toc350325594"/>
      <w:bookmarkStart w:id="3439" w:name="_Toc350327018"/>
      <w:bookmarkStart w:id="3440" w:name="_Toc350327164"/>
      <w:bookmarkStart w:id="3441" w:name="_Toc350327296"/>
      <w:bookmarkStart w:id="3442" w:name="_Toc350330243"/>
      <w:bookmarkStart w:id="3443" w:name="_Toc350341652"/>
      <w:bookmarkStart w:id="3444" w:name="_Toc351449937"/>
      <w:bookmarkStart w:id="3445" w:name="_Toc351450018"/>
      <w:bookmarkStart w:id="3446" w:name="_Toc352242320"/>
      <w:bookmarkStart w:id="3447" w:name="_Toc352243879"/>
      <w:bookmarkStart w:id="3448" w:name="_Toc352244424"/>
      <w:bookmarkStart w:id="3449" w:name="_Toc352244519"/>
      <w:bookmarkStart w:id="3450" w:name="_Toc354403625"/>
      <w:bookmarkStart w:id="3451" w:name="_Toc354476630"/>
      <w:bookmarkStart w:id="3452" w:name="_Toc354493387"/>
      <w:bookmarkStart w:id="3453" w:name="_Toc354493928"/>
      <w:bookmarkStart w:id="3454" w:name="_Toc354494610"/>
      <w:bookmarkStart w:id="3455" w:name="_Toc354494800"/>
      <w:bookmarkStart w:id="3456" w:name="_Toc354497544"/>
      <w:bookmarkStart w:id="3457" w:name="_Toc354561207"/>
      <w:bookmarkStart w:id="3458" w:name="_Toc354561391"/>
      <w:bookmarkStart w:id="3459" w:name="_Toc354561463"/>
      <w:bookmarkStart w:id="3460" w:name="_Toc354561535"/>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13</w:t>
      </w:r>
      <w:r w:rsidR="007F11CF">
        <w:rPr>
          <w:noProof/>
        </w:rPr>
        <w:fldChar w:fldCharType="end"/>
      </w:r>
      <w:bookmarkEnd w:id="3430"/>
      <w:r w:rsidR="008237BB">
        <w:t>. Bushfire hazard difference – 100 year ARI minus 50 year ARI.</w:t>
      </w:r>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p>
    <w:p w:rsidR="008237BB" w:rsidRPr="009754CA" w:rsidRDefault="008237BB" w:rsidP="006B24B4">
      <w:pPr>
        <w:pStyle w:val="Headingappendix2"/>
      </w:pPr>
      <w:bookmarkStart w:id="3461" w:name="_Toc342638509"/>
      <w:bookmarkStart w:id="3462" w:name="_Toc346261006"/>
      <w:bookmarkStart w:id="3463" w:name="_Toc346632568"/>
      <w:bookmarkStart w:id="3464" w:name="_Toc346632786"/>
      <w:bookmarkStart w:id="3465" w:name="_Toc346633010"/>
      <w:bookmarkStart w:id="3466" w:name="_Toc346633122"/>
      <w:bookmarkStart w:id="3467" w:name="_Toc346633234"/>
      <w:bookmarkStart w:id="3468" w:name="_Toc347401667"/>
      <w:bookmarkStart w:id="3469" w:name="_Toc347401891"/>
      <w:bookmarkStart w:id="3470" w:name="_Toc347402003"/>
      <w:bookmarkStart w:id="3471" w:name="_Toc347402115"/>
      <w:bookmarkStart w:id="3472" w:name="_Toc347402503"/>
      <w:bookmarkStart w:id="3473" w:name="_Toc349055075"/>
      <w:bookmarkStart w:id="3474" w:name="_Toc349055295"/>
      <w:bookmarkStart w:id="3475" w:name="_Toc349055521"/>
      <w:bookmarkStart w:id="3476" w:name="_Toc349055634"/>
      <w:bookmarkStart w:id="3477" w:name="_Toc349055747"/>
      <w:bookmarkStart w:id="3478" w:name="_Toc349116979"/>
      <w:bookmarkStart w:id="3479" w:name="_Toc350330068"/>
      <w:bookmarkStart w:id="3480" w:name="_Toc354402037"/>
      <w:bookmarkStart w:id="3481" w:name="_Toc354404072"/>
      <w:bookmarkStart w:id="3482" w:name="_Toc354476534"/>
      <w:bookmarkStart w:id="3483" w:name="_Toc354492763"/>
      <w:bookmarkStart w:id="3484" w:name="_Toc354492893"/>
      <w:bookmarkStart w:id="3485" w:name="_Toc354493141"/>
      <w:bookmarkStart w:id="3486" w:name="_Toc354493302"/>
      <w:bookmarkStart w:id="3487" w:name="_Toc354493760"/>
      <w:bookmarkStart w:id="3488" w:name="_Toc354494295"/>
      <w:bookmarkStart w:id="3489" w:name="_Toc354494513"/>
      <w:bookmarkStart w:id="3490" w:name="_Toc354494724"/>
      <w:bookmarkStart w:id="3491" w:name="_Toc354495018"/>
      <w:bookmarkStart w:id="3492" w:name="_Toc354497900"/>
      <w:bookmarkStart w:id="3493" w:name="_Toc354561313"/>
      <w:bookmarkStart w:id="3494" w:name="_Toc355164222"/>
      <w:bookmarkStart w:id="3495" w:name="_Toc355249654"/>
      <w:r w:rsidRPr="009A3F95">
        <w:t xml:space="preserve">Discussion - </w:t>
      </w:r>
      <w:r>
        <w:t>Future Climate</w:t>
      </w:r>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p>
    <w:p w:rsidR="008237BB" w:rsidRDefault="008237BB" w:rsidP="008237BB">
      <w:pPr>
        <w:pStyle w:val="BodyText"/>
      </w:pPr>
      <w:r>
        <w:t>Larger homogenous areas showing Extreme hazard in the 2050 50 year ARI hazard (</w:t>
      </w:r>
      <w:r w:rsidR="00DF77DB">
        <w:fldChar w:fldCharType="begin"/>
      </w:r>
      <w:r w:rsidR="00DF77DB">
        <w:instrText xml:space="preserve"> REF _Ref350338048 \h </w:instrText>
      </w:r>
      <w:r w:rsidR="00DF77DB">
        <w:fldChar w:fldCharType="separate"/>
      </w:r>
      <w:r w:rsidR="00413858">
        <w:t xml:space="preserve">Appendix Figure </w:t>
      </w:r>
      <w:r w:rsidR="00413858">
        <w:rPr>
          <w:noProof/>
        </w:rPr>
        <w:t>B</w:t>
      </w:r>
      <w:r w:rsidR="00413858">
        <w:t>.</w:t>
      </w:r>
      <w:r w:rsidR="00413858">
        <w:rPr>
          <w:noProof/>
        </w:rPr>
        <w:t>7</w:t>
      </w:r>
      <w:r w:rsidR="00DF77DB">
        <w:fldChar w:fldCharType="end"/>
      </w:r>
      <w:r w:rsidR="00DF77DB">
        <w:t>)</w:t>
      </w:r>
      <w:r>
        <w:t xml:space="preserve"> include:</w:t>
      </w:r>
    </w:p>
    <w:p w:rsidR="008237BB" w:rsidRPr="005B6444" w:rsidRDefault="008237BB" w:rsidP="004B379B">
      <w:pPr>
        <w:pStyle w:val="Bulletlevel1"/>
      </w:pPr>
      <w:r w:rsidRPr="005B6444">
        <w:t>south-west of Gracemere</w:t>
      </w:r>
    </w:p>
    <w:p w:rsidR="008237BB" w:rsidRPr="005B6444" w:rsidRDefault="008237BB" w:rsidP="004B379B">
      <w:pPr>
        <w:pStyle w:val="Bulletlevel1"/>
      </w:pPr>
      <w:r w:rsidRPr="005B6444">
        <w:t>north of Rockhampton on the eastern side of the Bruce Highway</w:t>
      </w:r>
    </w:p>
    <w:p w:rsidR="002F691C" w:rsidRDefault="008237BB" w:rsidP="004B379B">
      <w:pPr>
        <w:pStyle w:val="Bulletlevel1"/>
      </w:pPr>
      <w:r w:rsidRPr="005B6444">
        <w:t>south of Rockhampton on the western side of the Bruce Highway.</w:t>
      </w:r>
    </w:p>
    <w:p w:rsidR="008237BB" w:rsidRDefault="008237BB" w:rsidP="008237BB">
      <w:pPr>
        <w:pStyle w:val="BodyText"/>
      </w:pPr>
      <w:r>
        <w:t>The common trend between the 2050 50 year ARI hazard (</w:t>
      </w:r>
      <w:r>
        <w:fldChar w:fldCharType="begin"/>
      </w:r>
      <w:r>
        <w:instrText xml:space="preserve"> REF _Ref350338048 \h </w:instrText>
      </w:r>
      <w:r>
        <w:fldChar w:fldCharType="separate"/>
      </w:r>
      <w:r w:rsidR="00413858">
        <w:t xml:space="preserve">Appendix Figure </w:t>
      </w:r>
      <w:r w:rsidR="00413858">
        <w:rPr>
          <w:noProof/>
        </w:rPr>
        <w:t>B</w:t>
      </w:r>
      <w:r w:rsidR="00413858">
        <w:t>.</w:t>
      </w:r>
      <w:r w:rsidR="00413858">
        <w:rPr>
          <w:noProof/>
        </w:rPr>
        <w:t>7</w:t>
      </w:r>
      <w:r>
        <w:fldChar w:fldCharType="end"/>
      </w:r>
      <w:r>
        <w:t>), 2050 100 year ARI hazard (</w:t>
      </w:r>
      <w:r w:rsidR="00DF77DB">
        <w:fldChar w:fldCharType="begin"/>
      </w:r>
      <w:r w:rsidR="00DF77DB">
        <w:instrText xml:space="preserve"> REF _Ref354561576 \h </w:instrText>
      </w:r>
      <w:r w:rsidR="00DF77DB">
        <w:fldChar w:fldCharType="separate"/>
      </w:r>
      <w:r w:rsidR="00413858">
        <w:t xml:space="preserve">Appendix Figure </w:t>
      </w:r>
      <w:r w:rsidR="00413858">
        <w:rPr>
          <w:noProof/>
        </w:rPr>
        <w:t>B</w:t>
      </w:r>
      <w:r w:rsidR="00413858">
        <w:t>.</w:t>
      </w:r>
      <w:r w:rsidR="00413858">
        <w:rPr>
          <w:noProof/>
        </w:rPr>
        <w:t>8</w:t>
      </w:r>
      <w:r w:rsidR="00DF77DB">
        <w:fldChar w:fldCharType="end"/>
      </w:r>
      <w:r>
        <w:t>), 2090 50 year ARI hazard (</w:t>
      </w:r>
      <w:r w:rsidR="00DF77DB">
        <w:fldChar w:fldCharType="begin"/>
      </w:r>
      <w:r w:rsidR="00DF77DB">
        <w:instrText xml:space="preserve"> REF _Ref354561578 \h </w:instrText>
      </w:r>
      <w:r w:rsidR="00DF77DB">
        <w:fldChar w:fldCharType="separate"/>
      </w:r>
      <w:r w:rsidR="00413858">
        <w:t xml:space="preserve">Appendix Figure </w:t>
      </w:r>
      <w:r w:rsidR="00413858">
        <w:rPr>
          <w:noProof/>
        </w:rPr>
        <w:t>B</w:t>
      </w:r>
      <w:r w:rsidR="00413858">
        <w:t>.</w:t>
      </w:r>
      <w:r w:rsidR="00413858">
        <w:rPr>
          <w:noProof/>
        </w:rPr>
        <w:t>9</w:t>
      </w:r>
      <w:r w:rsidR="00DF77DB">
        <w:fldChar w:fldCharType="end"/>
      </w:r>
      <w:r>
        <w:t>) and the 2090 100 year ARI hazard (</w:t>
      </w:r>
      <w:r w:rsidR="00DF77DB">
        <w:fldChar w:fldCharType="begin"/>
      </w:r>
      <w:r w:rsidR="00DF77DB">
        <w:instrText xml:space="preserve"> REF _Ref354561579 \h </w:instrText>
      </w:r>
      <w:r w:rsidR="00DF77DB">
        <w:fldChar w:fldCharType="separate"/>
      </w:r>
      <w:r w:rsidR="00413858">
        <w:t xml:space="preserve">Appendix Figure </w:t>
      </w:r>
      <w:r w:rsidR="00413858">
        <w:rPr>
          <w:noProof/>
        </w:rPr>
        <w:t>B</w:t>
      </w:r>
      <w:r w:rsidR="00413858">
        <w:t>.</w:t>
      </w:r>
      <w:r w:rsidR="00413858">
        <w:rPr>
          <w:noProof/>
        </w:rPr>
        <w:t>10</w:t>
      </w:r>
      <w:r w:rsidR="00DF77DB">
        <w:fldChar w:fldCharType="end"/>
      </w:r>
      <w:r>
        <w:t>) is the increasing bushfire hazard. This can be seen from the increasing extent of the higher bushfire hazard classes and the decreasing extent of the lower bushfire classes when the previous scenario is compared (e.g. 2050 100 year ARI vs. 2050 50 year ARI).</w:t>
      </w:r>
    </w:p>
    <w:p w:rsidR="008237BB" w:rsidRDefault="008237BB" w:rsidP="00935848">
      <w:pPr>
        <w:pStyle w:val="Headingappendix3"/>
      </w:pPr>
      <w:bookmarkStart w:id="3496" w:name="_Toc346261007"/>
      <w:bookmarkStart w:id="3497" w:name="_Toc346632569"/>
      <w:bookmarkStart w:id="3498" w:name="_Toc346632787"/>
      <w:bookmarkStart w:id="3499" w:name="_Toc346633011"/>
      <w:bookmarkStart w:id="3500" w:name="_Toc346633123"/>
      <w:bookmarkStart w:id="3501" w:name="_Toc346633235"/>
      <w:bookmarkStart w:id="3502" w:name="_Toc347401668"/>
      <w:bookmarkStart w:id="3503" w:name="_Toc347401892"/>
      <w:bookmarkStart w:id="3504" w:name="_Toc347402004"/>
      <w:bookmarkStart w:id="3505" w:name="_Toc347402116"/>
      <w:bookmarkStart w:id="3506" w:name="_Toc347402504"/>
      <w:bookmarkStart w:id="3507" w:name="_Toc349055076"/>
      <w:bookmarkStart w:id="3508" w:name="_Toc349055296"/>
      <w:bookmarkStart w:id="3509" w:name="_Toc349055522"/>
      <w:bookmarkStart w:id="3510" w:name="_Toc349055635"/>
      <w:bookmarkStart w:id="3511" w:name="_Toc349055748"/>
      <w:bookmarkStart w:id="3512" w:name="_Toc349116980"/>
      <w:bookmarkStart w:id="3513" w:name="_Toc350330069"/>
      <w:bookmarkStart w:id="3514" w:name="_Toc354402038"/>
      <w:bookmarkStart w:id="3515" w:name="_Toc354476535"/>
      <w:bookmarkStart w:id="3516" w:name="_Toc354492764"/>
      <w:bookmarkStart w:id="3517" w:name="_Toc354492894"/>
      <w:bookmarkStart w:id="3518" w:name="_Toc354493142"/>
      <w:bookmarkStart w:id="3519" w:name="_Toc354493303"/>
      <w:bookmarkStart w:id="3520" w:name="_Toc354493761"/>
      <w:bookmarkStart w:id="3521" w:name="_Toc354494296"/>
      <w:bookmarkStart w:id="3522" w:name="_Toc354494514"/>
      <w:bookmarkStart w:id="3523" w:name="_Toc354494725"/>
      <w:bookmarkStart w:id="3524" w:name="_Toc354495019"/>
      <w:bookmarkStart w:id="3525" w:name="_Toc354497901"/>
      <w:bookmarkStart w:id="3526" w:name="_Toc354561314"/>
      <w:bookmarkStart w:id="3527" w:name="_Toc355164223"/>
      <w:bookmarkStart w:id="3528" w:name="_Toc355249655"/>
      <w:r>
        <w:t>Bushfire hazard reclassified</w:t>
      </w:r>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p>
    <w:p w:rsidR="008237BB" w:rsidRDefault="008237BB" w:rsidP="008237BB">
      <w:pPr>
        <w:pStyle w:val="BodyText"/>
      </w:pPr>
      <w:r>
        <w:t>As shown in the current-climate discussion of bushfire hazard, the future-climate bushfire hazard has been reclassified to combine hazard categories to focus on risk to buildings and people as described by QRFS in</w:t>
      </w:r>
      <w:r w:rsidR="00C54BDF">
        <w:t xml:space="preserve"> </w:t>
      </w:r>
      <w:r w:rsidR="00C54BDF">
        <w:fldChar w:fldCharType="begin"/>
      </w:r>
      <w:r w:rsidR="00C54BDF">
        <w:instrText xml:space="preserve"> REF _Ref355247570 \h </w:instrText>
      </w:r>
      <w:r w:rsidR="00C54BDF">
        <w:fldChar w:fldCharType="separate"/>
      </w:r>
      <w:r w:rsidR="00413858">
        <w:t xml:space="preserve">Appendix Table </w:t>
      </w:r>
      <w:r w:rsidR="00413858">
        <w:rPr>
          <w:noProof/>
        </w:rPr>
        <w:t>B</w:t>
      </w:r>
      <w:r w:rsidR="00413858">
        <w:t>.</w:t>
      </w:r>
      <w:r w:rsidR="00413858">
        <w:rPr>
          <w:noProof/>
        </w:rPr>
        <w:t>4</w:t>
      </w:r>
      <w:r w:rsidR="00C54BDF">
        <w:fldChar w:fldCharType="end"/>
      </w:r>
      <w:r>
        <w:t xml:space="preserve">. The 2050 reclassified bushfire hazard is presented in </w:t>
      </w:r>
      <w:r w:rsidR="00DF77DB">
        <w:fldChar w:fldCharType="begin"/>
      </w:r>
      <w:r w:rsidR="00DF77DB">
        <w:instrText xml:space="preserve"> REF _Ref354561574 \h </w:instrText>
      </w:r>
      <w:r w:rsidR="00DF77DB">
        <w:fldChar w:fldCharType="separate"/>
      </w:r>
      <w:r w:rsidR="00413858">
        <w:t xml:space="preserve">Appendix Figure </w:t>
      </w:r>
      <w:r w:rsidR="00413858">
        <w:rPr>
          <w:noProof/>
        </w:rPr>
        <w:t>B</w:t>
      </w:r>
      <w:r w:rsidR="00413858">
        <w:t>.</w:t>
      </w:r>
      <w:r w:rsidR="00413858">
        <w:rPr>
          <w:noProof/>
        </w:rPr>
        <w:t>14</w:t>
      </w:r>
      <w:r w:rsidR="00DF77DB">
        <w:fldChar w:fldCharType="end"/>
      </w:r>
      <w:r>
        <w:t xml:space="preserve"> and </w:t>
      </w:r>
      <w:r>
        <w:fldChar w:fldCharType="begin"/>
      </w:r>
      <w:r>
        <w:instrText xml:space="preserve"> REF _Ref350338227 \h </w:instrText>
      </w:r>
      <w:r>
        <w:fldChar w:fldCharType="separate"/>
      </w:r>
      <w:r w:rsidR="00413858">
        <w:t xml:space="preserve">Appendix Figure </w:t>
      </w:r>
      <w:r w:rsidR="00413858">
        <w:rPr>
          <w:noProof/>
        </w:rPr>
        <w:t>B</w:t>
      </w:r>
      <w:r w:rsidR="00413858">
        <w:t>.</w:t>
      </w:r>
      <w:r w:rsidR="00413858">
        <w:rPr>
          <w:noProof/>
        </w:rPr>
        <w:t>15</w:t>
      </w:r>
      <w:r>
        <w:fldChar w:fldCharType="end"/>
      </w:r>
      <w:r>
        <w:t xml:space="preserve">, for 50 and 100 year ARI, respectively, and the 2090 reclassified bushfire hazard is presented in </w:t>
      </w:r>
      <w:r w:rsidR="00DF77DB">
        <w:fldChar w:fldCharType="begin"/>
      </w:r>
      <w:r w:rsidR="00DF77DB">
        <w:instrText xml:space="preserve"> REF _Ref354561580 \h </w:instrText>
      </w:r>
      <w:r w:rsidR="00DF77DB">
        <w:fldChar w:fldCharType="separate"/>
      </w:r>
      <w:r w:rsidR="00413858">
        <w:t xml:space="preserve">Appendix Figure </w:t>
      </w:r>
      <w:r w:rsidR="00413858">
        <w:rPr>
          <w:noProof/>
        </w:rPr>
        <w:t>B</w:t>
      </w:r>
      <w:r w:rsidR="00413858">
        <w:t>.</w:t>
      </w:r>
      <w:r w:rsidR="00413858">
        <w:rPr>
          <w:noProof/>
        </w:rPr>
        <w:t>16</w:t>
      </w:r>
      <w:r w:rsidR="00DF77DB">
        <w:fldChar w:fldCharType="end"/>
      </w:r>
      <w:r>
        <w:t xml:space="preserve"> and </w:t>
      </w:r>
      <w:r>
        <w:fldChar w:fldCharType="begin"/>
      </w:r>
      <w:r>
        <w:instrText xml:space="preserve"> REF _Ref350338247 \h </w:instrText>
      </w:r>
      <w:r>
        <w:fldChar w:fldCharType="separate"/>
      </w:r>
      <w:r w:rsidR="00413858">
        <w:t xml:space="preserve">Appendix Figure </w:t>
      </w:r>
      <w:r w:rsidR="00413858">
        <w:rPr>
          <w:noProof/>
        </w:rPr>
        <w:t>B</w:t>
      </w:r>
      <w:r w:rsidR="00413858">
        <w:t>.</w:t>
      </w:r>
      <w:r w:rsidR="00413858">
        <w:rPr>
          <w:noProof/>
        </w:rPr>
        <w:t>17</w:t>
      </w:r>
      <w:r>
        <w:fldChar w:fldCharType="end"/>
      </w:r>
      <w:r>
        <w:t>, for 50 and 100 year ARI, respectively.</w:t>
      </w:r>
    </w:p>
    <w:p w:rsidR="00FF6328" w:rsidRDefault="008237BB" w:rsidP="00253307">
      <w:pPr>
        <w:pStyle w:val="Figuresandimagesleft"/>
      </w:pPr>
      <w:r>
        <w:rPr>
          <w:noProof/>
        </w:rPr>
        <w:lastRenderedPageBreak/>
        <w:drawing>
          <wp:inline distT="0" distB="0" distL="0" distR="0" wp14:anchorId="1AB600B4" wp14:editId="5345C7D7">
            <wp:extent cx="5400675" cy="3600450"/>
            <wp:effectExtent l="0" t="0" r="9525" b="0"/>
            <wp:docPr id="45" name="Picture 45" descr="The general description of the extent of current climate 50 year ARI bushfire hazard also describes the 2050 50 year ARI bushfire hazard. The current climate 50 year ARI combined class description is as follows.&#10;&#10;The reclassification of the current climate 50 year ARI bushfire hazard to combine the upper three hazard classes (Severe, Extreme and Catastrophic) clearly shows that these are the primary hazard levels defining bushfire hazard in the bushfire modelling area. The exception to this is the Very High bushfire hazard class that is evident as a triangular area with sides from Yeppoon to the mouth of the Fitztroy River and then inland to the city of Rockhampton. The final combined class of the remainder of the bushfire hazard classes less than Very High shows small patches (up to 4 square km) and the extent of the city of Rockhamp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he general description of the extent of current climate 50 year ARI bushfire hazard also describes the 2050 50 year ARI bushfire hazard. The current climate 50 year ARI combined class description is as follows.&#10;&#10;The reclassification of the current climate 50 year ARI bushfire hazard to combine the upper three hazard classes (Severe, Extreme and Catastrophic) clearly shows that these are the primary hazard levels defining bushfire hazard in the bushfire modelling area. The exception to this is the Very High bushfire hazard class that is evident as a triangular area with sides from Yeppoon to the mouth of the Fitztroy River and then inland to the city of Rockhampton. The final combined class of the remainder of the bushfire hazard classes less than Very High shows small patches (up to 4 square km) and the extent of the city of Rockhampton. "/>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FF6328" w:rsidP="00FF6328">
      <w:pPr>
        <w:pStyle w:val="Caption"/>
      </w:pPr>
      <w:bookmarkStart w:id="3529" w:name="_Ref354561574"/>
      <w:bookmarkStart w:id="3530" w:name="_Toc354561208"/>
      <w:bookmarkStart w:id="3531" w:name="_Toc354561392"/>
      <w:bookmarkStart w:id="3532" w:name="_Toc354561464"/>
      <w:bookmarkStart w:id="3533" w:name="_Toc354561536"/>
      <w:r>
        <w:t xml:space="preserve">Appendix Figure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14</w:t>
      </w:r>
      <w:r w:rsidR="007F11CF">
        <w:rPr>
          <w:noProof/>
        </w:rPr>
        <w:fldChar w:fldCharType="end"/>
      </w:r>
      <w:bookmarkEnd w:id="3529"/>
      <w:r>
        <w:t>. 2050 50 year ARI bushfire hazard reclassified.</w:t>
      </w:r>
      <w:bookmarkEnd w:id="3530"/>
      <w:bookmarkEnd w:id="3531"/>
      <w:bookmarkEnd w:id="3532"/>
      <w:bookmarkEnd w:id="3533"/>
    </w:p>
    <w:p w:rsidR="008237BB" w:rsidRDefault="008237BB" w:rsidP="00253307">
      <w:pPr>
        <w:pStyle w:val="Figuresandimagesleft"/>
      </w:pPr>
      <w:r>
        <w:rPr>
          <w:noProof/>
        </w:rPr>
        <w:drawing>
          <wp:inline distT="0" distB="0" distL="0" distR="0" wp14:anchorId="371063C4" wp14:editId="0AD015D2">
            <wp:extent cx="5400675" cy="3600450"/>
            <wp:effectExtent l="0" t="0" r="9525" b="0"/>
            <wp:docPr id="44" name="Picture 44" descr="The general description of the extent of current climate 50 year ARI bushfire hazard also describes the 2050 100 year ARI bushfire hazard. The changes to the 2050 50 year ARI bushfire hazard are that the upper class (Severe, Extreme and Catastrophic) is expanding in extent and, conversely,  the Very High hazard areas are reducing in extent. The combined Low, Moderate and High extent remains the same. The current climate 50 year ARI combined class description is as follows.&#10;&#10;The reclassification of the current climate 50 year ARI bushfire hazard to combine the upper three hazard classes (Severe, Extreme and Catastrophic) clearly shows that these are the primary hazard levels defining bushfire hazard in the bushfire modelling area. The exception to this is the Very High bushfire hazard class that is evident as a triangular area with sides from Yeppoon to the mouth of the Fitztroy River and then inland to the city of Rockhampton. The final combined class of the remainder of the bushfire hazard classes less than Very High shows small patches (up to 4 square km) and the extent of the city of Rockhamp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he general description of the extent of current climate 50 year ARI bushfire hazard also describes the 2050 100 year ARI bushfire hazard. The changes to the 2050 50 year ARI bushfire hazard are that the upper class (Severe, Extreme and Catastrophic) is expanding in extent and, conversely,  the Very High hazard areas are reducing in extent. The combined Low, Moderate and High extent remains the same. The current climate 50 year ARI combined class description is as follows.&#10;&#10;The reclassification of the current climate 50 year ARI bushfire hazard to combine the upper three hazard classes (Severe, Extreme and Catastrophic) clearly shows that these are the primary hazard levels defining bushfire hazard in the bushfire modelling area. The exception to this is the Very High bushfire hazard class that is evident as a triangular area with sides from Yeppoon to the mouth of the Fitztroy River and then inland to the city of Rockhampton. The final combined class of the remainder of the bushfire hazard classes less than Very High shows small patches (up to 4 square km) and the extent of the city of Rockhampton. "/>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414D8E" w:rsidP="00797F73">
      <w:pPr>
        <w:pStyle w:val="Caption"/>
      </w:pPr>
      <w:bookmarkStart w:id="3534" w:name="_Ref350338227"/>
      <w:bookmarkStart w:id="3535" w:name="_Toc349055177"/>
      <w:bookmarkStart w:id="3536" w:name="_Toc349114925"/>
      <w:bookmarkStart w:id="3537" w:name="_Toc349115016"/>
      <w:bookmarkStart w:id="3538" w:name="_Toc349115155"/>
      <w:bookmarkStart w:id="3539" w:name="_Toc349115548"/>
      <w:bookmarkStart w:id="3540" w:name="_Toc350325596"/>
      <w:bookmarkStart w:id="3541" w:name="_Toc350327020"/>
      <w:bookmarkStart w:id="3542" w:name="_Toc350327166"/>
      <w:bookmarkStart w:id="3543" w:name="_Toc350327298"/>
      <w:bookmarkStart w:id="3544" w:name="_Toc350330245"/>
      <w:bookmarkStart w:id="3545" w:name="_Toc350341654"/>
      <w:bookmarkStart w:id="3546" w:name="_Toc351449939"/>
      <w:bookmarkStart w:id="3547" w:name="_Toc351450020"/>
      <w:bookmarkStart w:id="3548" w:name="_Toc352242322"/>
      <w:bookmarkStart w:id="3549" w:name="_Toc352243881"/>
      <w:bookmarkStart w:id="3550" w:name="_Toc352244426"/>
      <w:bookmarkStart w:id="3551" w:name="_Toc352244521"/>
      <w:bookmarkStart w:id="3552" w:name="_Toc354403627"/>
      <w:bookmarkStart w:id="3553" w:name="_Toc354476632"/>
      <w:bookmarkStart w:id="3554" w:name="_Toc354493389"/>
      <w:bookmarkStart w:id="3555" w:name="_Toc354493930"/>
      <w:bookmarkStart w:id="3556" w:name="_Toc354494612"/>
      <w:bookmarkStart w:id="3557" w:name="_Toc354494802"/>
      <w:bookmarkStart w:id="3558" w:name="_Toc354497546"/>
      <w:bookmarkStart w:id="3559" w:name="_Toc354561209"/>
      <w:bookmarkStart w:id="3560" w:name="_Toc354561393"/>
      <w:bookmarkStart w:id="3561" w:name="_Toc354561465"/>
      <w:bookmarkStart w:id="3562" w:name="_Toc354561537"/>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15</w:t>
      </w:r>
      <w:r w:rsidR="007F11CF">
        <w:rPr>
          <w:noProof/>
        </w:rPr>
        <w:fldChar w:fldCharType="end"/>
      </w:r>
      <w:bookmarkEnd w:id="3534"/>
      <w:r w:rsidR="008237BB">
        <w:t>. 2050 100 year ARI bushfire hazard reclassified.</w:t>
      </w:r>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p>
    <w:p w:rsidR="00FF6328" w:rsidRDefault="008237BB" w:rsidP="00253307">
      <w:pPr>
        <w:pStyle w:val="Figuresandimagesleft"/>
      </w:pPr>
      <w:r>
        <w:rPr>
          <w:noProof/>
        </w:rPr>
        <w:lastRenderedPageBreak/>
        <w:drawing>
          <wp:inline distT="0" distB="0" distL="0" distR="0" wp14:anchorId="6BE1D4EE" wp14:editId="51B29EC7">
            <wp:extent cx="5400675" cy="3600450"/>
            <wp:effectExtent l="0" t="0" r="9525" b="0"/>
            <wp:docPr id="43" name="Picture 43" descr="The 2090 50 year ARI bushfire hazard now shows a distinct change from the current climate and the 2050 bushfire hazard. The upper class (Severe, Extreme and Catastrophic) now covers the majority of the modelling area. The Very High hazard areas are reducing in extent and are mostly within 5 km of the coastline or in inland patches within  the Yeppoon-Fitztroy River mouth-Rockhampon triangle. The combined Low, Moderate and High extent remains the s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he 2090 50 year ARI bushfire hazard now shows a distinct change from the current climate and the 2050 bushfire hazard. The upper class (Severe, Extreme and Catastrophic) now covers the majority of the modelling area. The Very High hazard areas are reducing in extent and are mostly within 5 km of the coastline or in inland patches within  the Yeppoon-Fitztroy River mouth-Rockhampon triangle. The combined Low, Moderate and High extent remains the same. "/>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FF6328" w:rsidP="00FF6328">
      <w:pPr>
        <w:pStyle w:val="Caption"/>
      </w:pPr>
      <w:bookmarkStart w:id="3563" w:name="_Ref354561580"/>
      <w:bookmarkStart w:id="3564" w:name="_Toc354561210"/>
      <w:bookmarkStart w:id="3565" w:name="_Toc354561394"/>
      <w:bookmarkStart w:id="3566" w:name="_Toc354561466"/>
      <w:bookmarkStart w:id="3567" w:name="_Toc354561538"/>
      <w:r>
        <w:t xml:space="preserve">Appendix Figure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16</w:t>
      </w:r>
      <w:r w:rsidR="007F11CF">
        <w:rPr>
          <w:noProof/>
        </w:rPr>
        <w:fldChar w:fldCharType="end"/>
      </w:r>
      <w:bookmarkEnd w:id="3563"/>
      <w:r>
        <w:t>. 2090 50 year ARI bushfire hazard reclassified.</w:t>
      </w:r>
      <w:bookmarkEnd w:id="3564"/>
      <w:bookmarkEnd w:id="3565"/>
      <w:bookmarkEnd w:id="3566"/>
      <w:bookmarkEnd w:id="3567"/>
    </w:p>
    <w:p w:rsidR="008237BB" w:rsidRPr="00804FC1" w:rsidRDefault="008237BB" w:rsidP="00253307">
      <w:pPr>
        <w:pStyle w:val="Figuresandimagesleft"/>
      </w:pPr>
      <w:r>
        <w:rPr>
          <w:noProof/>
        </w:rPr>
        <w:drawing>
          <wp:inline distT="0" distB="0" distL="0" distR="0" wp14:anchorId="4C821CEC" wp14:editId="369C6167">
            <wp:extent cx="5400675" cy="3600450"/>
            <wp:effectExtent l="0" t="0" r="9525" b="0"/>
            <wp:docPr id="42" name="Picture 42" descr="The 2090 100 year ARI bushfire hazard now shows the majority of the modelling area to be in the upper class (Severe, Extreme and Catastrophic). The upper class now covers the majority of the modelling area. The Very High hazard areas are reducing in extent and are mostly within 3 km of the coastline between Yeppoon and Keppel Sands or in isolated inland patches within  the Yeppoon-Fitztroy River mouth-Rockhampon triangle. The combined Low, Moderate and High extent remains the s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he 2090 100 year ARI bushfire hazard now shows the majority of the modelling area to be in the upper class (Severe, Extreme and Catastrophic). The upper class now covers the majority of the modelling area. The Very High hazard areas are reducing in extent and are mostly within 3 km of the coastline between Yeppoon and Keppel Sands or in isolated inland patches within  the Yeppoon-Fitztroy River mouth-Rockhampon triangle. The combined Low, Moderate and High extent remains the same. "/>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414D8E" w:rsidP="00797F73">
      <w:pPr>
        <w:pStyle w:val="Caption"/>
      </w:pPr>
      <w:bookmarkStart w:id="3568" w:name="_Ref350338247"/>
      <w:bookmarkStart w:id="3569" w:name="_Toc349055179"/>
      <w:bookmarkStart w:id="3570" w:name="_Toc349114927"/>
      <w:bookmarkStart w:id="3571" w:name="_Toc349115018"/>
      <w:bookmarkStart w:id="3572" w:name="_Toc349115157"/>
      <w:bookmarkStart w:id="3573" w:name="_Toc349115550"/>
      <w:bookmarkStart w:id="3574" w:name="_Toc350325598"/>
      <w:bookmarkStart w:id="3575" w:name="_Toc350327022"/>
      <w:bookmarkStart w:id="3576" w:name="_Toc350327168"/>
      <w:bookmarkStart w:id="3577" w:name="_Toc350327300"/>
      <w:bookmarkStart w:id="3578" w:name="_Toc350330247"/>
      <w:bookmarkStart w:id="3579" w:name="_Toc350341656"/>
      <w:bookmarkStart w:id="3580" w:name="_Toc351449941"/>
      <w:bookmarkStart w:id="3581" w:name="_Toc351450022"/>
      <w:bookmarkStart w:id="3582" w:name="_Toc352242324"/>
      <w:bookmarkStart w:id="3583" w:name="_Toc352243883"/>
      <w:bookmarkStart w:id="3584" w:name="_Toc352244428"/>
      <w:bookmarkStart w:id="3585" w:name="_Toc352244523"/>
      <w:bookmarkStart w:id="3586" w:name="_Toc354403629"/>
      <w:bookmarkStart w:id="3587" w:name="_Toc354476634"/>
      <w:bookmarkStart w:id="3588" w:name="_Toc354493391"/>
      <w:bookmarkStart w:id="3589" w:name="_Toc354493932"/>
      <w:bookmarkStart w:id="3590" w:name="_Toc354494614"/>
      <w:bookmarkStart w:id="3591" w:name="_Toc354494804"/>
      <w:bookmarkStart w:id="3592" w:name="_Toc354497548"/>
      <w:bookmarkStart w:id="3593" w:name="_Toc354561211"/>
      <w:bookmarkStart w:id="3594" w:name="_Toc354561395"/>
      <w:bookmarkStart w:id="3595" w:name="_Toc354561467"/>
      <w:bookmarkStart w:id="3596" w:name="_Toc354561539"/>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17</w:t>
      </w:r>
      <w:r w:rsidR="007F11CF">
        <w:rPr>
          <w:noProof/>
        </w:rPr>
        <w:fldChar w:fldCharType="end"/>
      </w:r>
      <w:bookmarkEnd w:id="3568"/>
      <w:r w:rsidR="008237BB">
        <w:t>. 2090 100 year ARI bushfire hazard reclassified.</w:t>
      </w:r>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p>
    <w:p w:rsidR="008237BB" w:rsidRDefault="008237BB" w:rsidP="00935848">
      <w:pPr>
        <w:pStyle w:val="Headingappendix3"/>
      </w:pPr>
      <w:bookmarkStart w:id="3597" w:name="_Toc346261008"/>
      <w:bookmarkStart w:id="3598" w:name="_Toc346632570"/>
      <w:bookmarkStart w:id="3599" w:name="_Toc346632788"/>
      <w:bookmarkStart w:id="3600" w:name="_Toc346633012"/>
      <w:bookmarkStart w:id="3601" w:name="_Toc346633124"/>
      <w:bookmarkStart w:id="3602" w:name="_Toc346633236"/>
      <w:bookmarkStart w:id="3603" w:name="_Toc347401669"/>
      <w:bookmarkStart w:id="3604" w:name="_Toc347401893"/>
      <w:bookmarkStart w:id="3605" w:name="_Toc347402005"/>
      <w:bookmarkStart w:id="3606" w:name="_Toc347402117"/>
      <w:bookmarkStart w:id="3607" w:name="_Toc347402505"/>
      <w:bookmarkStart w:id="3608" w:name="_Toc349055077"/>
      <w:bookmarkStart w:id="3609" w:name="_Toc349055297"/>
      <w:bookmarkStart w:id="3610" w:name="_Toc349055523"/>
      <w:bookmarkStart w:id="3611" w:name="_Toc349055636"/>
      <w:bookmarkStart w:id="3612" w:name="_Toc349055749"/>
      <w:bookmarkStart w:id="3613" w:name="_Toc349116981"/>
      <w:bookmarkStart w:id="3614" w:name="_Toc350330070"/>
      <w:bookmarkStart w:id="3615" w:name="_Toc354402039"/>
      <w:bookmarkStart w:id="3616" w:name="_Toc354476536"/>
      <w:bookmarkStart w:id="3617" w:name="_Toc354492765"/>
      <w:bookmarkStart w:id="3618" w:name="_Toc354492895"/>
      <w:bookmarkStart w:id="3619" w:name="_Toc354493143"/>
      <w:bookmarkStart w:id="3620" w:name="_Toc354493304"/>
      <w:bookmarkStart w:id="3621" w:name="_Toc354493762"/>
      <w:bookmarkStart w:id="3622" w:name="_Toc354494297"/>
      <w:bookmarkStart w:id="3623" w:name="_Toc354494515"/>
      <w:bookmarkStart w:id="3624" w:name="_Toc354494726"/>
      <w:bookmarkStart w:id="3625" w:name="_Toc354495020"/>
      <w:bookmarkStart w:id="3626" w:name="_Toc354497902"/>
      <w:bookmarkStart w:id="3627" w:name="_Toc354561315"/>
      <w:bookmarkStart w:id="3628" w:name="_Toc355164224"/>
      <w:bookmarkStart w:id="3629" w:name="_Toc355249656"/>
      <w:r>
        <w:lastRenderedPageBreak/>
        <w:t>Future-climate 50 vs. 100 year ARI bushfire hazard</w:t>
      </w:r>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p>
    <w:p w:rsidR="008237BB" w:rsidRDefault="008237BB" w:rsidP="008237BB">
      <w:pPr>
        <w:pStyle w:val="BodyText"/>
      </w:pPr>
      <w:r>
        <w:t xml:space="preserve">It should be noted that for the future-climate simulations there is, similar to current climate, a small difference in bushfire hazard between the 50 year ARI and 100 year ARI (only slightly greater than for the current-climate ARI maps shown in </w:t>
      </w:r>
      <w:r w:rsidR="00DF77DB">
        <w:fldChar w:fldCharType="begin"/>
      </w:r>
      <w:r w:rsidR="00DF77DB">
        <w:instrText xml:space="preserve"> REF _Ref354561573 \h </w:instrText>
      </w:r>
      <w:r w:rsidR="00DF77DB">
        <w:fldChar w:fldCharType="separate"/>
      </w:r>
      <w:r w:rsidR="00413858">
        <w:t xml:space="preserve">Appendix Figure </w:t>
      </w:r>
      <w:r w:rsidR="00413858">
        <w:rPr>
          <w:noProof/>
        </w:rPr>
        <w:t>B</w:t>
      </w:r>
      <w:r w:rsidR="00413858">
        <w:t>.</w:t>
      </w:r>
      <w:r w:rsidR="00413858">
        <w:rPr>
          <w:noProof/>
        </w:rPr>
        <w:t>11</w:t>
      </w:r>
      <w:r w:rsidR="00DF77DB">
        <w:fldChar w:fldCharType="end"/>
      </w:r>
      <w:r w:rsidR="00CA15AE">
        <w:t xml:space="preserve"> </w:t>
      </w:r>
      <w:r>
        <w:t xml:space="preserve">and </w:t>
      </w:r>
      <w:r>
        <w:fldChar w:fldCharType="begin"/>
      </w:r>
      <w:r>
        <w:instrText xml:space="preserve"> REF _Ref350337918 \h </w:instrText>
      </w:r>
      <w:r>
        <w:fldChar w:fldCharType="separate"/>
      </w:r>
      <w:r w:rsidR="00413858">
        <w:t xml:space="preserve">Appendix Figure </w:t>
      </w:r>
      <w:r w:rsidR="00413858">
        <w:rPr>
          <w:noProof/>
        </w:rPr>
        <w:t>B</w:t>
      </w:r>
      <w:r w:rsidR="00413858">
        <w:t>.</w:t>
      </w:r>
      <w:r w:rsidR="00413858">
        <w:rPr>
          <w:noProof/>
        </w:rPr>
        <w:t>12</w:t>
      </w:r>
      <w:r>
        <w:fldChar w:fldCharType="end"/>
      </w:r>
      <w:r>
        <w:t>). This follows the trend-curve in the Rockhampton airport FFDI-ARI determination (</w:t>
      </w:r>
      <w:r>
        <w:fldChar w:fldCharType="begin"/>
      </w:r>
      <w:r>
        <w:instrText xml:space="preserve"> REF _Ref350337489 \h </w:instrText>
      </w:r>
      <w:r>
        <w:fldChar w:fldCharType="separate"/>
      </w:r>
      <w:r w:rsidR="00413858">
        <w:t xml:space="preserve">Appendix Figure </w:t>
      </w:r>
      <w:r w:rsidR="00413858">
        <w:rPr>
          <w:noProof/>
        </w:rPr>
        <w:t>B</w:t>
      </w:r>
      <w:r w:rsidR="00413858">
        <w:t>.</w:t>
      </w:r>
      <w:r w:rsidR="00413858">
        <w:rPr>
          <w:noProof/>
        </w:rPr>
        <w:t>1</w:t>
      </w:r>
      <w:r>
        <w:fldChar w:fldCharType="end"/>
      </w:r>
      <w:r>
        <w:t>) where the difference between the 50 year ARI and 100 year ARI assessments are smaller than the uncertainty in the average predictor (as shown as the 95% confidence limits).</w:t>
      </w:r>
    </w:p>
    <w:p w:rsidR="008237BB" w:rsidRDefault="008237BB" w:rsidP="008237BB">
      <w:pPr>
        <w:pStyle w:val="BodyText"/>
      </w:pPr>
      <w:r>
        <w:t>As with current-climate bushfire hazard, there is an increase in the extent of the higher bushfire hazard categories between the 50 and 100 year ARI hazard for each time period. For both 2050 and 2090 there is a range of increase of between 0 and 20 bushfire danger units (</w:t>
      </w:r>
      <w:r>
        <w:fldChar w:fldCharType="begin"/>
      </w:r>
      <w:r>
        <w:instrText xml:space="preserve"> REF _Ref350338310 \h </w:instrText>
      </w:r>
      <w:r>
        <w:fldChar w:fldCharType="separate"/>
      </w:r>
      <w:r w:rsidR="00413858">
        <w:t xml:space="preserve">Appendix Figure </w:t>
      </w:r>
      <w:r w:rsidR="00413858">
        <w:rPr>
          <w:noProof/>
        </w:rPr>
        <w:t>B</w:t>
      </w:r>
      <w:r w:rsidR="00413858">
        <w:t>.</w:t>
      </w:r>
      <w:r w:rsidR="00413858">
        <w:rPr>
          <w:noProof/>
        </w:rPr>
        <w:t>18</w:t>
      </w:r>
      <w:r>
        <w:fldChar w:fldCharType="end"/>
      </w:r>
      <w:r>
        <w:t xml:space="preserve"> and </w:t>
      </w:r>
      <w:r w:rsidR="00DF77DB">
        <w:fldChar w:fldCharType="begin"/>
      </w:r>
      <w:r w:rsidR="00DF77DB">
        <w:instrText xml:space="preserve"> REF _Ref354561609 \h </w:instrText>
      </w:r>
      <w:r w:rsidR="00DF77DB">
        <w:fldChar w:fldCharType="separate"/>
      </w:r>
      <w:r w:rsidR="00413858">
        <w:t xml:space="preserve">Appendix Figure </w:t>
      </w:r>
      <w:r w:rsidR="00413858">
        <w:rPr>
          <w:noProof/>
        </w:rPr>
        <w:t>B</w:t>
      </w:r>
      <w:r w:rsidR="00413858">
        <w:t>.</w:t>
      </w:r>
      <w:r w:rsidR="00413858">
        <w:rPr>
          <w:noProof/>
        </w:rPr>
        <w:t>19</w:t>
      </w:r>
      <w:r w:rsidR="00DF77DB">
        <w:fldChar w:fldCharType="end"/>
      </w:r>
      <w:r>
        <w:t>).</w:t>
      </w:r>
    </w:p>
    <w:p w:rsidR="008237BB" w:rsidRDefault="008237BB" w:rsidP="00253307">
      <w:pPr>
        <w:pStyle w:val="Figuresandimagesleft"/>
      </w:pPr>
      <w:r>
        <w:rPr>
          <w:noProof/>
        </w:rPr>
        <w:drawing>
          <wp:inline distT="0" distB="0" distL="0" distR="0" wp14:anchorId="285173D4" wp14:editId="57D54376">
            <wp:extent cx="5400675" cy="3600450"/>
            <wp:effectExtent l="0" t="0" r="9525" b="0"/>
            <wp:docPr id="41" name="Picture 41" descr="The difference between the 2050 50 year ARI and the 2050 100 year ARI bushfire hazard is within the range of 0 to +14 FFDI units. Most of the modelling area increases in the range 0 to +6 FFDI units with areas increasing more than this including the north-west corner of the modelling area, and the area to the south of Rockhampton from the Fitzroy River in the east to the Capricorn Highway in the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he difference between the 2050 50 year ARI and the 2050 100 year ARI bushfire hazard is within the range of 0 to +14 FFDI units. Most of the modelling area increases in the range 0 to +6 FFDI units with areas increasing more than this including the north-west corner of the modelling area, and the area to the south of Rockhampton from the Fitzroy River in the east to the Capricorn Highway in the west."/>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414D8E" w:rsidP="00797F73">
      <w:pPr>
        <w:pStyle w:val="Caption"/>
      </w:pPr>
      <w:bookmarkStart w:id="3630" w:name="_Ref350338310"/>
      <w:bookmarkStart w:id="3631" w:name="_Toc349055180"/>
      <w:bookmarkStart w:id="3632" w:name="_Toc349114928"/>
      <w:bookmarkStart w:id="3633" w:name="_Toc349115019"/>
      <w:bookmarkStart w:id="3634" w:name="_Toc349115158"/>
      <w:bookmarkStart w:id="3635" w:name="_Toc349115551"/>
      <w:bookmarkStart w:id="3636" w:name="_Toc350325599"/>
      <w:bookmarkStart w:id="3637" w:name="_Toc350327023"/>
      <w:bookmarkStart w:id="3638" w:name="_Toc350327169"/>
      <w:bookmarkStart w:id="3639" w:name="_Toc350327301"/>
      <w:bookmarkStart w:id="3640" w:name="_Toc350330248"/>
      <w:bookmarkStart w:id="3641" w:name="_Toc350341657"/>
      <w:bookmarkStart w:id="3642" w:name="_Toc351449942"/>
      <w:bookmarkStart w:id="3643" w:name="_Toc351450023"/>
      <w:bookmarkStart w:id="3644" w:name="_Toc352242325"/>
      <w:bookmarkStart w:id="3645" w:name="_Toc352243884"/>
      <w:bookmarkStart w:id="3646" w:name="_Toc352244429"/>
      <w:bookmarkStart w:id="3647" w:name="_Toc352244524"/>
      <w:bookmarkStart w:id="3648" w:name="_Toc354403630"/>
      <w:bookmarkStart w:id="3649" w:name="_Toc354476635"/>
      <w:bookmarkStart w:id="3650" w:name="_Toc354493392"/>
      <w:bookmarkStart w:id="3651" w:name="_Toc354493933"/>
      <w:bookmarkStart w:id="3652" w:name="_Toc354494615"/>
      <w:bookmarkStart w:id="3653" w:name="_Toc354494805"/>
      <w:bookmarkStart w:id="3654" w:name="_Toc354497549"/>
      <w:bookmarkStart w:id="3655" w:name="_Toc354561212"/>
      <w:bookmarkStart w:id="3656" w:name="_Toc354561396"/>
      <w:bookmarkStart w:id="3657" w:name="_Toc354561468"/>
      <w:bookmarkStart w:id="3658" w:name="_Toc354561540"/>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18</w:t>
      </w:r>
      <w:r w:rsidR="007F11CF">
        <w:rPr>
          <w:noProof/>
        </w:rPr>
        <w:fldChar w:fldCharType="end"/>
      </w:r>
      <w:bookmarkEnd w:id="3630"/>
      <w:r w:rsidR="008237BB">
        <w:t>. Bushfire hazard difference – 2050 100 year ARI minus 2050 50 year ARI.</w:t>
      </w:r>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p>
    <w:p w:rsidR="00FF6328" w:rsidRDefault="008237BB" w:rsidP="00253307">
      <w:pPr>
        <w:pStyle w:val="Figuresandimagesleft"/>
      </w:pPr>
      <w:r>
        <w:rPr>
          <w:noProof/>
        </w:rPr>
        <w:lastRenderedPageBreak/>
        <w:drawing>
          <wp:inline distT="0" distB="0" distL="0" distR="0" wp14:anchorId="2B89EF98" wp14:editId="65B95902">
            <wp:extent cx="5400675" cy="3600450"/>
            <wp:effectExtent l="0" t="0" r="9525" b="0"/>
            <wp:docPr id="40" name="Picture 40" descr="The difference between the 2090 50 year ARI and the 2090 100 year ARI bushfire hazard is in the range +2 to +20 FFDI units. The increasing hazard is more spatially homogenous than that seen in the equivalent 2050 comparison. The larger increases in hazard are to the west of Rockhampton with higher values to the north-west corner of the modelling area. There is also a larger increase to the south-east of the modelling area around the mouth of the Fitzroy River. The area to the east of Rockhampton, from Mount Archer National Park to Keppel Sands and north to Yeppoon, shows the least increase (generally 0  to +2 FFDI 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he difference between the 2090 50 year ARI and the 2090 100 year ARI bushfire hazard is in the range +2 to +20 FFDI units. The increasing hazard is more spatially homogenous than that seen in the equivalent 2050 comparison. The larger increases in hazard are to the west of Rockhampton with higher values to the north-west corner of the modelling area. There is also a larger increase to the south-east of the modelling area around the mouth of the Fitzroy River. The area to the east of Rockhampton, from Mount Archer National Park to Keppel Sands and north to Yeppoon, shows the least increase (generally 0  to +2 FFDI units)."/>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FF6328" w:rsidP="00FF6328">
      <w:pPr>
        <w:pStyle w:val="Caption"/>
      </w:pPr>
      <w:bookmarkStart w:id="3659" w:name="_Ref354561609"/>
      <w:bookmarkStart w:id="3660" w:name="_Toc354561213"/>
      <w:bookmarkStart w:id="3661" w:name="_Toc354561397"/>
      <w:bookmarkStart w:id="3662" w:name="_Toc354561469"/>
      <w:bookmarkStart w:id="3663" w:name="_Toc354561541"/>
      <w:r>
        <w:t xml:space="preserve">Appendix Figure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19</w:t>
      </w:r>
      <w:r w:rsidR="007F11CF">
        <w:rPr>
          <w:noProof/>
        </w:rPr>
        <w:fldChar w:fldCharType="end"/>
      </w:r>
      <w:bookmarkEnd w:id="3659"/>
      <w:r>
        <w:t>.</w:t>
      </w:r>
      <w:r w:rsidRPr="00CB560B">
        <w:t xml:space="preserve"> </w:t>
      </w:r>
      <w:r>
        <w:t>Bushfire hazard difference – 2090 100 year ARI minus 2090 50 year ARI.</w:t>
      </w:r>
      <w:bookmarkEnd w:id="3660"/>
      <w:bookmarkEnd w:id="3661"/>
      <w:bookmarkEnd w:id="3662"/>
      <w:bookmarkEnd w:id="3663"/>
    </w:p>
    <w:p w:rsidR="008237BB" w:rsidRPr="0087149B" w:rsidRDefault="008237BB" w:rsidP="00935848">
      <w:pPr>
        <w:pStyle w:val="Headingappendix3"/>
      </w:pPr>
      <w:bookmarkStart w:id="3664" w:name="_Toc346261009"/>
      <w:bookmarkStart w:id="3665" w:name="_Toc346632571"/>
      <w:bookmarkStart w:id="3666" w:name="_Toc346632789"/>
      <w:bookmarkStart w:id="3667" w:name="_Toc346633013"/>
      <w:bookmarkStart w:id="3668" w:name="_Toc346633125"/>
      <w:bookmarkStart w:id="3669" w:name="_Toc346633237"/>
      <w:bookmarkStart w:id="3670" w:name="_Toc347401670"/>
      <w:bookmarkStart w:id="3671" w:name="_Toc347401894"/>
      <w:bookmarkStart w:id="3672" w:name="_Toc347402006"/>
      <w:bookmarkStart w:id="3673" w:name="_Toc347402118"/>
      <w:bookmarkStart w:id="3674" w:name="_Toc347402506"/>
      <w:bookmarkStart w:id="3675" w:name="_Toc349055078"/>
      <w:bookmarkStart w:id="3676" w:name="_Toc349055298"/>
      <w:bookmarkStart w:id="3677" w:name="_Toc349055524"/>
      <w:bookmarkStart w:id="3678" w:name="_Toc349055637"/>
      <w:bookmarkStart w:id="3679" w:name="_Toc349055750"/>
      <w:bookmarkStart w:id="3680" w:name="_Toc349116982"/>
      <w:bookmarkStart w:id="3681" w:name="_Toc350330071"/>
      <w:bookmarkStart w:id="3682" w:name="_Toc354402040"/>
      <w:bookmarkStart w:id="3683" w:name="_Toc354476537"/>
      <w:bookmarkStart w:id="3684" w:name="_Toc354492766"/>
      <w:bookmarkStart w:id="3685" w:name="_Toc354492896"/>
      <w:bookmarkStart w:id="3686" w:name="_Toc354493144"/>
      <w:bookmarkStart w:id="3687" w:name="_Toc354493305"/>
      <w:bookmarkStart w:id="3688" w:name="_Toc354493763"/>
      <w:bookmarkStart w:id="3689" w:name="_Toc354494298"/>
      <w:bookmarkStart w:id="3690" w:name="_Toc354494516"/>
      <w:bookmarkStart w:id="3691" w:name="_Toc354494727"/>
      <w:bookmarkStart w:id="3692" w:name="_Toc354495021"/>
      <w:bookmarkStart w:id="3693" w:name="_Toc354497903"/>
      <w:bookmarkStart w:id="3694" w:name="_Toc354561316"/>
      <w:bookmarkStart w:id="3695" w:name="_Toc355164225"/>
      <w:bookmarkStart w:id="3696" w:name="_Toc355249657"/>
      <w:r>
        <w:t>Future climate vs. current climate</w:t>
      </w:r>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p>
    <w:p w:rsidR="008237BB" w:rsidRDefault="008237BB" w:rsidP="008237BB">
      <w:pPr>
        <w:pStyle w:val="BodyText"/>
      </w:pPr>
      <w:r>
        <w:t>Comparing the future-climate bushfire hazard with current-climate bushfire hazard results in the 2050 comparison (</w:t>
      </w:r>
      <w:r w:rsidR="00DF77DB">
        <w:fldChar w:fldCharType="begin"/>
      </w:r>
      <w:r w:rsidR="00DF77DB">
        <w:instrText xml:space="preserve"> REF _Ref354561623 \h </w:instrText>
      </w:r>
      <w:r w:rsidR="00DF77DB">
        <w:fldChar w:fldCharType="separate"/>
      </w:r>
      <w:r w:rsidR="00413858">
        <w:t xml:space="preserve">Appendix Figure </w:t>
      </w:r>
      <w:r w:rsidR="00413858">
        <w:rPr>
          <w:noProof/>
        </w:rPr>
        <w:t>B</w:t>
      </w:r>
      <w:r w:rsidR="00413858">
        <w:t>.</w:t>
      </w:r>
      <w:r w:rsidR="00413858">
        <w:rPr>
          <w:noProof/>
        </w:rPr>
        <w:t>20</w:t>
      </w:r>
      <w:r w:rsidR="00DF77DB">
        <w:fldChar w:fldCharType="end"/>
      </w:r>
      <w:r>
        <w:t xml:space="preserve"> and </w:t>
      </w:r>
      <w:r>
        <w:fldChar w:fldCharType="begin"/>
      </w:r>
      <w:r>
        <w:instrText xml:space="preserve"> REF _Ref350338348 \h </w:instrText>
      </w:r>
      <w:r>
        <w:fldChar w:fldCharType="separate"/>
      </w:r>
      <w:r w:rsidR="00413858">
        <w:t xml:space="preserve">Appendix Figure </w:t>
      </w:r>
      <w:r w:rsidR="00413858">
        <w:rPr>
          <w:noProof/>
        </w:rPr>
        <w:t>B</w:t>
      </w:r>
      <w:r w:rsidR="00413858">
        <w:t>.</w:t>
      </w:r>
      <w:r w:rsidR="00413858">
        <w:rPr>
          <w:noProof/>
        </w:rPr>
        <w:t>21</w:t>
      </w:r>
      <w:r>
        <w:fldChar w:fldCharType="end"/>
      </w:r>
      <w:r>
        <w:t>) with negative through to positive change in both the 50 and 100 year ARI bushfire hazard. The</w:t>
      </w:r>
      <w:r w:rsidR="00C54BDF">
        <w:t xml:space="preserve"> swirl</w:t>
      </w:r>
      <w:r>
        <w:t xml:space="preserve"> pattern</w:t>
      </w:r>
      <w:r w:rsidR="00C54BDF">
        <w:t xml:space="preserve"> to the west and south-west of the figures</w:t>
      </w:r>
      <w:r>
        <w:t xml:space="preserve"> is caused by the downscaling of the spatial resolution (bilinear interpolation) from the courser GCM scaling results.</w:t>
      </w:r>
    </w:p>
    <w:p w:rsidR="00FF6328" w:rsidRDefault="008237BB" w:rsidP="00253307">
      <w:pPr>
        <w:pStyle w:val="Figuresandimagesleft"/>
      </w:pPr>
      <w:r>
        <w:rPr>
          <w:noProof/>
        </w:rPr>
        <w:lastRenderedPageBreak/>
        <w:drawing>
          <wp:inline distT="0" distB="0" distL="0" distR="0" wp14:anchorId="129883D0" wp14:editId="00056D20">
            <wp:extent cx="5400675" cy="3600450"/>
            <wp:effectExtent l="0" t="0" r="9525" b="0"/>
            <wp:docPr id="39" name="Picture 39" descr="The comparison of the 2050 50 year ARI bushfire hazard to that of the current climate 50 year ARI bushfire hazard shows a difference ranging from -12 to +16 FFDI units.The greatest negative difference, i.e. the current climate hazard is more than the 2050 hazard, is to the west of Rockhampton with the greatest positive change to the north-west and south of Rockhampton. To the east of Rockhampton and along the coast the change is in the order of 0 to +4 FFDI units. &#10;&#10;There is a pattern evident in the comparison which is a smooth transition from the higher negative values, in the south-west corner of the modelling extent, to those of higher values, progressing to the north and south, and to less change progressing to the east This smooth transistion is an artefact of the downscaling of the GCM results from a course grid to match that of the current climate bushfire ha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he comparison of the 2050 50 year ARI bushfire hazard to that of the current climate 50 year ARI bushfire hazard shows a difference ranging from -12 to +16 FFDI units.The greatest negative difference, i.e. the current climate hazard is more than the 2050 hazard, is to the west of Rockhampton with the greatest positive change to the north-west and south of Rockhampton. To the east of Rockhampton and along the coast the change is in the order of 0 to +4 FFDI units. &#10;&#10;There is a pattern evident in the comparison which is a smooth transition from the higher negative values, in the south-west corner of the modelling extent, to those of higher values, progressing to the north and south, and to less change progressing to the east This smooth transistion is an artefact of the downscaling of the GCM results from a course grid to match that of the current climate bushfire hazar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FF6328" w:rsidP="00FF6328">
      <w:pPr>
        <w:pStyle w:val="Caption"/>
      </w:pPr>
      <w:bookmarkStart w:id="3697" w:name="_Ref354561623"/>
      <w:bookmarkStart w:id="3698" w:name="_Toc354561214"/>
      <w:bookmarkStart w:id="3699" w:name="_Toc354561398"/>
      <w:bookmarkStart w:id="3700" w:name="_Toc354561470"/>
      <w:bookmarkStart w:id="3701" w:name="_Toc354561542"/>
      <w:r>
        <w:t xml:space="preserve">Appendix Figure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20</w:t>
      </w:r>
      <w:r w:rsidR="007F11CF">
        <w:rPr>
          <w:noProof/>
        </w:rPr>
        <w:fldChar w:fldCharType="end"/>
      </w:r>
      <w:bookmarkEnd w:id="3697"/>
      <w:r>
        <w:t>. Bushfire hazard difference – 2050 50 year ARI minus current-climate 50 year ARI.</w:t>
      </w:r>
      <w:bookmarkEnd w:id="3698"/>
      <w:bookmarkEnd w:id="3699"/>
      <w:bookmarkEnd w:id="3700"/>
      <w:bookmarkEnd w:id="3701"/>
    </w:p>
    <w:p w:rsidR="008237BB" w:rsidRPr="00CB560B" w:rsidRDefault="008237BB" w:rsidP="00253307">
      <w:pPr>
        <w:pStyle w:val="Figuresandimagesleft"/>
      </w:pPr>
      <w:r>
        <w:rPr>
          <w:noProof/>
        </w:rPr>
        <w:drawing>
          <wp:inline distT="0" distB="0" distL="0" distR="0" wp14:anchorId="6B381EB1" wp14:editId="62FE63BC">
            <wp:extent cx="5400675" cy="3600450"/>
            <wp:effectExtent l="0" t="0" r="9525" b="0"/>
            <wp:docPr id="38" name="Picture 38" descr="The spatial spread of the difference in the 2050 50 year ARI bushfire hazard and th current climate 50 year ARI bushfire hazard is consistent with that of the 2050 100 year ARI hazard comparison shown here. &#10;&#10;The comparison of the 2050 100 year ARI bushfire hazard to that of the current climate 100 year ARI bushfire hazard shows a difference ranging from -12 to +24 FFDI units.The greatest negative difference, i.e. the current climate hazard is more than the 2050 hazard, is to the west of Rockhampton with the greatest positive change to the north-west and south of Rockhampton. To the east of Rockhampton and along the coast the change is in the order of 0 to +4 FFDI units. &#10;&#10;There is a pattern evident in the comparison which is a smooth transition from the higher negative values, in the south-west corner of the modelling extent, to those of higher values, progressing to the north and south, and to less change, progressing to the east This smooth transistion is an artefact of the downscaling of the GCM results from a course grid to match that of the current climate bushfire ha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he spatial spread of the difference in the 2050 50 year ARI bushfire hazard and th current climate 50 year ARI bushfire hazard is consistent with that of the 2050 100 year ARI hazard comparison shown here. &#10;&#10;The comparison of the 2050 100 year ARI bushfire hazard to that of the current climate 100 year ARI bushfire hazard shows a difference ranging from -12 to +24 FFDI units.The greatest negative difference, i.e. the current climate hazard is more than the 2050 hazard, is to the west of Rockhampton with the greatest positive change to the north-west and south of Rockhampton. To the east of Rockhampton and along the coast the change is in the order of 0 to +4 FFDI units. &#10;&#10;There is a pattern evident in the comparison which is a smooth transition from the higher negative values, in the south-west corner of the modelling extent, to those of higher values, progressing to the north and south, and to less change, progressing to the east This smooth transistion is an artefact of the downscaling of the GCM results from a course grid to match that of the current climate bushfire hazar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414D8E" w:rsidP="00797F73">
      <w:pPr>
        <w:pStyle w:val="Caption"/>
      </w:pPr>
      <w:bookmarkStart w:id="3702" w:name="_Ref350338348"/>
      <w:bookmarkStart w:id="3703" w:name="_Toc349055183"/>
      <w:bookmarkStart w:id="3704" w:name="_Toc349114931"/>
      <w:bookmarkStart w:id="3705" w:name="_Toc349115022"/>
      <w:bookmarkStart w:id="3706" w:name="_Toc349115161"/>
      <w:bookmarkStart w:id="3707" w:name="_Toc349115554"/>
      <w:bookmarkStart w:id="3708" w:name="_Toc350325602"/>
      <w:bookmarkStart w:id="3709" w:name="_Toc350327026"/>
      <w:bookmarkStart w:id="3710" w:name="_Toc350327172"/>
      <w:bookmarkStart w:id="3711" w:name="_Toc350327304"/>
      <w:bookmarkStart w:id="3712" w:name="_Toc350330251"/>
      <w:bookmarkStart w:id="3713" w:name="_Toc350341660"/>
      <w:bookmarkStart w:id="3714" w:name="_Toc351449945"/>
      <w:bookmarkStart w:id="3715" w:name="_Toc351450026"/>
      <w:bookmarkStart w:id="3716" w:name="_Toc352242328"/>
      <w:bookmarkStart w:id="3717" w:name="_Toc352243887"/>
      <w:bookmarkStart w:id="3718" w:name="_Toc352244432"/>
      <w:bookmarkStart w:id="3719" w:name="_Toc352244527"/>
      <w:bookmarkStart w:id="3720" w:name="_Toc354403633"/>
      <w:bookmarkStart w:id="3721" w:name="_Toc354476638"/>
      <w:bookmarkStart w:id="3722" w:name="_Toc354493395"/>
      <w:bookmarkStart w:id="3723" w:name="_Toc354493936"/>
      <w:bookmarkStart w:id="3724" w:name="_Toc354494618"/>
      <w:bookmarkStart w:id="3725" w:name="_Toc354494808"/>
      <w:bookmarkStart w:id="3726" w:name="_Toc354497552"/>
      <w:bookmarkStart w:id="3727" w:name="_Toc354561215"/>
      <w:bookmarkStart w:id="3728" w:name="_Toc354561399"/>
      <w:bookmarkStart w:id="3729" w:name="_Toc354561471"/>
      <w:bookmarkStart w:id="3730" w:name="_Toc354561543"/>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21</w:t>
      </w:r>
      <w:r w:rsidR="007F11CF">
        <w:rPr>
          <w:noProof/>
        </w:rPr>
        <w:fldChar w:fldCharType="end"/>
      </w:r>
      <w:bookmarkEnd w:id="3702"/>
      <w:r w:rsidR="008237BB">
        <w:t>. Bushfire hazard difference – 2050 100 year ARI minus current-climate 100 year ARI.</w:t>
      </w:r>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p>
    <w:p w:rsidR="008237BB" w:rsidRDefault="008237BB" w:rsidP="008237BB">
      <w:pPr>
        <w:pStyle w:val="BodyText"/>
      </w:pPr>
      <w:r>
        <w:t xml:space="preserve">This </w:t>
      </w:r>
      <w:r w:rsidR="00C54BDF">
        <w:t xml:space="preserve">swirl </w:t>
      </w:r>
      <w:r>
        <w:t>pattern is not present in the 2090 comparison to current climate (</w:t>
      </w:r>
      <w:r w:rsidR="00DF77DB">
        <w:fldChar w:fldCharType="begin"/>
      </w:r>
      <w:r w:rsidR="00DF77DB">
        <w:instrText xml:space="preserve"> REF _Ref354561646 \h </w:instrText>
      </w:r>
      <w:r w:rsidR="00DF77DB">
        <w:fldChar w:fldCharType="separate"/>
      </w:r>
      <w:r w:rsidR="00413858">
        <w:t xml:space="preserve">Appendix Figure </w:t>
      </w:r>
      <w:r w:rsidR="00413858">
        <w:rPr>
          <w:noProof/>
        </w:rPr>
        <w:t>B</w:t>
      </w:r>
      <w:r w:rsidR="00413858">
        <w:t>.</w:t>
      </w:r>
      <w:r w:rsidR="00413858">
        <w:rPr>
          <w:noProof/>
        </w:rPr>
        <w:t>22</w:t>
      </w:r>
      <w:r w:rsidR="00DF77DB">
        <w:fldChar w:fldCharType="end"/>
      </w:r>
      <w:r>
        <w:t xml:space="preserve"> and </w:t>
      </w:r>
      <w:r w:rsidR="00DF77DB">
        <w:fldChar w:fldCharType="begin"/>
      </w:r>
      <w:r w:rsidR="00DF77DB">
        <w:instrText xml:space="preserve"> REF _Ref354561657 \h </w:instrText>
      </w:r>
      <w:r w:rsidR="00DF77DB">
        <w:fldChar w:fldCharType="separate"/>
      </w:r>
      <w:r w:rsidR="00413858" w:rsidRPr="00FF40D0">
        <w:t xml:space="preserve">Appendix Figure </w:t>
      </w:r>
      <w:r w:rsidR="00413858">
        <w:rPr>
          <w:noProof/>
        </w:rPr>
        <w:t>B</w:t>
      </w:r>
      <w:r w:rsidR="00413858">
        <w:t>.</w:t>
      </w:r>
      <w:r w:rsidR="00413858">
        <w:rPr>
          <w:noProof/>
        </w:rPr>
        <w:t>23</w:t>
      </w:r>
      <w:r w:rsidR="00DF77DB">
        <w:fldChar w:fldCharType="end"/>
      </w:r>
      <w:r>
        <w:t>) where the change is all positive.</w:t>
      </w:r>
    </w:p>
    <w:p w:rsidR="00FF6328" w:rsidRDefault="008237BB" w:rsidP="00253307">
      <w:pPr>
        <w:pStyle w:val="Figuresandimagesleft"/>
      </w:pPr>
      <w:r>
        <w:rPr>
          <w:noProof/>
        </w:rPr>
        <w:lastRenderedPageBreak/>
        <w:drawing>
          <wp:inline distT="0" distB="0" distL="0" distR="0" wp14:anchorId="54451F74" wp14:editId="7AD47E27">
            <wp:extent cx="5400675" cy="3600450"/>
            <wp:effectExtent l="0" t="0" r="9525" b="0"/>
            <wp:docPr id="37" name="Picture 37" descr="The comparison of the 2090 50 year ARI bushfire hazard to that of the current climate 50 year bushfire hazard shows a range of difference betweem 0 and +48 FFDI units. To the west and south of Rockhampton the largest differecens is observed with less change to the north/north-west and east to the coast. The areas of less change are in the range of 0 to +20 FFDI units whereas the areas of greater change are in the range +20 to +40 FFDI 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he comparison of the 2090 50 year ARI bushfire hazard to that of the current climate 50 year bushfire hazard shows a range of difference betweem 0 and +48 FFDI units. To the west and south of Rockhampton the largest differecens is observed with less change to the north/north-west and east to the coast. The areas of less change are in the range of 0 to +20 FFDI units whereas the areas of greater change are in the range +20 to +40 FFDI units."/>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FF6328" w:rsidRDefault="00FF6328" w:rsidP="00FF6328">
      <w:pPr>
        <w:pStyle w:val="Caption"/>
      </w:pPr>
      <w:bookmarkStart w:id="3731" w:name="_Ref354561646"/>
      <w:bookmarkStart w:id="3732" w:name="_Toc354561216"/>
      <w:bookmarkStart w:id="3733" w:name="_Toc354561400"/>
      <w:bookmarkStart w:id="3734" w:name="_Toc354561472"/>
      <w:bookmarkStart w:id="3735" w:name="_Toc354561544"/>
      <w:r>
        <w:t xml:space="preserve">Appendix Figure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22</w:t>
      </w:r>
      <w:r w:rsidR="007F11CF">
        <w:rPr>
          <w:noProof/>
        </w:rPr>
        <w:fldChar w:fldCharType="end"/>
      </w:r>
      <w:bookmarkEnd w:id="3731"/>
      <w:r>
        <w:t>. Bushfire hazard difference – 2090 50 year ARI minus current-climate 50 year ARI.</w:t>
      </w:r>
      <w:bookmarkEnd w:id="3732"/>
      <w:bookmarkEnd w:id="3733"/>
      <w:bookmarkEnd w:id="3734"/>
      <w:bookmarkEnd w:id="3735"/>
    </w:p>
    <w:p w:rsidR="00FF6328" w:rsidRDefault="008237BB" w:rsidP="00253307">
      <w:pPr>
        <w:pStyle w:val="Figuresandimagesleft"/>
      </w:pPr>
      <w:r>
        <w:rPr>
          <w:noProof/>
        </w:rPr>
        <w:drawing>
          <wp:inline distT="0" distB="0" distL="0" distR="0" wp14:anchorId="44F89647" wp14:editId="0FAA023B">
            <wp:extent cx="5400675" cy="3600450"/>
            <wp:effectExtent l="0" t="0" r="9525" b="0"/>
            <wp:docPr id="36" name="Picture 36" descr="The change oberserved in the 2090 50 year ARI bushfire hazard comparison to the current climate 50 year ARI bushfire hazard are consistent with the 2090 100 year ARI comparison to current climate 100 year ARI hazard. The magnitude of change, however, increases to the range of 0 to +60 FFDI units.&#10;&#10;To the west and south of Rockhampton the largest difference is observed with less change to the north/north-west and east to the coast. The areas of less change are in the range of 0 to +24 FFDI units whereas the areas of greater change are in the range +24 to +60 FFDI 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he change oberserved in the 2090 50 year ARI bushfire hazard comparison to the current climate 50 year ARI bushfire hazard are consistent with the 2090 100 year ARI comparison to current climate 100 year ARI hazard. The magnitude of change, however, increases to the range of 0 to +60 FFDI units.&#10;&#10;To the west and south of Rockhampton the largest difference is observed with less change to the north/north-west and east to the coast. The areas of less change are in the range of 0 to +24 FFDI units whereas the areas of greater change are in the range +24 to +60 FFDI unit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2F691C" w:rsidRDefault="00FF6328" w:rsidP="00FF40D0">
      <w:pPr>
        <w:pStyle w:val="Caption"/>
      </w:pPr>
      <w:bookmarkStart w:id="3736" w:name="_Ref354561657"/>
      <w:bookmarkStart w:id="3737" w:name="_Toc354561217"/>
      <w:bookmarkStart w:id="3738" w:name="_Toc354561401"/>
      <w:bookmarkStart w:id="3739" w:name="_Toc354561473"/>
      <w:bookmarkStart w:id="3740" w:name="_Toc354561545"/>
      <w:r w:rsidRPr="00FF40D0">
        <w:t xml:space="preserve">Appendix Figure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23</w:t>
      </w:r>
      <w:r w:rsidR="007F11CF">
        <w:rPr>
          <w:noProof/>
        </w:rPr>
        <w:fldChar w:fldCharType="end"/>
      </w:r>
      <w:bookmarkEnd w:id="3736"/>
      <w:r w:rsidRPr="00FF40D0">
        <w:t>. Bushfire hazard difference – 2090 100 year ARI minus current-climate 100 year ARI.</w:t>
      </w:r>
      <w:bookmarkEnd w:id="3737"/>
      <w:bookmarkEnd w:id="3738"/>
      <w:bookmarkEnd w:id="3739"/>
      <w:bookmarkEnd w:id="3740"/>
    </w:p>
    <w:p w:rsidR="008237BB" w:rsidRDefault="00C54BDF" w:rsidP="008237BB">
      <w:pPr>
        <w:pStyle w:val="BodyText"/>
      </w:pPr>
      <w:r>
        <w:br w:type="page"/>
      </w:r>
      <w:r w:rsidR="008237BB">
        <w:lastRenderedPageBreak/>
        <w:t>The increase of FFDI for future climate is chiefly driven by the impact of climate change on the temperature. Little change was found in either the relative humidity or the wind speed compared to current-climate conditions. The vegetation and its condition are maintained at “current climate” status for the whole length of the simulations (see later for discussion of assumptions). The changes in the projected fire danger rating relative to current climate conditions were determined using the modelled data for temperature, relative humidity and wind speed for Rockhampton Airport. The results are summarised in</w:t>
      </w:r>
      <w:r w:rsidR="001B78DC">
        <w:t xml:space="preserve"> </w:t>
      </w:r>
      <w:r w:rsidR="001B78DC">
        <w:fldChar w:fldCharType="begin"/>
      </w:r>
      <w:r w:rsidR="001B78DC">
        <w:instrText xml:space="preserve"> REF _Ref354581240 \h </w:instrText>
      </w:r>
      <w:r w:rsidR="001B78DC">
        <w:fldChar w:fldCharType="separate"/>
      </w:r>
      <w:r w:rsidR="00413858">
        <w:t xml:space="preserve">Appendix Table </w:t>
      </w:r>
      <w:r w:rsidR="00413858">
        <w:rPr>
          <w:noProof/>
        </w:rPr>
        <w:t>B</w:t>
      </w:r>
      <w:r w:rsidR="00413858">
        <w:t>.</w:t>
      </w:r>
      <w:r w:rsidR="00413858">
        <w:rPr>
          <w:noProof/>
        </w:rPr>
        <w:t>5</w:t>
      </w:r>
      <w:r w:rsidR="001B78DC">
        <w:fldChar w:fldCharType="end"/>
      </w:r>
      <w:r w:rsidR="008237BB">
        <w:t>. The number of ‘Very High’ fire d</w:t>
      </w:r>
      <w:r>
        <w:t xml:space="preserve">anger days generally increases </w:t>
      </w:r>
      <w:r>
        <w:noBreakHyphen/>
        <w:t>24</w:t>
      </w:r>
      <w:r w:rsidR="008237BB">
        <w:t xml:space="preserve"> to +35% by 2050 and -44 to +92% by 2090 (A2 GHG scenario). For ‘Severe’ and ‘Extreme’ days the increase is -18 to +43% and -100 to +600% respectively for 2050 and -33 to +243% and +200 </w:t>
      </w:r>
      <w:r>
        <w:t>to +600% respectively for 2090.</w:t>
      </w:r>
    </w:p>
    <w:p w:rsidR="001B78DC" w:rsidRDefault="001B78DC" w:rsidP="001B78DC">
      <w:pPr>
        <w:pStyle w:val="Tabletitle"/>
      </w:pPr>
      <w:bookmarkStart w:id="3741" w:name="_Ref354581240"/>
      <w:bookmarkStart w:id="3742" w:name="_Toc355016327"/>
      <w:bookmarkStart w:id="3743" w:name="_Toc355016398"/>
      <w:bookmarkStart w:id="3744" w:name="_Toc355016498"/>
      <w:bookmarkStart w:id="3745" w:name="_Toc355073368"/>
      <w:bookmarkStart w:id="3746" w:name="_Toc355162318"/>
      <w:bookmarkStart w:id="3747" w:name="_Toc355249461"/>
      <w:r>
        <w:t xml:space="preserve">Appendix Table </w:t>
      </w:r>
      <w:r w:rsidR="007F11CF">
        <w:fldChar w:fldCharType="begin"/>
      </w:r>
      <w:r w:rsidR="007F11CF">
        <w:instrText xml:space="preserve"> STYLEREF 9 \s </w:instrText>
      </w:r>
      <w:r w:rsidR="007F11CF">
        <w:fldChar w:fldCharType="separate"/>
      </w:r>
      <w:r w:rsidR="00413858">
        <w:rPr>
          <w:noProof/>
        </w:rPr>
        <w:t>B</w:t>
      </w:r>
      <w:r w:rsidR="007F11CF">
        <w:rPr>
          <w:noProof/>
        </w:rPr>
        <w:fldChar w:fldCharType="end"/>
      </w:r>
      <w:r w:rsidR="00162079">
        <w:t>.</w:t>
      </w:r>
      <w:r w:rsidR="007F11CF">
        <w:fldChar w:fldCharType="begin"/>
      </w:r>
      <w:r w:rsidR="007F11CF">
        <w:instrText xml:space="preserve"> SEQ Appendix_Table \* ARABIC \s 9 </w:instrText>
      </w:r>
      <w:r w:rsidR="007F11CF">
        <w:fldChar w:fldCharType="separate"/>
      </w:r>
      <w:r w:rsidR="00413858">
        <w:rPr>
          <w:noProof/>
        </w:rPr>
        <w:t>5</w:t>
      </w:r>
      <w:r w:rsidR="007F11CF">
        <w:rPr>
          <w:noProof/>
        </w:rPr>
        <w:fldChar w:fldCharType="end"/>
      </w:r>
      <w:bookmarkEnd w:id="3741"/>
      <w:r>
        <w:t>. No. of days per decade at Rockhampton Airport when the fire danger rating (based on FFDI) exceeds Very High, Severe and Extreme thresholds. Three climate change simulations (SIM1=ECHAM, SIM2=GFDL &amp; SIM3=MIROC) employing the A2 emissions scenario are considered.</w:t>
      </w:r>
      <w:bookmarkEnd w:id="3742"/>
      <w:bookmarkEnd w:id="3743"/>
      <w:bookmarkEnd w:id="3744"/>
      <w:bookmarkEnd w:id="3745"/>
      <w:bookmarkEnd w:id="3746"/>
      <w:bookmarkEnd w:id="3747"/>
    </w:p>
    <w:tbl>
      <w:tblPr>
        <w:tblStyle w:val="TableGAHeaderRow"/>
        <w:tblW w:w="0" w:type="auto"/>
        <w:tblLook w:val="01E0" w:firstRow="1" w:lastRow="1" w:firstColumn="1" w:lastColumn="1" w:noHBand="0" w:noVBand="0"/>
        <w:tblDescription w:val="This table compares the current climate observed, modelled current climate, modelled 2050 and modelled 2090 number of days per decade falling in the Very High (FFDI &gt; 25), Severe (FFDI &gt; 50) and Extreme (FFDI &gt; 75) categories. For the model outputs there are three subfields, one for each of the GCMs used. For the Very High danger rating there are 92 days from the observed record. The current climate modelled shows 68 (ECHAM), 52 (GFDL) and 89 (MIROC) days per decade in the Very High danger rating. For 2050 the modelled results shows 72 (ECHAM), 70 (GFDL) and 68 (MIROC) days per decade in the Very High danger rating.  For 2090 the modelled results shows 116 (ECHAM), 100 (GFDL) and 50 (MIROC) days per decade in the Very High danger rating. For the Severe danger rating there are 5 days from the observed record. The current climate modelled shows 4.25 (ECHAM), 3.5 (GFDL) and 4.5 (MIROC) days per decade in the Severe danger rating. For 2050 the modelled results shows 3.5 (ECHAM), 5 (GFDL) and 5 (MIROC) days per decade in the Severe danger rating.  For 2090 the modelled results shows 6.0 (ECHAM), 8.5 (GFDL) and 3.0 (MIROC) days per decade in the Very High danger rating. For the Extreme danger rating there are 0.5 days from the observed record. The current climate modelled shows 0.25 (ECHAM), 0.5 (GFDL) and 0.25 (MIROC) days per decade in the Extreme danger rating. For 2050 the modelled results shows 1.5 (ECHAM), 0 (GFDL) and 0.5 (MIROC) days per decade in the Extreme danger rating.  For 2090 the modelled results shows 1.5 (ECHAM), 1.0 (GFDL) and 0.5 (MIROC) days per decade in the Extreme danger rating."/>
      </w:tblPr>
      <w:tblGrid>
        <w:gridCol w:w="2145"/>
        <w:gridCol w:w="2133"/>
        <w:gridCol w:w="2140"/>
        <w:gridCol w:w="2144"/>
      </w:tblGrid>
      <w:tr w:rsidR="008237BB" w:rsidTr="00B412E6">
        <w:trPr>
          <w:cnfStyle w:val="100000000000" w:firstRow="1" w:lastRow="0" w:firstColumn="0" w:lastColumn="0" w:oddVBand="0" w:evenVBand="0" w:oddHBand="0" w:evenHBand="0" w:firstRowFirstColumn="0" w:firstRowLastColumn="0" w:lastRowFirstColumn="0" w:lastRowLastColumn="0"/>
          <w:cantSplit w:val="0"/>
          <w:trHeight w:val="57"/>
          <w:tblHeader/>
        </w:trPr>
        <w:tc>
          <w:tcPr>
            <w:cnfStyle w:val="000010000000" w:firstRow="0" w:lastRow="0" w:firstColumn="0" w:lastColumn="0" w:oddVBand="1" w:evenVBand="0" w:oddHBand="0" w:evenHBand="0" w:firstRowFirstColumn="0" w:firstRowLastColumn="0" w:lastRowFirstColumn="0" w:lastRowLastColumn="0"/>
            <w:tcW w:w="2145" w:type="dxa"/>
          </w:tcPr>
          <w:p w:rsidR="008237BB" w:rsidRDefault="008237BB" w:rsidP="001D132F">
            <w:pPr>
              <w:pStyle w:val="Tabletextleft"/>
            </w:pPr>
            <w:r>
              <w:t>Period</w:t>
            </w:r>
          </w:p>
        </w:tc>
        <w:tc>
          <w:tcPr>
            <w:tcW w:w="2133" w:type="dxa"/>
          </w:tcPr>
          <w:p w:rsidR="008237BB" w:rsidRDefault="008237BB" w:rsidP="001D132F">
            <w:pPr>
              <w:pStyle w:val="Tabletextleft"/>
              <w:cnfStyle w:val="100000000000" w:firstRow="1" w:lastRow="0" w:firstColumn="0" w:lastColumn="0" w:oddVBand="0" w:evenVBand="0" w:oddHBand="0" w:evenHBand="0" w:firstRowFirstColumn="0" w:firstRowLastColumn="0" w:lastRowFirstColumn="0" w:lastRowLastColumn="0"/>
            </w:pPr>
            <w:r>
              <w:t>VERY HIGH</w:t>
            </w:r>
          </w:p>
          <w:p w:rsidR="008237BB" w:rsidRDefault="008237BB" w:rsidP="001D132F">
            <w:pPr>
              <w:pStyle w:val="Tabletextleft"/>
              <w:cnfStyle w:val="100000000000" w:firstRow="1" w:lastRow="0" w:firstColumn="0" w:lastColumn="0" w:oddVBand="0" w:evenVBand="0" w:oddHBand="0" w:evenHBand="0" w:firstRowFirstColumn="0" w:firstRowLastColumn="0" w:lastRowFirstColumn="0" w:lastRowLastColumn="0"/>
            </w:pPr>
            <w:r>
              <w:t>(FFDI &gt; 25)</w:t>
            </w:r>
          </w:p>
        </w:tc>
        <w:tc>
          <w:tcPr>
            <w:cnfStyle w:val="000010000000" w:firstRow="0" w:lastRow="0" w:firstColumn="0" w:lastColumn="0" w:oddVBand="1" w:evenVBand="0" w:oddHBand="0" w:evenHBand="0" w:firstRowFirstColumn="0" w:firstRowLastColumn="0" w:lastRowFirstColumn="0" w:lastRowLastColumn="0"/>
            <w:tcW w:w="2140" w:type="dxa"/>
          </w:tcPr>
          <w:p w:rsidR="008237BB" w:rsidRDefault="008237BB" w:rsidP="001D132F">
            <w:pPr>
              <w:pStyle w:val="Tabletextleft"/>
            </w:pPr>
            <w:r>
              <w:t>SEVERE</w:t>
            </w:r>
          </w:p>
          <w:p w:rsidR="008237BB" w:rsidRDefault="008237BB" w:rsidP="001D132F">
            <w:pPr>
              <w:pStyle w:val="Tabletextleft"/>
            </w:pPr>
            <w:r>
              <w:t>(FFDI &gt; 50)</w:t>
            </w:r>
          </w:p>
        </w:tc>
        <w:tc>
          <w:tcPr>
            <w:tcW w:w="2144" w:type="dxa"/>
          </w:tcPr>
          <w:p w:rsidR="008237BB" w:rsidRDefault="008237BB" w:rsidP="001D132F">
            <w:pPr>
              <w:pStyle w:val="Tabletextleft"/>
              <w:cnfStyle w:val="100000000000" w:firstRow="1" w:lastRow="0" w:firstColumn="0" w:lastColumn="0" w:oddVBand="0" w:evenVBand="0" w:oddHBand="0" w:evenHBand="0" w:firstRowFirstColumn="0" w:firstRowLastColumn="0" w:lastRowFirstColumn="0" w:lastRowLastColumn="0"/>
            </w:pPr>
            <w:r>
              <w:t>EXTREME</w:t>
            </w:r>
          </w:p>
          <w:p w:rsidR="008237BB" w:rsidRDefault="008237BB" w:rsidP="001D132F">
            <w:pPr>
              <w:pStyle w:val="Tabletextleft"/>
              <w:cnfStyle w:val="100000000000" w:firstRow="1" w:lastRow="0" w:firstColumn="0" w:lastColumn="0" w:oddVBand="0" w:evenVBand="0" w:oddHBand="0" w:evenHBand="0" w:firstRowFirstColumn="0" w:firstRowLastColumn="0" w:lastRowFirstColumn="0" w:lastRowLastColumn="0"/>
            </w:pPr>
            <w:r>
              <w:t>(FFDI &gt; 75)</w:t>
            </w:r>
          </w:p>
        </w:tc>
      </w:tr>
      <w:tr w:rsidR="008237BB" w:rsidTr="00B412E6">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145" w:type="dxa"/>
          </w:tcPr>
          <w:p w:rsidR="008237BB" w:rsidRPr="0019723E" w:rsidRDefault="008237BB" w:rsidP="001D132F">
            <w:pPr>
              <w:pStyle w:val="Tabletextleft"/>
            </w:pPr>
            <w:r w:rsidRPr="0019723E">
              <w:t>Current Climate</w:t>
            </w:r>
          </w:p>
          <w:p w:rsidR="008237BB" w:rsidRPr="0019723E" w:rsidRDefault="008237BB" w:rsidP="001D132F">
            <w:pPr>
              <w:pStyle w:val="Tabletextleft"/>
            </w:pPr>
            <w:r w:rsidRPr="0019723E">
              <w:t>(Observed)</w:t>
            </w:r>
          </w:p>
        </w:tc>
        <w:tc>
          <w:tcPr>
            <w:tcW w:w="2133" w:type="dxa"/>
          </w:tcPr>
          <w:p w:rsidR="008237BB" w:rsidRPr="00791D90" w:rsidRDefault="008237BB" w:rsidP="001D132F">
            <w:pPr>
              <w:pStyle w:val="Tabletextcentred"/>
              <w:cnfStyle w:val="000000100000" w:firstRow="0" w:lastRow="0" w:firstColumn="0" w:lastColumn="0" w:oddVBand="0" w:evenVBand="0" w:oddHBand="1" w:evenHBand="0" w:firstRowFirstColumn="0" w:firstRowLastColumn="0" w:lastRowFirstColumn="0" w:lastRowLastColumn="0"/>
            </w:pPr>
            <w:r w:rsidRPr="00791D90">
              <w:t>92</w:t>
            </w:r>
          </w:p>
        </w:tc>
        <w:tc>
          <w:tcPr>
            <w:cnfStyle w:val="000010000000" w:firstRow="0" w:lastRow="0" w:firstColumn="0" w:lastColumn="0" w:oddVBand="1" w:evenVBand="0" w:oddHBand="0" w:evenHBand="0" w:firstRowFirstColumn="0" w:firstRowLastColumn="0" w:lastRowFirstColumn="0" w:lastRowLastColumn="0"/>
            <w:tcW w:w="2140" w:type="dxa"/>
          </w:tcPr>
          <w:p w:rsidR="008237BB" w:rsidRPr="00791D90" w:rsidRDefault="008237BB" w:rsidP="001D132F">
            <w:pPr>
              <w:pStyle w:val="Tabletextcentred"/>
            </w:pPr>
            <w:r w:rsidRPr="00791D90">
              <w:t>5</w:t>
            </w:r>
          </w:p>
        </w:tc>
        <w:tc>
          <w:tcPr>
            <w:tcW w:w="2144" w:type="dxa"/>
          </w:tcPr>
          <w:p w:rsidR="008237BB" w:rsidRPr="00791D90" w:rsidRDefault="008237BB" w:rsidP="001D132F">
            <w:pPr>
              <w:pStyle w:val="Tabletextcentred"/>
              <w:cnfStyle w:val="000000100000" w:firstRow="0" w:lastRow="0" w:firstColumn="0" w:lastColumn="0" w:oddVBand="0" w:evenVBand="0" w:oddHBand="1" w:evenHBand="0" w:firstRowFirstColumn="0" w:firstRowLastColumn="0" w:lastRowFirstColumn="0" w:lastRowLastColumn="0"/>
            </w:pPr>
            <w:r w:rsidRPr="00791D90">
              <w:t>0.5</w:t>
            </w:r>
          </w:p>
        </w:tc>
      </w:tr>
      <w:tr w:rsidR="001D132F" w:rsidTr="00B412E6">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145" w:type="dxa"/>
          </w:tcPr>
          <w:p w:rsidR="001D132F" w:rsidRPr="0019723E" w:rsidRDefault="001D132F" w:rsidP="001D132F">
            <w:pPr>
              <w:pStyle w:val="Tabletextleft"/>
            </w:pPr>
          </w:p>
        </w:tc>
        <w:tc>
          <w:tcPr>
            <w:tcW w:w="2133" w:type="dxa"/>
          </w:tcPr>
          <w:p w:rsidR="001D132F" w:rsidRPr="001D132F" w:rsidRDefault="001D132F" w:rsidP="001D132F">
            <w:pPr>
              <w:pStyle w:val="Tabletextleft"/>
              <w:cnfStyle w:val="000000010000" w:firstRow="0" w:lastRow="0" w:firstColumn="0" w:lastColumn="0" w:oddVBand="0" w:evenVBand="0" w:oddHBand="0" w:evenHBand="1" w:firstRowFirstColumn="0" w:firstRowLastColumn="0" w:lastRowFirstColumn="0" w:lastRowLastColumn="0"/>
            </w:pPr>
            <w:r w:rsidRPr="001D132F">
              <w:tab/>
              <w:t>SIM1</w:t>
            </w:r>
            <w:r w:rsidRPr="001D132F">
              <w:tab/>
              <w:t>SIM2</w:t>
            </w:r>
            <w:r w:rsidRPr="001D132F">
              <w:tab/>
              <w:t>SIM3</w:t>
            </w:r>
          </w:p>
        </w:tc>
        <w:tc>
          <w:tcPr>
            <w:cnfStyle w:val="000010000000" w:firstRow="0" w:lastRow="0" w:firstColumn="0" w:lastColumn="0" w:oddVBand="1" w:evenVBand="0" w:oddHBand="0" w:evenHBand="0" w:firstRowFirstColumn="0" w:firstRowLastColumn="0" w:lastRowFirstColumn="0" w:lastRowLastColumn="0"/>
            <w:tcW w:w="2140" w:type="dxa"/>
          </w:tcPr>
          <w:p w:rsidR="001D132F" w:rsidRPr="001D132F" w:rsidRDefault="001D132F" w:rsidP="001D132F">
            <w:pPr>
              <w:pStyle w:val="Tabletextleft"/>
            </w:pPr>
            <w:r w:rsidRPr="001D132F">
              <w:tab/>
              <w:t>SIM1</w:t>
            </w:r>
            <w:r w:rsidRPr="001D132F">
              <w:tab/>
              <w:t>SIM2</w:t>
            </w:r>
            <w:r w:rsidRPr="001D132F">
              <w:tab/>
              <w:t>SIM3</w:t>
            </w:r>
          </w:p>
        </w:tc>
        <w:tc>
          <w:tcPr>
            <w:tcW w:w="2144" w:type="dxa"/>
          </w:tcPr>
          <w:p w:rsidR="001D132F" w:rsidRPr="001D132F" w:rsidRDefault="001D132F" w:rsidP="0033694A">
            <w:pPr>
              <w:pStyle w:val="Tabletextleft"/>
              <w:cnfStyle w:val="000000010000" w:firstRow="0" w:lastRow="0" w:firstColumn="0" w:lastColumn="0" w:oddVBand="0" w:evenVBand="0" w:oddHBand="0" w:evenHBand="1" w:firstRowFirstColumn="0" w:firstRowLastColumn="0" w:lastRowFirstColumn="0" w:lastRowLastColumn="0"/>
            </w:pPr>
            <w:r w:rsidRPr="001D132F">
              <w:tab/>
              <w:t>SIM1</w:t>
            </w:r>
            <w:r w:rsidRPr="001D132F">
              <w:tab/>
              <w:t>SIM2</w:t>
            </w:r>
            <w:r w:rsidRPr="001D132F">
              <w:tab/>
              <w:t>SIM3</w:t>
            </w:r>
          </w:p>
        </w:tc>
      </w:tr>
      <w:tr w:rsidR="008237BB" w:rsidTr="00B412E6">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145" w:type="dxa"/>
          </w:tcPr>
          <w:p w:rsidR="008237BB" w:rsidRPr="0019723E" w:rsidRDefault="008237BB" w:rsidP="001D132F">
            <w:pPr>
              <w:pStyle w:val="Tabletextleft"/>
            </w:pPr>
            <w:r w:rsidRPr="0019723E">
              <w:t>Current Climate</w:t>
            </w:r>
          </w:p>
          <w:p w:rsidR="008237BB" w:rsidRPr="0019723E" w:rsidRDefault="008237BB" w:rsidP="001D132F">
            <w:pPr>
              <w:pStyle w:val="Tabletextleft"/>
            </w:pPr>
            <w:r w:rsidRPr="0019723E">
              <w:t>(Modelled)</w:t>
            </w:r>
          </w:p>
        </w:tc>
        <w:tc>
          <w:tcPr>
            <w:tcW w:w="2133" w:type="dxa"/>
          </w:tcPr>
          <w:p w:rsidR="008237BB" w:rsidRPr="0019723E" w:rsidRDefault="001D132F" w:rsidP="001D132F">
            <w:pPr>
              <w:pStyle w:val="Tabletextleft"/>
              <w:cnfStyle w:val="000000100000" w:firstRow="0" w:lastRow="0" w:firstColumn="0" w:lastColumn="0" w:oddVBand="0" w:evenVBand="0" w:oddHBand="1" w:evenHBand="0" w:firstRowFirstColumn="0" w:firstRowLastColumn="0" w:lastRowFirstColumn="0" w:lastRowLastColumn="0"/>
            </w:pPr>
            <w:r>
              <w:tab/>
            </w:r>
            <w:r w:rsidR="008237BB" w:rsidRPr="0019723E">
              <w:t>68</w:t>
            </w:r>
            <w:r>
              <w:tab/>
            </w:r>
            <w:r w:rsidR="008237BB" w:rsidRPr="0019723E">
              <w:t>52</w:t>
            </w:r>
            <w:r>
              <w:tab/>
            </w:r>
            <w:r w:rsidR="008237BB" w:rsidRPr="0019723E">
              <w:t>89</w:t>
            </w:r>
          </w:p>
        </w:tc>
        <w:tc>
          <w:tcPr>
            <w:cnfStyle w:val="000010000000" w:firstRow="0" w:lastRow="0" w:firstColumn="0" w:lastColumn="0" w:oddVBand="1" w:evenVBand="0" w:oddHBand="0" w:evenHBand="0" w:firstRowFirstColumn="0" w:firstRowLastColumn="0" w:lastRowFirstColumn="0" w:lastRowLastColumn="0"/>
            <w:tcW w:w="2140" w:type="dxa"/>
          </w:tcPr>
          <w:p w:rsidR="008237BB" w:rsidRPr="0019723E" w:rsidRDefault="001D132F" w:rsidP="001D132F">
            <w:pPr>
              <w:pStyle w:val="Tabletextleft"/>
            </w:pPr>
            <w:r>
              <w:tab/>
            </w:r>
            <w:r w:rsidR="008237BB" w:rsidRPr="0019723E">
              <w:t>4.25</w:t>
            </w:r>
            <w:r>
              <w:tab/>
            </w:r>
            <w:r w:rsidR="008237BB" w:rsidRPr="0019723E">
              <w:t>3.5</w:t>
            </w:r>
            <w:r>
              <w:tab/>
            </w:r>
            <w:r w:rsidR="008237BB" w:rsidRPr="0019723E">
              <w:t>4.5</w:t>
            </w:r>
          </w:p>
        </w:tc>
        <w:tc>
          <w:tcPr>
            <w:tcW w:w="2144" w:type="dxa"/>
          </w:tcPr>
          <w:p w:rsidR="008237BB" w:rsidRPr="0019723E" w:rsidRDefault="001D132F" w:rsidP="001D132F">
            <w:pPr>
              <w:pStyle w:val="Tabletextleft"/>
              <w:cnfStyle w:val="000000100000" w:firstRow="0" w:lastRow="0" w:firstColumn="0" w:lastColumn="0" w:oddVBand="0" w:evenVBand="0" w:oddHBand="1" w:evenHBand="0" w:firstRowFirstColumn="0" w:firstRowLastColumn="0" w:lastRowFirstColumn="0" w:lastRowLastColumn="0"/>
            </w:pPr>
            <w:r>
              <w:tab/>
            </w:r>
            <w:r w:rsidR="008237BB" w:rsidRPr="0019723E">
              <w:t>0.25</w:t>
            </w:r>
            <w:r>
              <w:tab/>
            </w:r>
            <w:r w:rsidR="008237BB" w:rsidRPr="0019723E">
              <w:t xml:space="preserve"> 0.5</w:t>
            </w:r>
            <w:r>
              <w:tab/>
            </w:r>
            <w:r w:rsidR="008237BB" w:rsidRPr="0019723E">
              <w:t>0.25</w:t>
            </w:r>
          </w:p>
        </w:tc>
      </w:tr>
      <w:tr w:rsidR="008237BB" w:rsidTr="00B412E6">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145" w:type="dxa"/>
          </w:tcPr>
          <w:p w:rsidR="008237BB" w:rsidRPr="0019723E" w:rsidRDefault="008237BB" w:rsidP="001D132F">
            <w:pPr>
              <w:pStyle w:val="Tabletextleft"/>
            </w:pPr>
            <w:r w:rsidRPr="0019723E">
              <w:t>2050 (A2 scenario)</w:t>
            </w:r>
          </w:p>
        </w:tc>
        <w:tc>
          <w:tcPr>
            <w:tcW w:w="2133" w:type="dxa"/>
          </w:tcPr>
          <w:p w:rsidR="008237BB" w:rsidRPr="0019723E" w:rsidRDefault="001D132F" w:rsidP="001D132F">
            <w:pPr>
              <w:pStyle w:val="Tabletextleft"/>
              <w:cnfStyle w:val="000000010000" w:firstRow="0" w:lastRow="0" w:firstColumn="0" w:lastColumn="0" w:oddVBand="0" w:evenVBand="0" w:oddHBand="0" w:evenHBand="1" w:firstRowFirstColumn="0" w:firstRowLastColumn="0" w:lastRowFirstColumn="0" w:lastRowLastColumn="0"/>
            </w:pPr>
            <w:r>
              <w:tab/>
            </w:r>
            <w:r w:rsidR="008237BB" w:rsidRPr="0019723E">
              <w:t>72</w:t>
            </w:r>
            <w:r>
              <w:tab/>
            </w:r>
            <w:r w:rsidR="008237BB" w:rsidRPr="0019723E">
              <w:t>70</w:t>
            </w:r>
            <w:r>
              <w:tab/>
            </w:r>
            <w:r w:rsidR="008237BB" w:rsidRPr="0019723E">
              <w:t>68</w:t>
            </w:r>
          </w:p>
        </w:tc>
        <w:tc>
          <w:tcPr>
            <w:cnfStyle w:val="000010000000" w:firstRow="0" w:lastRow="0" w:firstColumn="0" w:lastColumn="0" w:oddVBand="1" w:evenVBand="0" w:oddHBand="0" w:evenHBand="0" w:firstRowFirstColumn="0" w:firstRowLastColumn="0" w:lastRowFirstColumn="0" w:lastRowLastColumn="0"/>
            <w:tcW w:w="2140" w:type="dxa"/>
          </w:tcPr>
          <w:p w:rsidR="008237BB" w:rsidRPr="0019723E" w:rsidRDefault="001D132F" w:rsidP="001D132F">
            <w:pPr>
              <w:pStyle w:val="Tabletextleft"/>
            </w:pPr>
            <w:r>
              <w:tab/>
            </w:r>
            <w:r w:rsidR="008237BB" w:rsidRPr="0019723E">
              <w:t>3.5</w:t>
            </w:r>
            <w:r>
              <w:tab/>
            </w:r>
            <w:r w:rsidR="008237BB" w:rsidRPr="0019723E">
              <w:t>5.0</w:t>
            </w:r>
            <w:r>
              <w:tab/>
            </w:r>
            <w:r w:rsidR="008237BB" w:rsidRPr="0019723E">
              <w:t>5.0</w:t>
            </w:r>
          </w:p>
        </w:tc>
        <w:tc>
          <w:tcPr>
            <w:tcW w:w="2144" w:type="dxa"/>
          </w:tcPr>
          <w:p w:rsidR="008237BB" w:rsidRPr="0019723E" w:rsidRDefault="001D132F" w:rsidP="001D132F">
            <w:pPr>
              <w:pStyle w:val="Tabletextleft"/>
              <w:cnfStyle w:val="000000010000" w:firstRow="0" w:lastRow="0" w:firstColumn="0" w:lastColumn="0" w:oddVBand="0" w:evenVBand="0" w:oddHBand="0" w:evenHBand="1" w:firstRowFirstColumn="0" w:firstRowLastColumn="0" w:lastRowFirstColumn="0" w:lastRowLastColumn="0"/>
            </w:pPr>
            <w:r>
              <w:tab/>
            </w:r>
            <w:r w:rsidR="008237BB" w:rsidRPr="0019723E">
              <w:t>1.5</w:t>
            </w:r>
            <w:r>
              <w:tab/>
            </w:r>
            <w:r w:rsidR="008237BB" w:rsidRPr="0019723E">
              <w:t>0</w:t>
            </w:r>
            <w:r>
              <w:tab/>
            </w:r>
            <w:r w:rsidR="008237BB" w:rsidRPr="0019723E">
              <w:t>0.5</w:t>
            </w:r>
          </w:p>
        </w:tc>
      </w:tr>
      <w:tr w:rsidR="008237BB" w:rsidTr="00B412E6">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2145" w:type="dxa"/>
          </w:tcPr>
          <w:p w:rsidR="008237BB" w:rsidRPr="0019723E" w:rsidRDefault="008237BB" w:rsidP="001D132F">
            <w:pPr>
              <w:pStyle w:val="Tabletextleft"/>
            </w:pPr>
            <w:r w:rsidRPr="0019723E">
              <w:t>2090 (A2 scenario)</w:t>
            </w:r>
          </w:p>
        </w:tc>
        <w:tc>
          <w:tcPr>
            <w:tcW w:w="2133" w:type="dxa"/>
          </w:tcPr>
          <w:p w:rsidR="008237BB" w:rsidRPr="0019723E" w:rsidRDefault="001D132F" w:rsidP="001D132F">
            <w:pPr>
              <w:pStyle w:val="Tabletextleft"/>
              <w:cnfStyle w:val="000000100000" w:firstRow="0" w:lastRow="0" w:firstColumn="0" w:lastColumn="0" w:oddVBand="0" w:evenVBand="0" w:oddHBand="1" w:evenHBand="0" w:firstRowFirstColumn="0" w:firstRowLastColumn="0" w:lastRowFirstColumn="0" w:lastRowLastColumn="0"/>
            </w:pPr>
            <w:r>
              <w:tab/>
            </w:r>
            <w:r w:rsidR="008237BB" w:rsidRPr="0019723E">
              <w:t>116</w:t>
            </w:r>
            <w:r>
              <w:tab/>
            </w:r>
            <w:r w:rsidR="008237BB" w:rsidRPr="0019723E">
              <w:t>100</w:t>
            </w:r>
            <w:r>
              <w:tab/>
            </w:r>
            <w:r w:rsidR="008237BB" w:rsidRPr="0019723E">
              <w:t>50</w:t>
            </w:r>
          </w:p>
        </w:tc>
        <w:tc>
          <w:tcPr>
            <w:cnfStyle w:val="000010000000" w:firstRow="0" w:lastRow="0" w:firstColumn="0" w:lastColumn="0" w:oddVBand="1" w:evenVBand="0" w:oddHBand="0" w:evenHBand="0" w:firstRowFirstColumn="0" w:firstRowLastColumn="0" w:lastRowFirstColumn="0" w:lastRowLastColumn="0"/>
            <w:tcW w:w="2140" w:type="dxa"/>
          </w:tcPr>
          <w:p w:rsidR="008237BB" w:rsidRPr="0019723E" w:rsidRDefault="001D132F" w:rsidP="001D132F">
            <w:pPr>
              <w:pStyle w:val="Tabletextleft"/>
            </w:pPr>
            <w:r>
              <w:tab/>
            </w:r>
            <w:r w:rsidR="008237BB" w:rsidRPr="0019723E">
              <w:t>6.0</w:t>
            </w:r>
            <w:r>
              <w:tab/>
            </w:r>
            <w:r w:rsidR="008237BB" w:rsidRPr="0019723E">
              <w:t>8.5</w:t>
            </w:r>
            <w:r>
              <w:tab/>
            </w:r>
            <w:r w:rsidR="008237BB" w:rsidRPr="0019723E">
              <w:t xml:space="preserve"> 3.0</w:t>
            </w:r>
          </w:p>
        </w:tc>
        <w:tc>
          <w:tcPr>
            <w:tcW w:w="2144" w:type="dxa"/>
          </w:tcPr>
          <w:p w:rsidR="008237BB" w:rsidRPr="0019723E" w:rsidRDefault="001D132F" w:rsidP="001D132F">
            <w:pPr>
              <w:pStyle w:val="Tabletextleft"/>
              <w:cnfStyle w:val="000000100000" w:firstRow="0" w:lastRow="0" w:firstColumn="0" w:lastColumn="0" w:oddVBand="0" w:evenVBand="0" w:oddHBand="1" w:evenHBand="0" w:firstRowFirstColumn="0" w:firstRowLastColumn="0" w:lastRowFirstColumn="0" w:lastRowLastColumn="0"/>
            </w:pPr>
            <w:r>
              <w:tab/>
            </w:r>
            <w:r w:rsidR="008237BB" w:rsidRPr="0019723E">
              <w:t>1.5</w:t>
            </w:r>
            <w:r>
              <w:tab/>
            </w:r>
            <w:r w:rsidR="008237BB" w:rsidRPr="0019723E">
              <w:t>1.0</w:t>
            </w:r>
            <w:r>
              <w:tab/>
            </w:r>
            <w:r w:rsidR="008237BB" w:rsidRPr="0019723E">
              <w:t>0.5</w:t>
            </w:r>
          </w:p>
        </w:tc>
      </w:tr>
    </w:tbl>
    <w:p w:rsidR="002F691C" w:rsidRDefault="008237BB" w:rsidP="006B24B4">
      <w:pPr>
        <w:pStyle w:val="Headingappendix2"/>
      </w:pPr>
      <w:bookmarkStart w:id="3748" w:name="_Toc342638510"/>
      <w:bookmarkStart w:id="3749" w:name="_Toc346261011"/>
      <w:bookmarkStart w:id="3750" w:name="_Toc346632573"/>
      <w:bookmarkStart w:id="3751" w:name="_Toc346632791"/>
      <w:bookmarkStart w:id="3752" w:name="_Toc346633015"/>
      <w:bookmarkStart w:id="3753" w:name="_Toc346633127"/>
      <w:bookmarkStart w:id="3754" w:name="_Toc346633239"/>
      <w:bookmarkStart w:id="3755" w:name="_Toc347401672"/>
      <w:bookmarkStart w:id="3756" w:name="_Toc347401896"/>
      <w:bookmarkStart w:id="3757" w:name="_Toc347402008"/>
      <w:bookmarkStart w:id="3758" w:name="_Toc347402120"/>
      <w:bookmarkStart w:id="3759" w:name="_Toc347402508"/>
      <w:bookmarkStart w:id="3760" w:name="_Toc349055080"/>
      <w:bookmarkStart w:id="3761" w:name="_Toc349055300"/>
      <w:bookmarkStart w:id="3762" w:name="_Toc349055526"/>
      <w:bookmarkStart w:id="3763" w:name="_Toc349055639"/>
      <w:bookmarkStart w:id="3764" w:name="_Toc349055752"/>
      <w:bookmarkStart w:id="3765" w:name="_Toc349116984"/>
      <w:bookmarkStart w:id="3766" w:name="_Toc350330072"/>
      <w:bookmarkStart w:id="3767" w:name="_Toc354402041"/>
      <w:bookmarkStart w:id="3768" w:name="_Toc354404073"/>
      <w:bookmarkStart w:id="3769" w:name="_Toc354476538"/>
      <w:bookmarkStart w:id="3770" w:name="_Toc354492767"/>
      <w:bookmarkStart w:id="3771" w:name="_Toc354492897"/>
      <w:bookmarkStart w:id="3772" w:name="_Toc354493145"/>
      <w:bookmarkStart w:id="3773" w:name="_Toc354493306"/>
      <w:bookmarkStart w:id="3774" w:name="_Toc354493764"/>
      <w:bookmarkStart w:id="3775" w:name="_Toc354494299"/>
      <w:bookmarkStart w:id="3776" w:name="_Toc354494517"/>
      <w:bookmarkStart w:id="3777" w:name="_Toc354494728"/>
      <w:bookmarkStart w:id="3778" w:name="_Toc354495022"/>
      <w:bookmarkStart w:id="3779" w:name="_Toc354497904"/>
      <w:bookmarkStart w:id="3780" w:name="_Toc354561317"/>
      <w:bookmarkStart w:id="3781" w:name="_Toc355164226"/>
      <w:bookmarkStart w:id="3782" w:name="_Toc355249658"/>
      <w:r w:rsidRPr="009A3F95">
        <w:t>F</w:t>
      </w:r>
      <w:r>
        <w:t>urther</w:t>
      </w:r>
      <w:r w:rsidRPr="009A3F95">
        <w:t xml:space="preserve"> M</w:t>
      </w:r>
      <w:bookmarkEnd w:id="3748"/>
      <w:r>
        <w:t>odelling</w:t>
      </w:r>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p>
    <w:p w:rsidR="008237BB" w:rsidRPr="004911EB" w:rsidRDefault="008237BB" w:rsidP="00C54BDF">
      <w:pPr>
        <w:pStyle w:val="BodyText"/>
      </w:pPr>
      <w:r w:rsidRPr="008E276E">
        <w:t>This initial modelling has the WRF weather variables at 270</w:t>
      </w:r>
      <w:r>
        <w:t xml:space="preserve"> m</w:t>
      </w:r>
      <w:r w:rsidRPr="008E276E">
        <w:t xml:space="preserve"> resolution and the vegetation </w:t>
      </w:r>
      <w:r w:rsidRPr="004911EB">
        <w:t>at 30 m resolution</w:t>
      </w:r>
      <w:r w:rsidRPr="008E276E">
        <w:t xml:space="preserve">. </w:t>
      </w:r>
      <w:r>
        <w:t xml:space="preserve">To </w:t>
      </w:r>
      <w:r w:rsidRPr="004911EB">
        <w:t>improve</w:t>
      </w:r>
      <w:r>
        <w:t xml:space="preserve"> the horizontal resolution of the simulations, to </w:t>
      </w:r>
      <w:r w:rsidRPr="008E276E">
        <w:t xml:space="preserve">provide greater refinement in the final “Bushfire Hazard” </w:t>
      </w:r>
      <w:r>
        <w:t>m</w:t>
      </w:r>
      <w:r w:rsidRPr="008E276E">
        <w:t>ap</w:t>
      </w:r>
      <w:r>
        <w:t xml:space="preserve">s, </w:t>
      </w:r>
      <w:r w:rsidRPr="004911EB">
        <w:t>either or both the following techniques could be employed:</w:t>
      </w:r>
    </w:p>
    <w:p w:rsidR="008237BB" w:rsidRDefault="008237BB" w:rsidP="00C54BDF">
      <w:pPr>
        <w:pStyle w:val="Bulletlevel1"/>
      </w:pPr>
      <w:r w:rsidRPr="00FD71A4">
        <w:t>Introduce</w:t>
      </w:r>
      <w:r w:rsidRPr="00B94CDE">
        <w:t xml:space="preserve"> modifiers to scale the wind down to 30</w:t>
      </w:r>
      <w:r>
        <w:t xml:space="preserve"> m</w:t>
      </w:r>
      <w:r w:rsidRPr="00B94CDE">
        <w:t xml:space="preserve"> resolution</w:t>
      </w:r>
    </w:p>
    <w:p w:rsidR="002F691C" w:rsidRDefault="008237BB" w:rsidP="00C54BDF">
      <w:pPr>
        <w:pStyle w:val="Bulletlevel1"/>
      </w:pPr>
      <w:r w:rsidRPr="00FD71A4">
        <w:t>Undertake</w:t>
      </w:r>
      <w:r>
        <w:t xml:space="preserve"> finer horizontal resolution modelling by utilising a tiled-grid approach within WRF.</w:t>
      </w:r>
    </w:p>
    <w:p w:rsidR="008237BB" w:rsidRPr="004911EB" w:rsidRDefault="008237BB" w:rsidP="00C54BDF">
      <w:pPr>
        <w:pStyle w:val="BodyText"/>
      </w:pPr>
      <w:r w:rsidRPr="0040410A">
        <w:t xml:space="preserve">The numerical weather modelling covered a smaller area than the case study region. New </w:t>
      </w:r>
      <w:r w:rsidRPr="004911EB">
        <w:t>weather simulations could be run covering the whole case study area and the bushfire hazard map could be produced for the whole case study region.</w:t>
      </w:r>
    </w:p>
    <w:p w:rsidR="008237BB" w:rsidRDefault="008237BB" w:rsidP="00C54BDF">
      <w:pPr>
        <w:pStyle w:val="BodyText"/>
      </w:pPr>
      <w:r w:rsidRPr="004911EB">
        <w:t>Directional characteristics of historical severe fires (with regards to fire spread) could be exploited</w:t>
      </w:r>
      <w:r w:rsidRPr="008E276E">
        <w:t xml:space="preserve"> to inform </w:t>
      </w:r>
      <w:r w:rsidR="00C54BDF">
        <w:t>the set</w:t>
      </w:r>
      <w:r w:rsidRPr="004911EB">
        <w:t xml:space="preserve">back distance </w:t>
      </w:r>
      <w:r w:rsidRPr="008E276E">
        <w:t>(currently 100</w:t>
      </w:r>
      <w:r>
        <w:t xml:space="preserve"> m</w:t>
      </w:r>
      <w:r w:rsidRPr="008E276E">
        <w:t xml:space="preserve"> buffer in all directions)</w:t>
      </w:r>
      <w:r>
        <w:t xml:space="preserve"> and direction</w:t>
      </w:r>
      <w:r w:rsidRPr="008E276E">
        <w:t>.</w:t>
      </w:r>
    </w:p>
    <w:p w:rsidR="008237BB" w:rsidRDefault="00C54BDF" w:rsidP="006B24B4">
      <w:pPr>
        <w:pStyle w:val="Headingappendix2"/>
      </w:pPr>
      <w:bookmarkStart w:id="3783" w:name="_Toc342638511"/>
      <w:bookmarkStart w:id="3784" w:name="_Toc346261012"/>
      <w:bookmarkStart w:id="3785" w:name="_Toc346632574"/>
      <w:bookmarkStart w:id="3786" w:name="_Toc346632792"/>
      <w:bookmarkStart w:id="3787" w:name="_Toc346633016"/>
      <w:bookmarkStart w:id="3788" w:name="_Toc346633128"/>
      <w:bookmarkStart w:id="3789" w:name="_Toc346633240"/>
      <w:bookmarkStart w:id="3790" w:name="_Toc347401673"/>
      <w:bookmarkStart w:id="3791" w:name="_Toc347401897"/>
      <w:bookmarkStart w:id="3792" w:name="_Toc347402009"/>
      <w:bookmarkStart w:id="3793" w:name="_Toc347402121"/>
      <w:bookmarkStart w:id="3794" w:name="_Toc347402509"/>
      <w:bookmarkStart w:id="3795" w:name="_Toc349055081"/>
      <w:bookmarkStart w:id="3796" w:name="_Toc349055301"/>
      <w:bookmarkStart w:id="3797" w:name="_Toc349055527"/>
      <w:bookmarkStart w:id="3798" w:name="_Toc349055640"/>
      <w:bookmarkStart w:id="3799" w:name="_Toc349055753"/>
      <w:bookmarkStart w:id="3800" w:name="_Toc349116985"/>
      <w:bookmarkStart w:id="3801" w:name="_Toc350330073"/>
      <w:bookmarkStart w:id="3802" w:name="_Toc354402042"/>
      <w:bookmarkStart w:id="3803" w:name="_Toc354404074"/>
      <w:bookmarkStart w:id="3804" w:name="_Toc354476539"/>
      <w:bookmarkStart w:id="3805" w:name="_Toc354492768"/>
      <w:bookmarkStart w:id="3806" w:name="_Toc354492898"/>
      <w:bookmarkStart w:id="3807" w:name="_Toc354493146"/>
      <w:bookmarkStart w:id="3808" w:name="_Toc354493307"/>
      <w:bookmarkStart w:id="3809" w:name="_Toc354493765"/>
      <w:bookmarkStart w:id="3810" w:name="_Toc354494300"/>
      <w:bookmarkStart w:id="3811" w:name="_Toc354494518"/>
      <w:bookmarkStart w:id="3812" w:name="_Toc354494729"/>
      <w:bookmarkStart w:id="3813" w:name="_Toc354495023"/>
      <w:bookmarkStart w:id="3814" w:name="_Toc354497905"/>
      <w:bookmarkStart w:id="3815" w:name="_Toc354561318"/>
      <w:bookmarkStart w:id="3816" w:name="_Toc355164227"/>
      <w:r>
        <w:br w:type="page"/>
      </w:r>
      <w:bookmarkStart w:id="3817" w:name="_Toc355249659"/>
      <w:r w:rsidR="008237BB">
        <w:lastRenderedPageBreak/>
        <w:t>Assumptions</w:t>
      </w:r>
      <w:r w:rsidR="008237BB" w:rsidRPr="009A3F95">
        <w:t xml:space="preserve"> – </w:t>
      </w:r>
      <w:r w:rsidR="008237BB">
        <w:t>Current &amp; Future Climate</w:t>
      </w:r>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p>
    <w:p w:rsidR="00413858" w:rsidRDefault="008237BB" w:rsidP="008237BB">
      <w:pPr>
        <w:pStyle w:val="BodyText"/>
      </w:pPr>
      <w:r>
        <w:t>In the numerical modelling that was the basis for this study, l</w:t>
      </w:r>
      <w:r w:rsidRPr="0021450A">
        <w:t>and cover</w:t>
      </w:r>
      <w:r>
        <w:t xml:space="preserve"> (composition and extent)</w:t>
      </w:r>
      <w:r w:rsidRPr="0021450A">
        <w:t xml:space="preserve"> has been maintained at the same level for the whole simulation period (1971-2100)</w:t>
      </w:r>
      <w:r>
        <w:t>,</w:t>
      </w:r>
      <w:r w:rsidRPr="0021450A">
        <w:t xml:space="preserve"> and does not vary with season or respond to year-to-year rainfall variability</w:t>
      </w:r>
      <w:r>
        <w:t xml:space="preserve"> </w:t>
      </w:r>
      <w:r w:rsidRPr="0021450A">
        <w:t>(i.e. vegetation considered as a static layer in all three model</w:t>
      </w:r>
      <w:r>
        <w:t>s</w:t>
      </w:r>
      <w:r w:rsidRPr="0021450A">
        <w:t xml:space="preserve"> utilised). </w:t>
      </w:r>
      <w:r>
        <w:t>S</w:t>
      </w:r>
      <w:r w:rsidRPr="0021450A">
        <w:t xml:space="preserve">ignificant episodic events such as tropical cyclones and tropical depressions, are known to cause significant vegetation growth and regeneration in the months following their passage through a region, </w:t>
      </w:r>
      <w:r>
        <w:t>but this does not influence either the vegetative growth or the drought factor used in the FFDI calculations. Finally, the impact of climate change on the vegetation, land use and land cover is not considered in this study.</w:t>
      </w:r>
      <w:r w:rsidRPr="0021450A" w:rsidDel="00140C87">
        <w:t xml:space="preserve"> </w:t>
      </w:r>
      <w:r>
        <w:t xml:space="preserve">This may affect the results of this study in various ways. Not only is the bushfire hazard sensitive to changes in fuel, but changes in land cover and land-use directly affect the climate through impacts on energy and water balances of the surface (e.g. Feddema </w:t>
      </w:r>
      <w:r w:rsidRPr="007B6C0C">
        <w:rPr>
          <w:rStyle w:val="Bodytextitalic"/>
        </w:rPr>
        <w:t xml:space="preserve">et al., </w:t>
      </w:r>
      <w:r>
        <w:t xml:space="preserve">2005; Cotton and Pielke, 2007; Ge </w:t>
      </w:r>
      <w:r w:rsidRPr="007B6C0C">
        <w:rPr>
          <w:rStyle w:val="Bodytextitalic"/>
        </w:rPr>
        <w:t xml:space="preserve">et al., </w:t>
      </w:r>
      <w:r>
        <w:t xml:space="preserve">2007; Mahmood </w:t>
      </w:r>
      <w:r w:rsidRPr="007B6C0C">
        <w:rPr>
          <w:rStyle w:val="Bodytextitalic"/>
        </w:rPr>
        <w:t xml:space="preserve">et al., </w:t>
      </w:r>
      <w:r>
        <w:t>2010). To improve reliability of results, future-climate models may need to incorporate a full range of ecosystem dynamics caused by urbanisation, agriculture, deforestation and episodic disturbances such as fires (Running, 2008).</w:t>
      </w:r>
      <w:r w:rsidR="00413858">
        <w:br w:type="page"/>
      </w:r>
    </w:p>
    <w:p w:rsidR="00413858" w:rsidRDefault="00413858" w:rsidP="00413858">
      <w:pPr>
        <w:pStyle w:val="Bodyblankpage"/>
      </w:pPr>
      <w:bookmarkStart w:id="3818" w:name="_Ref340734010"/>
      <w:bookmarkStart w:id="3819" w:name="_Ref341271568"/>
      <w:bookmarkStart w:id="3820" w:name="_Toc346261493"/>
      <w:bookmarkStart w:id="3821" w:name="_Toc346632793"/>
      <w:bookmarkStart w:id="3822" w:name="_Toc346632905"/>
      <w:bookmarkStart w:id="3823" w:name="_Toc346633017"/>
      <w:bookmarkStart w:id="3824" w:name="_Toc346633129"/>
      <w:bookmarkStart w:id="3825" w:name="_Toc346633241"/>
      <w:bookmarkStart w:id="3826" w:name="_Toc347401674"/>
      <w:bookmarkStart w:id="3827" w:name="_Toc347401786"/>
      <w:bookmarkStart w:id="3828" w:name="_Toc347401898"/>
      <w:bookmarkStart w:id="3829" w:name="_Toc347402010"/>
      <w:bookmarkStart w:id="3830" w:name="_Toc347402122"/>
      <w:bookmarkStart w:id="3831" w:name="_Toc349055302"/>
      <w:bookmarkStart w:id="3832" w:name="_Toc349055415"/>
      <w:bookmarkStart w:id="3833" w:name="_Toc349055528"/>
      <w:bookmarkStart w:id="3834" w:name="_Toc349055641"/>
      <w:bookmarkStart w:id="3835" w:name="_Toc349055754"/>
      <w:bookmarkStart w:id="3836" w:name="_Toc349116986"/>
      <w:bookmarkStart w:id="3837" w:name="_Toc350330074"/>
      <w:bookmarkStart w:id="3838" w:name="_Toc350344053"/>
      <w:bookmarkStart w:id="3839" w:name="_Toc354492769"/>
      <w:bookmarkStart w:id="3840" w:name="_Toc354493016"/>
      <w:bookmarkStart w:id="3841" w:name="_Toc354493147"/>
      <w:bookmarkStart w:id="3842" w:name="_Toc354493308"/>
      <w:r>
        <w:lastRenderedPageBreak/>
        <w:t>This page is intentionally blank</w:t>
      </w:r>
    </w:p>
    <w:p w:rsidR="00413858" w:rsidRDefault="00413858" w:rsidP="00413858">
      <w:pPr>
        <w:pStyle w:val="BodyText"/>
      </w:pPr>
    </w:p>
    <w:p w:rsidR="008237BB" w:rsidRDefault="008237BB" w:rsidP="006B24B4">
      <w:pPr>
        <w:pStyle w:val="Heading9"/>
      </w:pPr>
      <w:bookmarkStart w:id="3843" w:name="_Toc357586098"/>
      <w:r>
        <w:lastRenderedPageBreak/>
        <w:t xml:space="preserve">Storm </w:t>
      </w:r>
      <w:bookmarkEnd w:id="3818"/>
      <w:r>
        <w:t>Tide</w:t>
      </w:r>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p>
    <w:p w:rsidR="00C54BDF" w:rsidRDefault="008237BB" w:rsidP="00462463">
      <w:pPr>
        <w:pStyle w:val="HeadingApxnonumbers"/>
        <w:rPr>
          <w:noProof/>
        </w:rPr>
      </w:pPr>
      <w:bookmarkStart w:id="3844" w:name="_Toc349116987"/>
      <w:bookmarkStart w:id="3845" w:name="_Toc350330075"/>
      <w:bookmarkStart w:id="3846" w:name="_Toc350344054"/>
      <w:bookmarkStart w:id="3847" w:name="_Toc354493766"/>
      <w:bookmarkStart w:id="3848" w:name="_Toc354494301"/>
      <w:bookmarkStart w:id="3849" w:name="_Toc354494519"/>
      <w:bookmarkStart w:id="3850" w:name="_Toc354494730"/>
      <w:bookmarkStart w:id="3851" w:name="_Toc354495024"/>
      <w:bookmarkStart w:id="3852" w:name="_Toc354497906"/>
      <w:bookmarkStart w:id="3853" w:name="_Toc354561319"/>
      <w:bookmarkStart w:id="3854" w:name="_Toc355164229"/>
      <w:bookmarkStart w:id="3855" w:name="_Toc355249660"/>
      <w:bookmarkStart w:id="3856" w:name="_Toc341445283"/>
      <w:bookmarkStart w:id="3857" w:name="_Toc342638513"/>
      <w:bookmarkStart w:id="3858" w:name="_Toc346261014"/>
      <w:r>
        <w:t>Contents</w:t>
      </w:r>
      <w:bookmarkEnd w:id="3844"/>
      <w:bookmarkEnd w:id="3845"/>
      <w:bookmarkEnd w:id="3846"/>
      <w:bookmarkEnd w:id="3847"/>
      <w:bookmarkEnd w:id="3848"/>
      <w:bookmarkEnd w:id="3849"/>
      <w:bookmarkEnd w:id="3850"/>
      <w:bookmarkEnd w:id="3851"/>
      <w:bookmarkEnd w:id="3852"/>
      <w:bookmarkEnd w:id="3853"/>
      <w:bookmarkEnd w:id="3854"/>
      <w:bookmarkEnd w:id="3855"/>
      <w:r>
        <w:fldChar w:fldCharType="begin"/>
      </w:r>
      <w:r>
        <w:instrText xml:space="preserve"> TOC \o "1-3" \h \z \u </w:instrText>
      </w:r>
      <w:r>
        <w:fldChar w:fldCharType="separate"/>
      </w:r>
    </w:p>
    <w:p w:rsidR="00C54BDF" w:rsidRDefault="007F11CF" w:rsidP="000067F7">
      <w:pPr>
        <w:pStyle w:val="TOC2"/>
        <w:rPr>
          <w:rFonts w:asciiTheme="minorHAnsi" w:eastAsiaTheme="minorEastAsia" w:hAnsiTheme="minorHAnsi" w:cstheme="minorBidi"/>
          <w:sz w:val="22"/>
          <w:szCs w:val="22"/>
        </w:rPr>
      </w:pPr>
      <w:hyperlink w:anchor="_Toc355249661" w:history="1">
        <w:r w:rsidR="00C54BDF" w:rsidRPr="006C438B">
          <w:rPr>
            <w:rStyle w:val="Hyperlink"/>
          </w:rPr>
          <w:t>Figures</w:t>
        </w:r>
        <w:r w:rsidR="00C54BDF">
          <w:rPr>
            <w:webHidden/>
          </w:rPr>
          <w:tab/>
        </w:r>
        <w:r w:rsidR="00C54BDF">
          <w:rPr>
            <w:webHidden/>
          </w:rPr>
          <w:fldChar w:fldCharType="begin"/>
        </w:r>
        <w:r w:rsidR="00C54BDF">
          <w:rPr>
            <w:webHidden/>
          </w:rPr>
          <w:instrText xml:space="preserve"> PAGEREF _Toc355249661 \h </w:instrText>
        </w:r>
        <w:r w:rsidR="00C54BDF">
          <w:rPr>
            <w:webHidden/>
          </w:rPr>
        </w:r>
        <w:r w:rsidR="00C54BDF">
          <w:rPr>
            <w:webHidden/>
          </w:rPr>
          <w:fldChar w:fldCharType="separate"/>
        </w:r>
        <w:r w:rsidR="00590FF0">
          <w:rPr>
            <w:webHidden/>
          </w:rPr>
          <w:t>97</w:t>
        </w:r>
        <w:r w:rsidR="00C54BDF">
          <w:rPr>
            <w:webHidden/>
          </w:rPr>
          <w:fldChar w:fldCharType="end"/>
        </w:r>
      </w:hyperlink>
    </w:p>
    <w:p w:rsidR="00C54BDF" w:rsidRDefault="007F11CF" w:rsidP="000067F7">
      <w:pPr>
        <w:pStyle w:val="TOC2"/>
        <w:rPr>
          <w:rFonts w:asciiTheme="minorHAnsi" w:eastAsiaTheme="minorEastAsia" w:hAnsiTheme="minorHAnsi" w:cstheme="minorBidi"/>
          <w:sz w:val="22"/>
          <w:szCs w:val="22"/>
        </w:rPr>
      </w:pPr>
      <w:hyperlink w:anchor="_Toc355249662" w:history="1">
        <w:r w:rsidR="00C54BDF" w:rsidRPr="006C438B">
          <w:rPr>
            <w:rStyle w:val="Hyperlink"/>
          </w:rPr>
          <w:t>Tables</w:t>
        </w:r>
        <w:r w:rsidR="00C54BDF">
          <w:rPr>
            <w:webHidden/>
          </w:rPr>
          <w:tab/>
        </w:r>
        <w:r w:rsidR="00C54BDF">
          <w:rPr>
            <w:webHidden/>
          </w:rPr>
          <w:fldChar w:fldCharType="begin"/>
        </w:r>
        <w:r w:rsidR="00C54BDF">
          <w:rPr>
            <w:webHidden/>
          </w:rPr>
          <w:instrText xml:space="preserve"> PAGEREF _Toc355249662 \h </w:instrText>
        </w:r>
        <w:r w:rsidR="00C54BDF">
          <w:rPr>
            <w:webHidden/>
          </w:rPr>
        </w:r>
        <w:r w:rsidR="00C54BDF">
          <w:rPr>
            <w:webHidden/>
          </w:rPr>
          <w:fldChar w:fldCharType="separate"/>
        </w:r>
        <w:r w:rsidR="00590FF0">
          <w:rPr>
            <w:webHidden/>
          </w:rPr>
          <w:t>98</w:t>
        </w:r>
        <w:r w:rsidR="00C54BDF">
          <w:rPr>
            <w:webHidden/>
          </w:rPr>
          <w:fldChar w:fldCharType="end"/>
        </w:r>
      </w:hyperlink>
    </w:p>
    <w:p w:rsidR="00C54BDF" w:rsidRDefault="007F11CF" w:rsidP="000067F7">
      <w:pPr>
        <w:pStyle w:val="TOC2"/>
        <w:rPr>
          <w:rFonts w:asciiTheme="minorHAnsi" w:eastAsiaTheme="minorEastAsia" w:hAnsiTheme="minorHAnsi" w:cstheme="minorBidi"/>
          <w:sz w:val="22"/>
          <w:szCs w:val="22"/>
        </w:rPr>
      </w:pPr>
      <w:hyperlink w:anchor="_Toc355249663" w:history="1">
        <w:r w:rsidR="00C54BDF" w:rsidRPr="006C438B">
          <w:rPr>
            <w:rStyle w:val="Hyperlink"/>
          </w:rPr>
          <w:t>C.1. Method</w:t>
        </w:r>
        <w:r w:rsidR="00C54BDF">
          <w:rPr>
            <w:webHidden/>
          </w:rPr>
          <w:tab/>
        </w:r>
        <w:r w:rsidR="00C54BDF">
          <w:rPr>
            <w:webHidden/>
          </w:rPr>
          <w:fldChar w:fldCharType="begin"/>
        </w:r>
        <w:r w:rsidR="00C54BDF">
          <w:rPr>
            <w:webHidden/>
          </w:rPr>
          <w:instrText xml:space="preserve"> PAGEREF _Toc355249663 \h </w:instrText>
        </w:r>
        <w:r w:rsidR="00C54BDF">
          <w:rPr>
            <w:webHidden/>
          </w:rPr>
        </w:r>
        <w:r w:rsidR="00C54BDF">
          <w:rPr>
            <w:webHidden/>
          </w:rPr>
          <w:fldChar w:fldCharType="separate"/>
        </w:r>
        <w:r w:rsidR="00590FF0">
          <w:rPr>
            <w:webHidden/>
          </w:rPr>
          <w:t>99</w:t>
        </w:r>
        <w:r w:rsidR="00C54BDF">
          <w:rPr>
            <w:webHidden/>
          </w:rPr>
          <w:fldChar w:fldCharType="end"/>
        </w:r>
      </w:hyperlink>
    </w:p>
    <w:p w:rsidR="00C54BDF" w:rsidRDefault="007F11CF" w:rsidP="000067F7">
      <w:pPr>
        <w:pStyle w:val="TOC3"/>
        <w:rPr>
          <w:rFonts w:asciiTheme="minorHAnsi" w:eastAsiaTheme="minorEastAsia" w:hAnsiTheme="minorHAnsi" w:cstheme="minorBidi"/>
          <w:sz w:val="22"/>
          <w:szCs w:val="22"/>
        </w:rPr>
      </w:pPr>
      <w:hyperlink w:anchor="_Toc355249664" w:history="1">
        <w:r w:rsidR="00C54BDF" w:rsidRPr="006C438B">
          <w:rPr>
            <w:rStyle w:val="Hyperlink"/>
          </w:rPr>
          <w:t>C.1.1. Current Climate</w:t>
        </w:r>
        <w:r w:rsidR="00C54BDF">
          <w:rPr>
            <w:webHidden/>
          </w:rPr>
          <w:tab/>
        </w:r>
        <w:r w:rsidR="00C54BDF">
          <w:rPr>
            <w:webHidden/>
          </w:rPr>
          <w:fldChar w:fldCharType="begin"/>
        </w:r>
        <w:r w:rsidR="00C54BDF">
          <w:rPr>
            <w:webHidden/>
          </w:rPr>
          <w:instrText xml:space="preserve"> PAGEREF _Toc355249664 \h </w:instrText>
        </w:r>
        <w:r w:rsidR="00C54BDF">
          <w:rPr>
            <w:webHidden/>
          </w:rPr>
        </w:r>
        <w:r w:rsidR="00C54BDF">
          <w:rPr>
            <w:webHidden/>
          </w:rPr>
          <w:fldChar w:fldCharType="separate"/>
        </w:r>
        <w:r w:rsidR="00590FF0">
          <w:rPr>
            <w:webHidden/>
          </w:rPr>
          <w:t>99</w:t>
        </w:r>
        <w:r w:rsidR="00C54BDF">
          <w:rPr>
            <w:webHidden/>
          </w:rPr>
          <w:fldChar w:fldCharType="end"/>
        </w:r>
      </w:hyperlink>
    </w:p>
    <w:p w:rsidR="00C54BDF" w:rsidRDefault="007F11CF" w:rsidP="000067F7">
      <w:pPr>
        <w:pStyle w:val="TOC3"/>
        <w:rPr>
          <w:rFonts w:asciiTheme="minorHAnsi" w:eastAsiaTheme="minorEastAsia" w:hAnsiTheme="minorHAnsi" w:cstheme="minorBidi"/>
          <w:sz w:val="22"/>
          <w:szCs w:val="22"/>
        </w:rPr>
      </w:pPr>
      <w:hyperlink w:anchor="_Toc355249665" w:history="1">
        <w:r w:rsidR="00C54BDF" w:rsidRPr="006C438B">
          <w:rPr>
            <w:rStyle w:val="Hyperlink"/>
          </w:rPr>
          <w:t>C.1.2. Future Climate</w:t>
        </w:r>
        <w:r w:rsidR="00C54BDF">
          <w:rPr>
            <w:webHidden/>
          </w:rPr>
          <w:tab/>
        </w:r>
        <w:r w:rsidR="00C54BDF">
          <w:rPr>
            <w:webHidden/>
          </w:rPr>
          <w:fldChar w:fldCharType="begin"/>
        </w:r>
        <w:r w:rsidR="00C54BDF">
          <w:rPr>
            <w:webHidden/>
          </w:rPr>
          <w:instrText xml:space="preserve"> PAGEREF _Toc355249665 \h </w:instrText>
        </w:r>
        <w:r w:rsidR="00C54BDF">
          <w:rPr>
            <w:webHidden/>
          </w:rPr>
        </w:r>
        <w:r w:rsidR="00C54BDF">
          <w:rPr>
            <w:webHidden/>
          </w:rPr>
          <w:fldChar w:fldCharType="separate"/>
        </w:r>
        <w:r w:rsidR="00590FF0">
          <w:rPr>
            <w:webHidden/>
          </w:rPr>
          <w:t>105</w:t>
        </w:r>
        <w:r w:rsidR="00C54BDF">
          <w:rPr>
            <w:webHidden/>
          </w:rPr>
          <w:fldChar w:fldCharType="end"/>
        </w:r>
      </w:hyperlink>
    </w:p>
    <w:p w:rsidR="00C54BDF" w:rsidRDefault="007F11CF" w:rsidP="000067F7">
      <w:pPr>
        <w:pStyle w:val="TOC2"/>
        <w:rPr>
          <w:rFonts w:asciiTheme="minorHAnsi" w:eastAsiaTheme="minorEastAsia" w:hAnsiTheme="minorHAnsi" w:cstheme="minorBidi"/>
          <w:sz w:val="22"/>
          <w:szCs w:val="22"/>
        </w:rPr>
      </w:pPr>
      <w:hyperlink w:anchor="_Toc355249666" w:history="1">
        <w:r w:rsidR="00C54BDF" w:rsidRPr="006C438B">
          <w:rPr>
            <w:rStyle w:val="Hyperlink"/>
          </w:rPr>
          <w:t>C.2. Results</w:t>
        </w:r>
        <w:r w:rsidR="00C54BDF">
          <w:rPr>
            <w:webHidden/>
          </w:rPr>
          <w:tab/>
        </w:r>
        <w:r w:rsidR="00C54BDF">
          <w:rPr>
            <w:webHidden/>
          </w:rPr>
          <w:fldChar w:fldCharType="begin"/>
        </w:r>
        <w:r w:rsidR="00C54BDF">
          <w:rPr>
            <w:webHidden/>
          </w:rPr>
          <w:instrText xml:space="preserve"> PAGEREF _Toc355249666 \h </w:instrText>
        </w:r>
        <w:r w:rsidR="00C54BDF">
          <w:rPr>
            <w:webHidden/>
          </w:rPr>
        </w:r>
        <w:r w:rsidR="00C54BDF">
          <w:rPr>
            <w:webHidden/>
          </w:rPr>
          <w:fldChar w:fldCharType="separate"/>
        </w:r>
        <w:r w:rsidR="00590FF0">
          <w:rPr>
            <w:webHidden/>
          </w:rPr>
          <w:t>107</w:t>
        </w:r>
        <w:r w:rsidR="00C54BDF">
          <w:rPr>
            <w:webHidden/>
          </w:rPr>
          <w:fldChar w:fldCharType="end"/>
        </w:r>
      </w:hyperlink>
    </w:p>
    <w:p w:rsidR="00C54BDF" w:rsidRDefault="007F11CF" w:rsidP="000067F7">
      <w:pPr>
        <w:pStyle w:val="TOC3"/>
        <w:rPr>
          <w:rFonts w:asciiTheme="minorHAnsi" w:eastAsiaTheme="minorEastAsia" w:hAnsiTheme="minorHAnsi" w:cstheme="minorBidi"/>
          <w:sz w:val="22"/>
          <w:szCs w:val="22"/>
        </w:rPr>
      </w:pPr>
      <w:hyperlink w:anchor="_Toc355249667" w:history="1">
        <w:r w:rsidR="00C54BDF" w:rsidRPr="006C438B">
          <w:rPr>
            <w:rStyle w:val="Hyperlink"/>
          </w:rPr>
          <w:t>C.2.1. Current Climate</w:t>
        </w:r>
        <w:r w:rsidR="00C54BDF">
          <w:rPr>
            <w:webHidden/>
          </w:rPr>
          <w:tab/>
        </w:r>
        <w:r w:rsidR="00C54BDF">
          <w:rPr>
            <w:webHidden/>
          </w:rPr>
          <w:fldChar w:fldCharType="begin"/>
        </w:r>
        <w:r w:rsidR="00C54BDF">
          <w:rPr>
            <w:webHidden/>
          </w:rPr>
          <w:instrText xml:space="preserve"> PAGEREF _Toc355249667 \h </w:instrText>
        </w:r>
        <w:r w:rsidR="00C54BDF">
          <w:rPr>
            <w:webHidden/>
          </w:rPr>
        </w:r>
        <w:r w:rsidR="00C54BDF">
          <w:rPr>
            <w:webHidden/>
          </w:rPr>
          <w:fldChar w:fldCharType="separate"/>
        </w:r>
        <w:r w:rsidR="00590FF0">
          <w:rPr>
            <w:webHidden/>
          </w:rPr>
          <w:t>107</w:t>
        </w:r>
        <w:r w:rsidR="00C54BDF">
          <w:rPr>
            <w:webHidden/>
          </w:rPr>
          <w:fldChar w:fldCharType="end"/>
        </w:r>
      </w:hyperlink>
    </w:p>
    <w:p w:rsidR="00C54BDF" w:rsidRDefault="007F11CF" w:rsidP="000067F7">
      <w:pPr>
        <w:pStyle w:val="TOC3"/>
        <w:rPr>
          <w:rFonts w:asciiTheme="minorHAnsi" w:eastAsiaTheme="minorEastAsia" w:hAnsiTheme="minorHAnsi" w:cstheme="minorBidi"/>
          <w:sz w:val="22"/>
          <w:szCs w:val="22"/>
        </w:rPr>
      </w:pPr>
      <w:hyperlink w:anchor="_Toc355249668" w:history="1">
        <w:r w:rsidR="00C54BDF" w:rsidRPr="006C438B">
          <w:rPr>
            <w:rStyle w:val="Hyperlink"/>
          </w:rPr>
          <w:t>C.2.2. Future Climate</w:t>
        </w:r>
        <w:r w:rsidR="00C54BDF">
          <w:rPr>
            <w:webHidden/>
          </w:rPr>
          <w:tab/>
        </w:r>
        <w:r w:rsidR="00C54BDF">
          <w:rPr>
            <w:webHidden/>
          </w:rPr>
          <w:fldChar w:fldCharType="begin"/>
        </w:r>
        <w:r w:rsidR="00C54BDF">
          <w:rPr>
            <w:webHidden/>
          </w:rPr>
          <w:instrText xml:space="preserve"> PAGEREF _Toc355249668 \h </w:instrText>
        </w:r>
        <w:r w:rsidR="00C54BDF">
          <w:rPr>
            <w:webHidden/>
          </w:rPr>
        </w:r>
        <w:r w:rsidR="00C54BDF">
          <w:rPr>
            <w:webHidden/>
          </w:rPr>
          <w:fldChar w:fldCharType="separate"/>
        </w:r>
        <w:r w:rsidR="00590FF0">
          <w:rPr>
            <w:webHidden/>
          </w:rPr>
          <w:t>108</w:t>
        </w:r>
        <w:r w:rsidR="00C54BDF">
          <w:rPr>
            <w:webHidden/>
          </w:rPr>
          <w:fldChar w:fldCharType="end"/>
        </w:r>
      </w:hyperlink>
    </w:p>
    <w:p w:rsidR="00C54BDF" w:rsidRDefault="007F11CF" w:rsidP="000067F7">
      <w:pPr>
        <w:pStyle w:val="TOC2"/>
        <w:rPr>
          <w:rFonts w:asciiTheme="minorHAnsi" w:eastAsiaTheme="minorEastAsia" w:hAnsiTheme="minorHAnsi" w:cstheme="minorBidi"/>
          <w:sz w:val="22"/>
          <w:szCs w:val="22"/>
        </w:rPr>
      </w:pPr>
      <w:hyperlink w:anchor="_Toc355249669" w:history="1">
        <w:r w:rsidR="00C54BDF" w:rsidRPr="006C438B">
          <w:rPr>
            <w:rStyle w:val="Hyperlink"/>
          </w:rPr>
          <w:t>C.3. Discussion</w:t>
        </w:r>
        <w:r w:rsidR="00C54BDF">
          <w:rPr>
            <w:webHidden/>
          </w:rPr>
          <w:tab/>
        </w:r>
        <w:r w:rsidR="00C54BDF">
          <w:rPr>
            <w:webHidden/>
          </w:rPr>
          <w:fldChar w:fldCharType="begin"/>
        </w:r>
        <w:r w:rsidR="00C54BDF">
          <w:rPr>
            <w:webHidden/>
          </w:rPr>
          <w:instrText xml:space="preserve"> PAGEREF _Toc355249669 \h </w:instrText>
        </w:r>
        <w:r w:rsidR="00C54BDF">
          <w:rPr>
            <w:webHidden/>
          </w:rPr>
        </w:r>
        <w:r w:rsidR="00C54BDF">
          <w:rPr>
            <w:webHidden/>
          </w:rPr>
          <w:fldChar w:fldCharType="separate"/>
        </w:r>
        <w:r w:rsidR="00590FF0">
          <w:rPr>
            <w:webHidden/>
          </w:rPr>
          <w:t>112</w:t>
        </w:r>
        <w:r w:rsidR="00C54BDF">
          <w:rPr>
            <w:webHidden/>
          </w:rPr>
          <w:fldChar w:fldCharType="end"/>
        </w:r>
      </w:hyperlink>
    </w:p>
    <w:p w:rsidR="00C54BDF" w:rsidRDefault="007F11CF" w:rsidP="000067F7">
      <w:pPr>
        <w:pStyle w:val="TOC3"/>
        <w:rPr>
          <w:rFonts w:asciiTheme="minorHAnsi" w:eastAsiaTheme="minorEastAsia" w:hAnsiTheme="minorHAnsi" w:cstheme="minorBidi"/>
          <w:sz w:val="22"/>
          <w:szCs w:val="22"/>
        </w:rPr>
      </w:pPr>
      <w:hyperlink w:anchor="_Toc355249670" w:history="1">
        <w:r w:rsidR="00C54BDF" w:rsidRPr="006C438B">
          <w:rPr>
            <w:rStyle w:val="Hyperlink"/>
          </w:rPr>
          <w:t>C.3.1. Current Climate</w:t>
        </w:r>
        <w:r w:rsidR="00C54BDF">
          <w:rPr>
            <w:webHidden/>
          </w:rPr>
          <w:tab/>
        </w:r>
        <w:r w:rsidR="00C54BDF">
          <w:rPr>
            <w:webHidden/>
          </w:rPr>
          <w:fldChar w:fldCharType="begin"/>
        </w:r>
        <w:r w:rsidR="00C54BDF">
          <w:rPr>
            <w:webHidden/>
          </w:rPr>
          <w:instrText xml:space="preserve"> PAGEREF _Toc355249670 \h </w:instrText>
        </w:r>
        <w:r w:rsidR="00C54BDF">
          <w:rPr>
            <w:webHidden/>
          </w:rPr>
        </w:r>
        <w:r w:rsidR="00C54BDF">
          <w:rPr>
            <w:webHidden/>
          </w:rPr>
          <w:fldChar w:fldCharType="separate"/>
        </w:r>
        <w:r w:rsidR="00590FF0">
          <w:rPr>
            <w:webHidden/>
          </w:rPr>
          <w:t>112</w:t>
        </w:r>
        <w:r w:rsidR="00C54BDF">
          <w:rPr>
            <w:webHidden/>
          </w:rPr>
          <w:fldChar w:fldCharType="end"/>
        </w:r>
      </w:hyperlink>
    </w:p>
    <w:p w:rsidR="00C54BDF" w:rsidRDefault="007F11CF" w:rsidP="000067F7">
      <w:pPr>
        <w:pStyle w:val="TOC3"/>
        <w:rPr>
          <w:rFonts w:asciiTheme="minorHAnsi" w:eastAsiaTheme="minorEastAsia" w:hAnsiTheme="minorHAnsi" w:cstheme="minorBidi"/>
          <w:sz w:val="22"/>
          <w:szCs w:val="22"/>
        </w:rPr>
      </w:pPr>
      <w:hyperlink w:anchor="_Toc355249671" w:history="1">
        <w:r w:rsidR="00C54BDF" w:rsidRPr="006C438B">
          <w:rPr>
            <w:rStyle w:val="Hyperlink"/>
          </w:rPr>
          <w:t>C.3.2. Future Climate</w:t>
        </w:r>
        <w:r w:rsidR="00C54BDF">
          <w:rPr>
            <w:webHidden/>
          </w:rPr>
          <w:tab/>
        </w:r>
        <w:r w:rsidR="00C54BDF">
          <w:rPr>
            <w:webHidden/>
          </w:rPr>
          <w:fldChar w:fldCharType="begin"/>
        </w:r>
        <w:r w:rsidR="00C54BDF">
          <w:rPr>
            <w:webHidden/>
          </w:rPr>
          <w:instrText xml:space="preserve"> PAGEREF _Toc355249671 \h </w:instrText>
        </w:r>
        <w:r w:rsidR="00C54BDF">
          <w:rPr>
            <w:webHidden/>
          </w:rPr>
        </w:r>
        <w:r w:rsidR="00C54BDF">
          <w:rPr>
            <w:webHidden/>
          </w:rPr>
          <w:fldChar w:fldCharType="separate"/>
        </w:r>
        <w:r w:rsidR="00590FF0">
          <w:rPr>
            <w:webHidden/>
          </w:rPr>
          <w:t>114</w:t>
        </w:r>
        <w:r w:rsidR="00C54BDF">
          <w:rPr>
            <w:webHidden/>
          </w:rPr>
          <w:fldChar w:fldCharType="end"/>
        </w:r>
      </w:hyperlink>
    </w:p>
    <w:p w:rsidR="00DF77DB" w:rsidRDefault="008237BB" w:rsidP="00462463">
      <w:pPr>
        <w:pStyle w:val="HeadingApxnonumbers"/>
        <w:rPr>
          <w:noProof/>
        </w:rPr>
      </w:pPr>
      <w:r>
        <w:fldChar w:fldCharType="end"/>
      </w:r>
      <w:bookmarkStart w:id="3859" w:name="_Toc354494520"/>
      <w:bookmarkStart w:id="3860" w:name="_Toc354494731"/>
      <w:bookmarkStart w:id="3861" w:name="_Toc354495025"/>
      <w:bookmarkStart w:id="3862" w:name="_Toc354497907"/>
      <w:bookmarkStart w:id="3863" w:name="_Toc354561320"/>
      <w:bookmarkStart w:id="3864" w:name="_Toc355164230"/>
      <w:bookmarkStart w:id="3865" w:name="_Toc355249661"/>
      <w:r w:rsidR="000369DE">
        <w:t>Figures</w:t>
      </w:r>
      <w:bookmarkEnd w:id="3859"/>
      <w:bookmarkEnd w:id="3860"/>
      <w:bookmarkEnd w:id="3861"/>
      <w:bookmarkEnd w:id="3862"/>
      <w:bookmarkEnd w:id="3863"/>
      <w:bookmarkEnd w:id="3864"/>
      <w:bookmarkEnd w:id="3865"/>
      <w:r w:rsidR="000369DE">
        <w:fldChar w:fldCharType="begin"/>
      </w:r>
      <w:r w:rsidR="000369DE">
        <w:instrText xml:space="preserve"> TOC \h \z \c "Appendix Figure" </w:instrText>
      </w:r>
      <w:r w:rsidR="000369DE">
        <w:fldChar w:fldCharType="separate"/>
      </w:r>
    </w:p>
    <w:p w:rsidR="00DF77DB" w:rsidRDefault="007F11CF">
      <w:pPr>
        <w:pStyle w:val="TableofFigures"/>
        <w:rPr>
          <w:rFonts w:asciiTheme="minorHAnsi" w:eastAsiaTheme="minorEastAsia" w:hAnsiTheme="minorHAnsi" w:cstheme="minorBidi"/>
          <w:sz w:val="22"/>
          <w:szCs w:val="22"/>
        </w:rPr>
      </w:pPr>
      <w:hyperlink w:anchor="_Toc354561474" w:history="1">
        <w:r w:rsidR="00DF77DB" w:rsidRPr="000C3DAC">
          <w:rPr>
            <w:rStyle w:val="Hyperlink"/>
          </w:rPr>
          <w:t xml:space="preserve">Appendix Figure </w:t>
        </w:r>
        <w:r w:rsidR="00162079">
          <w:rPr>
            <w:rStyle w:val="Hyperlink"/>
          </w:rPr>
          <w:t>C.</w:t>
        </w:r>
        <w:r w:rsidR="00DF77DB" w:rsidRPr="000C3DAC">
          <w:rPr>
            <w:rStyle w:val="Hyperlink"/>
          </w:rPr>
          <w:t>1. Storm tide modelling results for Rockhampton (250 year ARI inundation depth (m))</w:t>
        </w:r>
        <w:r w:rsidR="00DF77DB">
          <w:rPr>
            <w:webHidden/>
          </w:rPr>
          <w:tab/>
        </w:r>
        <w:r w:rsidR="00DF77DB">
          <w:rPr>
            <w:webHidden/>
          </w:rPr>
          <w:fldChar w:fldCharType="begin"/>
        </w:r>
        <w:r w:rsidR="00DF77DB">
          <w:rPr>
            <w:webHidden/>
          </w:rPr>
          <w:instrText xml:space="preserve"> PAGEREF _Toc354561474 \h </w:instrText>
        </w:r>
        <w:r w:rsidR="00DF77DB">
          <w:rPr>
            <w:webHidden/>
          </w:rPr>
        </w:r>
        <w:r w:rsidR="00DF77DB">
          <w:rPr>
            <w:webHidden/>
          </w:rPr>
          <w:fldChar w:fldCharType="separate"/>
        </w:r>
        <w:r w:rsidR="00590FF0">
          <w:rPr>
            <w:webHidden/>
          </w:rPr>
          <w:t>100</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475" w:history="1">
        <w:r w:rsidR="00DF77DB" w:rsidRPr="000C3DAC">
          <w:rPr>
            <w:rStyle w:val="Hyperlink"/>
          </w:rPr>
          <w:t xml:space="preserve">Appendix Figure </w:t>
        </w:r>
        <w:r w:rsidR="00162079">
          <w:rPr>
            <w:rStyle w:val="Hyperlink"/>
          </w:rPr>
          <w:t>C.</w:t>
        </w:r>
        <w:r w:rsidR="00DF77DB" w:rsidRPr="000C3DAC">
          <w:rPr>
            <w:rStyle w:val="Hyperlink"/>
          </w:rPr>
          <w:t>2. Extra-Tropical Storm tide scatterplot matrix (250 year ARI). The X-axis is the ID field. The Y-axis is inundation depth above MSL (m).</w:t>
        </w:r>
        <w:r w:rsidR="00DF77DB">
          <w:rPr>
            <w:webHidden/>
          </w:rPr>
          <w:tab/>
        </w:r>
        <w:r w:rsidR="00DF77DB">
          <w:rPr>
            <w:webHidden/>
          </w:rPr>
          <w:fldChar w:fldCharType="begin"/>
        </w:r>
        <w:r w:rsidR="00DF77DB">
          <w:rPr>
            <w:webHidden/>
          </w:rPr>
          <w:instrText xml:space="preserve"> PAGEREF _Toc354561475 \h </w:instrText>
        </w:r>
        <w:r w:rsidR="00DF77DB">
          <w:rPr>
            <w:webHidden/>
          </w:rPr>
        </w:r>
        <w:r w:rsidR="00DF77DB">
          <w:rPr>
            <w:webHidden/>
          </w:rPr>
          <w:fldChar w:fldCharType="separate"/>
        </w:r>
        <w:r w:rsidR="00590FF0">
          <w:rPr>
            <w:webHidden/>
          </w:rPr>
          <w:t>101</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476" w:history="1">
        <w:r w:rsidR="00DF77DB" w:rsidRPr="000C3DAC">
          <w:rPr>
            <w:rStyle w:val="Hyperlink"/>
          </w:rPr>
          <w:t xml:space="preserve">Appendix Figure </w:t>
        </w:r>
        <w:r w:rsidR="00162079">
          <w:rPr>
            <w:rStyle w:val="Hyperlink"/>
          </w:rPr>
          <w:t>C.</w:t>
        </w:r>
        <w:r w:rsidR="00DF77DB" w:rsidRPr="000C3DAC">
          <w:rPr>
            <w:rStyle w:val="Hyperlink"/>
          </w:rPr>
          <w:t>3. Tropical Cyclone Storm tide scatterplot matrix (250 year ARI). The X-axis is the ID field. The Y-axis is inundation depth above MSL (m).</w:t>
        </w:r>
        <w:r w:rsidR="00DF77DB">
          <w:rPr>
            <w:webHidden/>
          </w:rPr>
          <w:tab/>
        </w:r>
        <w:r w:rsidR="00DF77DB">
          <w:rPr>
            <w:webHidden/>
          </w:rPr>
          <w:fldChar w:fldCharType="begin"/>
        </w:r>
        <w:r w:rsidR="00DF77DB">
          <w:rPr>
            <w:webHidden/>
          </w:rPr>
          <w:instrText xml:space="preserve"> PAGEREF _Toc354561476 \h </w:instrText>
        </w:r>
        <w:r w:rsidR="00DF77DB">
          <w:rPr>
            <w:webHidden/>
          </w:rPr>
        </w:r>
        <w:r w:rsidR="00DF77DB">
          <w:rPr>
            <w:webHidden/>
          </w:rPr>
          <w:fldChar w:fldCharType="separate"/>
        </w:r>
        <w:r w:rsidR="00590FF0">
          <w:rPr>
            <w:webHidden/>
          </w:rPr>
          <w:t>102</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477" w:history="1">
        <w:r w:rsidR="00DF77DB" w:rsidRPr="000C3DAC">
          <w:rPr>
            <w:rStyle w:val="Hyperlink"/>
          </w:rPr>
          <w:t xml:space="preserve">Appendix Figure </w:t>
        </w:r>
        <w:r w:rsidR="00162079">
          <w:rPr>
            <w:rStyle w:val="Hyperlink"/>
          </w:rPr>
          <w:t>C.</w:t>
        </w:r>
        <w:r w:rsidR="00DF77DB" w:rsidRPr="000C3DAC">
          <w:rPr>
            <w:rStyle w:val="Hyperlink"/>
          </w:rPr>
          <w:t>4. Area 4 statistics – extra-tropical storm events.</w:t>
        </w:r>
        <w:r w:rsidR="00DF77DB">
          <w:rPr>
            <w:webHidden/>
          </w:rPr>
          <w:tab/>
        </w:r>
        <w:r w:rsidR="00DF77DB">
          <w:rPr>
            <w:webHidden/>
          </w:rPr>
          <w:fldChar w:fldCharType="begin"/>
        </w:r>
        <w:r w:rsidR="00DF77DB">
          <w:rPr>
            <w:webHidden/>
          </w:rPr>
          <w:instrText xml:space="preserve"> PAGEREF _Toc354561477 \h </w:instrText>
        </w:r>
        <w:r w:rsidR="00DF77DB">
          <w:rPr>
            <w:webHidden/>
          </w:rPr>
        </w:r>
        <w:r w:rsidR="00DF77DB">
          <w:rPr>
            <w:webHidden/>
          </w:rPr>
          <w:fldChar w:fldCharType="separate"/>
        </w:r>
        <w:r w:rsidR="00590FF0">
          <w:rPr>
            <w:webHidden/>
          </w:rPr>
          <w:t>103</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478" w:history="1">
        <w:r w:rsidR="00DF77DB" w:rsidRPr="000C3DAC">
          <w:rPr>
            <w:rStyle w:val="Hyperlink"/>
          </w:rPr>
          <w:t xml:space="preserve">Appendix Figure </w:t>
        </w:r>
        <w:r w:rsidR="00162079">
          <w:rPr>
            <w:rStyle w:val="Hyperlink"/>
          </w:rPr>
          <w:t>C.</w:t>
        </w:r>
        <w:r w:rsidR="00DF77DB" w:rsidRPr="000C3DAC">
          <w:rPr>
            <w:rStyle w:val="Hyperlink"/>
          </w:rPr>
          <w:t>5. Area 4 statistics – tropical storm events</w:t>
        </w:r>
        <w:r w:rsidR="00DF77DB">
          <w:rPr>
            <w:webHidden/>
          </w:rPr>
          <w:tab/>
        </w:r>
        <w:r w:rsidR="00DF77DB">
          <w:rPr>
            <w:webHidden/>
          </w:rPr>
          <w:fldChar w:fldCharType="begin"/>
        </w:r>
        <w:r w:rsidR="00DF77DB">
          <w:rPr>
            <w:webHidden/>
          </w:rPr>
          <w:instrText xml:space="preserve"> PAGEREF _Toc354561478 \h </w:instrText>
        </w:r>
        <w:r w:rsidR="00DF77DB">
          <w:rPr>
            <w:webHidden/>
          </w:rPr>
        </w:r>
        <w:r w:rsidR="00DF77DB">
          <w:rPr>
            <w:webHidden/>
          </w:rPr>
          <w:fldChar w:fldCharType="separate"/>
        </w:r>
        <w:r w:rsidR="00590FF0">
          <w:rPr>
            <w:webHidden/>
          </w:rPr>
          <w:t>103</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479" w:history="1">
        <w:r w:rsidR="00DF77DB" w:rsidRPr="000C3DAC">
          <w:rPr>
            <w:rStyle w:val="Hyperlink"/>
          </w:rPr>
          <w:t xml:space="preserve">Appendix Figure </w:t>
        </w:r>
        <w:r w:rsidR="00162079">
          <w:rPr>
            <w:rStyle w:val="Hyperlink"/>
          </w:rPr>
          <w:t>C.</w:t>
        </w:r>
        <w:r w:rsidR="00DF77DB" w:rsidRPr="000C3DAC">
          <w:rPr>
            <w:rStyle w:val="Hyperlink"/>
          </w:rPr>
          <w:t>6. Area 5 statistics – extra-tropical storm events.</w:t>
        </w:r>
        <w:r w:rsidR="00DF77DB">
          <w:rPr>
            <w:webHidden/>
          </w:rPr>
          <w:tab/>
        </w:r>
        <w:r w:rsidR="00DF77DB">
          <w:rPr>
            <w:webHidden/>
          </w:rPr>
          <w:fldChar w:fldCharType="begin"/>
        </w:r>
        <w:r w:rsidR="00DF77DB">
          <w:rPr>
            <w:webHidden/>
          </w:rPr>
          <w:instrText xml:space="preserve"> PAGEREF _Toc354561479 \h </w:instrText>
        </w:r>
        <w:r w:rsidR="00DF77DB">
          <w:rPr>
            <w:webHidden/>
          </w:rPr>
        </w:r>
        <w:r w:rsidR="00DF77DB">
          <w:rPr>
            <w:webHidden/>
          </w:rPr>
          <w:fldChar w:fldCharType="separate"/>
        </w:r>
        <w:r w:rsidR="00590FF0">
          <w:rPr>
            <w:webHidden/>
          </w:rPr>
          <w:t>104</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480" w:history="1">
        <w:r w:rsidR="00DF77DB" w:rsidRPr="000C3DAC">
          <w:rPr>
            <w:rStyle w:val="Hyperlink"/>
          </w:rPr>
          <w:t xml:space="preserve">Appendix Figure </w:t>
        </w:r>
        <w:r w:rsidR="00162079">
          <w:rPr>
            <w:rStyle w:val="Hyperlink"/>
          </w:rPr>
          <w:t>C.</w:t>
        </w:r>
        <w:r w:rsidR="00DF77DB" w:rsidRPr="000C3DAC">
          <w:rPr>
            <w:rStyle w:val="Hyperlink"/>
          </w:rPr>
          <w:t>7. Area 5 statistics –tropical storm events.</w:t>
        </w:r>
        <w:r w:rsidR="00DF77DB">
          <w:rPr>
            <w:webHidden/>
          </w:rPr>
          <w:tab/>
        </w:r>
        <w:r w:rsidR="00DF77DB">
          <w:rPr>
            <w:webHidden/>
          </w:rPr>
          <w:fldChar w:fldCharType="begin"/>
        </w:r>
        <w:r w:rsidR="00DF77DB">
          <w:rPr>
            <w:webHidden/>
          </w:rPr>
          <w:instrText xml:space="preserve"> PAGEREF _Toc354561480 \h </w:instrText>
        </w:r>
        <w:r w:rsidR="00DF77DB">
          <w:rPr>
            <w:webHidden/>
          </w:rPr>
        </w:r>
        <w:r w:rsidR="00DF77DB">
          <w:rPr>
            <w:webHidden/>
          </w:rPr>
          <w:fldChar w:fldCharType="separate"/>
        </w:r>
        <w:r w:rsidR="00590FF0">
          <w:rPr>
            <w:webHidden/>
          </w:rPr>
          <w:t>104</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481" w:history="1">
        <w:r w:rsidR="00DF77DB" w:rsidRPr="000C3DAC">
          <w:rPr>
            <w:rStyle w:val="Hyperlink"/>
          </w:rPr>
          <w:t xml:space="preserve">Appendix Figure </w:t>
        </w:r>
        <w:r w:rsidR="00162079">
          <w:rPr>
            <w:rStyle w:val="Hyperlink"/>
          </w:rPr>
          <w:t>C.</w:t>
        </w:r>
        <w:r w:rsidR="00DF77DB" w:rsidRPr="000C3DAC">
          <w:rPr>
            <w:rStyle w:val="Hyperlink"/>
          </w:rPr>
          <w:t>8. Extra-tropical storm tide inundation.</w:t>
        </w:r>
        <w:r w:rsidR="00DF77DB">
          <w:rPr>
            <w:webHidden/>
          </w:rPr>
          <w:tab/>
        </w:r>
        <w:r w:rsidR="00DF77DB">
          <w:rPr>
            <w:webHidden/>
          </w:rPr>
          <w:fldChar w:fldCharType="begin"/>
        </w:r>
        <w:r w:rsidR="00DF77DB">
          <w:rPr>
            <w:webHidden/>
          </w:rPr>
          <w:instrText xml:space="preserve"> PAGEREF _Toc354561481 \h </w:instrText>
        </w:r>
        <w:r w:rsidR="00DF77DB">
          <w:rPr>
            <w:webHidden/>
          </w:rPr>
        </w:r>
        <w:r w:rsidR="00DF77DB">
          <w:rPr>
            <w:webHidden/>
          </w:rPr>
          <w:fldChar w:fldCharType="separate"/>
        </w:r>
        <w:r w:rsidR="00590FF0">
          <w:rPr>
            <w:webHidden/>
          </w:rPr>
          <w:t>107</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482" w:history="1">
        <w:r w:rsidR="00DF77DB" w:rsidRPr="000C3DAC">
          <w:rPr>
            <w:rStyle w:val="Hyperlink"/>
          </w:rPr>
          <w:t xml:space="preserve">Appendix Figure </w:t>
        </w:r>
        <w:r w:rsidR="00162079">
          <w:rPr>
            <w:rStyle w:val="Hyperlink"/>
          </w:rPr>
          <w:t>C.</w:t>
        </w:r>
        <w:r w:rsidR="00DF77DB" w:rsidRPr="000C3DAC">
          <w:rPr>
            <w:rStyle w:val="Hyperlink"/>
          </w:rPr>
          <w:t>9. Tropical cyclone storm tide inundation.</w:t>
        </w:r>
        <w:r w:rsidR="00DF77DB">
          <w:rPr>
            <w:webHidden/>
          </w:rPr>
          <w:tab/>
        </w:r>
        <w:r w:rsidR="00DF77DB">
          <w:rPr>
            <w:webHidden/>
          </w:rPr>
          <w:fldChar w:fldCharType="begin"/>
        </w:r>
        <w:r w:rsidR="00DF77DB">
          <w:rPr>
            <w:webHidden/>
          </w:rPr>
          <w:instrText xml:space="preserve"> PAGEREF _Toc354561482 \h </w:instrText>
        </w:r>
        <w:r w:rsidR="00DF77DB">
          <w:rPr>
            <w:webHidden/>
          </w:rPr>
        </w:r>
        <w:r w:rsidR="00DF77DB">
          <w:rPr>
            <w:webHidden/>
          </w:rPr>
          <w:fldChar w:fldCharType="separate"/>
        </w:r>
        <w:r w:rsidR="00590FF0">
          <w:rPr>
            <w:webHidden/>
          </w:rPr>
          <w:t>107</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483" w:history="1">
        <w:r w:rsidR="00DF77DB" w:rsidRPr="000C3DAC">
          <w:rPr>
            <w:rStyle w:val="Hyperlink"/>
          </w:rPr>
          <w:t xml:space="preserve">Appendix Figure </w:t>
        </w:r>
        <w:r w:rsidR="00162079">
          <w:rPr>
            <w:rStyle w:val="Hyperlink"/>
          </w:rPr>
          <w:t>C.</w:t>
        </w:r>
        <w:r w:rsidR="00DF77DB" w:rsidRPr="000C3DAC">
          <w:rPr>
            <w:rStyle w:val="Hyperlink"/>
          </w:rPr>
          <w:t>10. 2050 sea-level rise (+0.3 m) combined with extra-tropical storm tide inundation.</w:t>
        </w:r>
        <w:r w:rsidR="00DF77DB">
          <w:rPr>
            <w:webHidden/>
          </w:rPr>
          <w:tab/>
        </w:r>
        <w:r w:rsidR="00DF77DB">
          <w:rPr>
            <w:webHidden/>
          </w:rPr>
          <w:fldChar w:fldCharType="begin"/>
        </w:r>
        <w:r w:rsidR="00DF77DB">
          <w:rPr>
            <w:webHidden/>
          </w:rPr>
          <w:instrText xml:space="preserve"> PAGEREF _Toc354561483 \h </w:instrText>
        </w:r>
        <w:r w:rsidR="00DF77DB">
          <w:rPr>
            <w:webHidden/>
          </w:rPr>
        </w:r>
        <w:r w:rsidR="00DF77DB">
          <w:rPr>
            <w:webHidden/>
          </w:rPr>
          <w:fldChar w:fldCharType="separate"/>
        </w:r>
        <w:r w:rsidR="00590FF0">
          <w:rPr>
            <w:webHidden/>
          </w:rPr>
          <w:t>108</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484" w:history="1">
        <w:r w:rsidR="00DF77DB" w:rsidRPr="000C3DAC">
          <w:rPr>
            <w:rStyle w:val="Hyperlink"/>
          </w:rPr>
          <w:t xml:space="preserve">Appendix Figure </w:t>
        </w:r>
        <w:r w:rsidR="00162079">
          <w:rPr>
            <w:rStyle w:val="Hyperlink"/>
          </w:rPr>
          <w:t>C.</w:t>
        </w:r>
        <w:r w:rsidR="00DF77DB" w:rsidRPr="000C3DAC">
          <w:rPr>
            <w:rStyle w:val="Hyperlink"/>
          </w:rPr>
          <w:t>11. 2050 sea-level rise (+0.3 m) combined with tropical storm tide inundation.</w:t>
        </w:r>
        <w:r w:rsidR="00DF77DB">
          <w:rPr>
            <w:webHidden/>
          </w:rPr>
          <w:tab/>
        </w:r>
        <w:r w:rsidR="00DF77DB">
          <w:rPr>
            <w:webHidden/>
          </w:rPr>
          <w:fldChar w:fldCharType="begin"/>
        </w:r>
        <w:r w:rsidR="00DF77DB">
          <w:rPr>
            <w:webHidden/>
          </w:rPr>
          <w:instrText xml:space="preserve"> PAGEREF _Toc354561484 \h </w:instrText>
        </w:r>
        <w:r w:rsidR="00DF77DB">
          <w:rPr>
            <w:webHidden/>
          </w:rPr>
        </w:r>
        <w:r w:rsidR="00DF77DB">
          <w:rPr>
            <w:webHidden/>
          </w:rPr>
          <w:fldChar w:fldCharType="separate"/>
        </w:r>
        <w:r w:rsidR="00590FF0">
          <w:rPr>
            <w:webHidden/>
          </w:rPr>
          <w:t>108</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485" w:history="1">
        <w:r w:rsidR="00DF77DB" w:rsidRPr="000C3DAC">
          <w:rPr>
            <w:rStyle w:val="Hyperlink"/>
          </w:rPr>
          <w:t xml:space="preserve">Appendix Figure </w:t>
        </w:r>
        <w:r w:rsidR="00162079">
          <w:rPr>
            <w:rStyle w:val="Hyperlink"/>
          </w:rPr>
          <w:t>C.</w:t>
        </w:r>
        <w:r w:rsidR="00DF77DB" w:rsidRPr="000C3DAC">
          <w:rPr>
            <w:rStyle w:val="Hyperlink"/>
          </w:rPr>
          <w:t>12. 2070 sea-level rise (+0.5 m) combined with extra-tropical storm tide inundation.</w:t>
        </w:r>
        <w:r w:rsidR="00DF77DB">
          <w:rPr>
            <w:webHidden/>
          </w:rPr>
          <w:tab/>
        </w:r>
        <w:r w:rsidR="00DF77DB">
          <w:rPr>
            <w:webHidden/>
          </w:rPr>
          <w:fldChar w:fldCharType="begin"/>
        </w:r>
        <w:r w:rsidR="00DF77DB">
          <w:rPr>
            <w:webHidden/>
          </w:rPr>
          <w:instrText xml:space="preserve"> PAGEREF _Toc354561485 \h </w:instrText>
        </w:r>
        <w:r w:rsidR="00DF77DB">
          <w:rPr>
            <w:webHidden/>
          </w:rPr>
        </w:r>
        <w:r w:rsidR="00DF77DB">
          <w:rPr>
            <w:webHidden/>
          </w:rPr>
          <w:fldChar w:fldCharType="separate"/>
        </w:r>
        <w:r w:rsidR="00590FF0">
          <w:rPr>
            <w:webHidden/>
          </w:rPr>
          <w:t>109</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486" w:history="1">
        <w:r w:rsidR="00DF77DB" w:rsidRPr="000C3DAC">
          <w:rPr>
            <w:rStyle w:val="Hyperlink"/>
          </w:rPr>
          <w:t xml:space="preserve">Appendix Figure </w:t>
        </w:r>
        <w:r w:rsidR="00162079">
          <w:rPr>
            <w:rStyle w:val="Hyperlink"/>
          </w:rPr>
          <w:t>C.</w:t>
        </w:r>
        <w:r w:rsidR="00DF77DB" w:rsidRPr="000C3DAC">
          <w:rPr>
            <w:rStyle w:val="Hyperlink"/>
          </w:rPr>
          <w:t>13. 2070 sea-level rise (+0.5 m) combined with tropical storm tide inundation.</w:t>
        </w:r>
        <w:r w:rsidR="00DF77DB">
          <w:rPr>
            <w:webHidden/>
          </w:rPr>
          <w:tab/>
        </w:r>
        <w:r w:rsidR="00DF77DB">
          <w:rPr>
            <w:webHidden/>
          </w:rPr>
          <w:fldChar w:fldCharType="begin"/>
        </w:r>
        <w:r w:rsidR="00DF77DB">
          <w:rPr>
            <w:webHidden/>
          </w:rPr>
          <w:instrText xml:space="preserve"> PAGEREF _Toc354561486 \h </w:instrText>
        </w:r>
        <w:r w:rsidR="00DF77DB">
          <w:rPr>
            <w:webHidden/>
          </w:rPr>
        </w:r>
        <w:r w:rsidR="00DF77DB">
          <w:rPr>
            <w:webHidden/>
          </w:rPr>
          <w:fldChar w:fldCharType="separate"/>
        </w:r>
        <w:r w:rsidR="00590FF0">
          <w:rPr>
            <w:webHidden/>
          </w:rPr>
          <w:t>109</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487" w:history="1">
        <w:r w:rsidR="00DF77DB" w:rsidRPr="000C3DAC">
          <w:rPr>
            <w:rStyle w:val="Hyperlink"/>
          </w:rPr>
          <w:t xml:space="preserve">Appendix Figure </w:t>
        </w:r>
        <w:r w:rsidR="00162079">
          <w:rPr>
            <w:rStyle w:val="Hyperlink"/>
          </w:rPr>
          <w:t>C.</w:t>
        </w:r>
        <w:r w:rsidR="00DF77DB" w:rsidRPr="000C3DAC">
          <w:rPr>
            <w:rStyle w:val="Hyperlink"/>
          </w:rPr>
          <w:t>14. 2100 sea-level rise (+0.8 m) combined with extra-tropical storm tide inundation.</w:t>
        </w:r>
        <w:r w:rsidR="00DF77DB">
          <w:rPr>
            <w:webHidden/>
          </w:rPr>
          <w:tab/>
        </w:r>
        <w:r w:rsidR="00DF77DB">
          <w:rPr>
            <w:webHidden/>
          </w:rPr>
          <w:fldChar w:fldCharType="begin"/>
        </w:r>
        <w:r w:rsidR="00DF77DB">
          <w:rPr>
            <w:webHidden/>
          </w:rPr>
          <w:instrText xml:space="preserve"> PAGEREF _Toc354561487 \h </w:instrText>
        </w:r>
        <w:r w:rsidR="00DF77DB">
          <w:rPr>
            <w:webHidden/>
          </w:rPr>
        </w:r>
        <w:r w:rsidR="00DF77DB">
          <w:rPr>
            <w:webHidden/>
          </w:rPr>
          <w:fldChar w:fldCharType="separate"/>
        </w:r>
        <w:r w:rsidR="00590FF0">
          <w:rPr>
            <w:webHidden/>
          </w:rPr>
          <w:t>110</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488" w:history="1">
        <w:r w:rsidR="00DF77DB" w:rsidRPr="000C3DAC">
          <w:rPr>
            <w:rStyle w:val="Hyperlink"/>
          </w:rPr>
          <w:t xml:space="preserve">Appendix Figure </w:t>
        </w:r>
        <w:r w:rsidR="00162079">
          <w:rPr>
            <w:rStyle w:val="Hyperlink"/>
          </w:rPr>
          <w:t>C.</w:t>
        </w:r>
        <w:r w:rsidR="00DF77DB" w:rsidRPr="000C3DAC">
          <w:rPr>
            <w:rStyle w:val="Hyperlink"/>
          </w:rPr>
          <w:t>15. 2100 sea-level rise (+0.8 m) combined with tropical storm tide inundation.</w:t>
        </w:r>
        <w:r w:rsidR="00DF77DB">
          <w:rPr>
            <w:webHidden/>
          </w:rPr>
          <w:tab/>
        </w:r>
        <w:r w:rsidR="00DF77DB">
          <w:rPr>
            <w:webHidden/>
          </w:rPr>
          <w:fldChar w:fldCharType="begin"/>
        </w:r>
        <w:r w:rsidR="00DF77DB">
          <w:rPr>
            <w:webHidden/>
          </w:rPr>
          <w:instrText xml:space="preserve"> PAGEREF _Toc354561488 \h </w:instrText>
        </w:r>
        <w:r w:rsidR="00DF77DB">
          <w:rPr>
            <w:webHidden/>
          </w:rPr>
        </w:r>
        <w:r w:rsidR="00DF77DB">
          <w:rPr>
            <w:webHidden/>
          </w:rPr>
          <w:fldChar w:fldCharType="separate"/>
        </w:r>
        <w:r w:rsidR="00590FF0">
          <w:rPr>
            <w:webHidden/>
          </w:rPr>
          <w:t>110</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489" w:history="1">
        <w:r w:rsidR="00DF77DB" w:rsidRPr="000C3DAC">
          <w:rPr>
            <w:rStyle w:val="Hyperlink"/>
          </w:rPr>
          <w:t xml:space="preserve">Appendix Figure </w:t>
        </w:r>
        <w:r w:rsidR="00162079">
          <w:rPr>
            <w:rStyle w:val="Hyperlink"/>
          </w:rPr>
          <w:t>C.</w:t>
        </w:r>
        <w:r w:rsidR="00DF77DB" w:rsidRPr="000C3DAC">
          <w:rPr>
            <w:rStyle w:val="Hyperlink"/>
          </w:rPr>
          <w:t>16. 2100 sea-level rise (+1.1 m) combined with extra-tropical storm tide inundation.</w:t>
        </w:r>
        <w:r w:rsidR="00DF77DB">
          <w:rPr>
            <w:webHidden/>
          </w:rPr>
          <w:tab/>
        </w:r>
        <w:r w:rsidR="00DF77DB">
          <w:rPr>
            <w:webHidden/>
          </w:rPr>
          <w:fldChar w:fldCharType="begin"/>
        </w:r>
        <w:r w:rsidR="00DF77DB">
          <w:rPr>
            <w:webHidden/>
          </w:rPr>
          <w:instrText xml:space="preserve"> PAGEREF _Toc354561489 \h </w:instrText>
        </w:r>
        <w:r w:rsidR="00DF77DB">
          <w:rPr>
            <w:webHidden/>
          </w:rPr>
        </w:r>
        <w:r w:rsidR="00DF77DB">
          <w:rPr>
            <w:webHidden/>
          </w:rPr>
          <w:fldChar w:fldCharType="separate"/>
        </w:r>
        <w:r w:rsidR="00590FF0">
          <w:rPr>
            <w:webHidden/>
          </w:rPr>
          <w:t>111</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490" w:history="1">
        <w:r w:rsidR="00DF77DB" w:rsidRPr="000C3DAC">
          <w:rPr>
            <w:rStyle w:val="Hyperlink"/>
          </w:rPr>
          <w:t xml:space="preserve">Appendix Figure </w:t>
        </w:r>
        <w:r w:rsidR="00162079">
          <w:rPr>
            <w:rStyle w:val="Hyperlink"/>
          </w:rPr>
          <w:t>C.</w:t>
        </w:r>
        <w:r w:rsidR="00DF77DB" w:rsidRPr="000C3DAC">
          <w:rPr>
            <w:rStyle w:val="Hyperlink"/>
          </w:rPr>
          <w:t>17. 2100 sea-level rise (+1.1 m) combined with tropical storm tide inundation.</w:t>
        </w:r>
        <w:r w:rsidR="00DF77DB">
          <w:rPr>
            <w:webHidden/>
          </w:rPr>
          <w:tab/>
        </w:r>
        <w:r w:rsidR="00DF77DB">
          <w:rPr>
            <w:webHidden/>
          </w:rPr>
          <w:fldChar w:fldCharType="begin"/>
        </w:r>
        <w:r w:rsidR="00DF77DB">
          <w:rPr>
            <w:webHidden/>
          </w:rPr>
          <w:instrText xml:space="preserve"> PAGEREF _Toc354561490 \h </w:instrText>
        </w:r>
        <w:r w:rsidR="00DF77DB">
          <w:rPr>
            <w:webHidden/>
          </w:rPr>
        </w:r>
        <w:r w:rsidR="00DF77DB">
          <w:rPr>
            <w:webHidden/>
          </w:rPr>
          <w:fldChar w:fldCharType="separate"/>
        </w:r>
        <w:r w:rsidR="00590FF0">
          <w:rPr>
            <w:webHidden/>
          </w:rPr>
          <w:t>111</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491" w:history="1">
        <w:r w:rsidR="00DF77DB" w:rsidRPr="000C3DAC">
          <w:rPr>
            <w:rStyle w:val="Hyperlink"/>
          </w:rPr>
          <w:t xml:space="preserve">Appendix Figure </w:t>
        </w:r>
        <w:r w:rsidR="00162079">
          <w:rPr>
            <w:rStyle w:val="Hyperlink"/>
          </w:rPr>
          <w:t>C.</w:t>
        </w:r>
        <w:r w:rsidR="00DF77DB" w:rsidRPr="000C3DAC">
          <w:rPr>
            <w:rStyle w:val="Hyperlink"/>
          </w:rPr>
          <w:t>18. Current-climate storm tide inundation area (tropical and extra-tropical). Area is plotted against the primary Y-axis and inundation height is plotted against the secondary Y-axis.</w:t>
        </w:r>
        <w:r w:rsidR="00DF77DB">
          <w:rPr>
            <w:webHidden/>
          </w:rPr>
          <w:tab/>
        </w:r>
        <w:r w:rsidR="00DF77DB">
          <w:rPr>
            <w:webHidden/>
          </w:rPr>
          <w:fldChar w:fldCharType="begin"/>
        </w:r>
        <w:r w:rsidR="00DF77DB">
          <w:rPr>
            <w:webHidden/>
          </w:rPr>
          <w:instrText xml:space="preserve"> PAGEREF _Toc354561491 \h </w:instrText>
        </w:r>
        <w:r w:rsidR="00DF77DB">
          <w:rPr>
            <w:webHidden/>
          </w:rPr>
        </w:r>
        <w:r w:rsidR="00DF77DB">
          <w:rPr>
            <w:webHidden/>
          </w:rPr>
          <w:fldChar w:fldCharType="separate"/>
        </w:r>
        <w:r w:rsidR="00590FF0">
          <w:rPr>
            <w:webHidden/>
          </w:rPr>
          <w:t>112</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492" w:history="1">
        <w:r w:rsidR="00DF77DB" w:rsidRPr="000C3DAC">
          <w:rPr>
            <w:rStyle w:val="Hyperlink"/>
          </w:rPr>
          <w:t xml:space="preserve">Appendix Figure </w:t>
        </w:r>
        <w:r w:rsidR="00162079">
          <w:rPr>
            <w:rStyle w:val="Hyperlink"/>
          </w:rPr>
          <w:t>C.</w:t>
        </w:r>
        <w:r w:rsidR="00DF77DB" w:rsidRPr="000C3DAC">
          <w:rPr>
            <w:rStyle w:val="Hyperlink"/>
          </w:rPr>
          <w:t>19. Area inundation extent comparison. The vertical black line shows the percentage range of increase.</w:t>
        </w:r>
        <w:r w:rsidR="00DF77DB">
          <w:rPr>
            <w:webHidden/>
          </w:rPr>
          <w:tab/>
        </w:r>
        <w:r w:rsidR="00DF77DB">
          <w:rPr>
            <w:webHidden/>
          </w:rPr>
          <w:fldChar w:fldCharType="begin"/>
        </w:r>
        <w:r w:rsidR="00DF77DB">
          <w:rPr>
            <w:webHidden/>
          </w:rPr>
          <w:instrText xml:space="preserve"> PAGEREF _Toc354561492 \h </w:instrText>
        </w:r>
        <w:r w:rsidR="00DF77DB">
          <w:rPr>
            <w:webHidden/>
          </w:rPr>
        </w:r>
        <w:r w:rsidR="00DF77DB">
          <w:rPr>
            <w:webHidden/>
          </w:rPr>
          <w:fldChar w:fldCharType="separate"/>
        </w:r>
        <w:r w:rsidR="00590FF0">
          <w:rPr>
            <w:webHidden/>
          </w:rPr>
          <w:t>115</w:t>
        </w:r>
        <w:r w:rsidR="00DF77DB">
          <w:rPr>
            <w:webHidden/>
          </w:rPr>
          <w:fldChar w:fldCharType="end"/>
        </w:r>
      </w:hyperlink>
    </w:p>
    <w:p w:rsidR="008237BB" w:rsidRDefault="000369DE" w:rsidP="00462463">
      <w:pPr>
        <w:pStyle w:val="HeadingApxnonumbers"/>
      </w:pPr>
      <w:r>
        <w:fldChar w:fldCharType="end"/>
      </w:r>
      <w:bookmarkStart w:id="3866" w:name="_Toc349116989"/>
      <w:bookmarkStart w:id="3867" w:name="_Toc350330077"/>
      <w:bookmarkStart w:id="3868" w:name="_Toc350344056"/>
      <w:bookmarkStart w:id="3869" w:name="_Toc354494521"/>
      <w:bookmarkStart w:id="3870" w:name="_Toc354494732"/>
      <w:bookmarkStart w:id="3871" w:name="_Toc354495026"/>
      <w:bookmarkStart w:id="3872" w:name="_Toc354497908"/>
      <w:bookmarkStart w:id="3873" w:name="_Toc354561321"/>
      <w:bookmarkStart w:id="3874" w:name="_Toc355164231"/>
      <w:bookmarkStart w:id="3875" w:name="_Toc355249662"/>
      <w:r w:rsidR="008237BB">
        <w:t>Tables</w:t>
      </w:r>
      <w:bookmarkEnd w:id="3866"/>
      <w:bookmarkEnd w:id="3867"/>
      <w:bookmarkEnd w:id="3868"/>
      <w:bookmarkEnd w:id="3869"/>
      <w:bookmarkEnd w:id="3870"/>
      <w:bookmarkEnd w:id="3871"/>
      <w:bookmarkEnd w:id="3872"/>
      <w:bookmarkEnd w:id="3873"/>
      <w:bookmarkEnd w:id="3874"/>
      <w:bookmarkEnd w:id="3875"/>
    </w:p>
    <w:bookmarkStart w:id="3876" w:name="_Toc346632576"/>
    <w:bookmarkStart w:id="3877" w:name="_Toc346632794"/>
    <w:bookmarkStart w:id="3878" w:name="_Toc346632906"/>
    <w:bookmarkStart w:id="3879" w:name="_Toc346633130"/>
    <w:bookmarkStart w:id="3880" w:name="_Toc346633242"/>
    <w:bookmarkStart w:id="3881" w:name="_Toc347401675"/>
    <w:bookmarkStart w:id="3882" w:name="_Toc347401787"/>
    <w:bookmarkStart w:id="3883" w:name="_Toc347402011"/>
    <w:bookmarkStart w:id="3884" w:name="_Toc347402123"/>
    <w:bookmarkStart w:id="3885" w:name="_Toc347402511"/>
    <w:bookmarkStart w:id="3886" w:name="_Toc349055083"/>
    <w:bookmarkStart w:id="3887" w:name="_Toc349055303"/>
    <w:bookmarkStart w:id="3888" w:name="_Toc349055416"/>
    <w:bookmarkStart w:id="3889" w:name="_Toc349055642"/>
    <w:bookmarkStart w:id="3890" w:name="_Toc349055755"/>
    <w:bookmarkStart w:id="3891" w:name="_Toc349116990"/>
    <w:bookmarkStart w:id="3892" w:name="_Toc350330078"/>
    <w:bookmarkStart w:id="3893" w:name="_Toc350344057"/>
    <w:bookmarkStart w:id="3894" w:name="_Toc354402045"/>
    <w:bookmarkStart w:id="3895" w:name="_Toc354404076"/>
    <w:bookmarkStart w:id="3896" w:name="_Toc354476542"/>
    <w:bookmarkStart w:id="3897" w:name="_Toc354492771"/>
    <w:bookmarkStart w:id="3898" w:name="_Toc354492900"/>
    <w:bookmarkStart w:id="3899" w:name="_Toc354493018"/>
    <w:bookmarkStart w:id="3900" w:name="_Toc354493149"/>
    <w:bookmarkStart w:id="3901" w:name="_Toc354493310"/>
    <w:bookmarkStart w:id="3902" w:name="_Toc354494522"/>
    <w:bookmarkStart w:id="3903" w:name="_Toc354494733"/>
    <w:bookmarkStart w:id="3904" w:name="_Toc354495027"/>
    <w:bookmarkStart w:id="3905" w:name="_Toc354497909"/>
    <w:bookmarkStart w:id="3906" w:name="_Toc354561322"/>
    <w:p w:rsidR="00C54BDF" w:rsidRDefault="00AD6E08" w:rsidP="00C54BDF">
      <w:pPr>
        <w:pStyle w:val="TableofFigures"/>
        <w:rPr>
          <w:rFonts w:asciiTheme="minorHAnsi" w:eastAsiaTheme="minorEastAsia" w:hAnsiTheme="minorHAnsi" w:cstheme="minorBidi"/>
          <w:sz w:val="22"/>
          <w:szCs w:val="22"/>
        </w:rPr>
      </w:pPr>
      <w:r>
        <w:fldChar w:fldCharType="begin"/>
      </w:r>
      <w:r>
        <w:instrText xml:space="preserve"> TOC \h \z \c "Appendix Table" </w:instrText>
      </w:r>
      <w:r>
        <w:fldChar w:fldCharType="separate"/>
      </w:r>
    </w:p>
    <w:p w:rsidR="00C54BDF" w:rsidRDefault="007F11CF">
      <w:pPr>
        <w:pStyle w:val="TableofFigures"/>
        <w:rPr>
          <w:rFonts w:asciiTheme="minorHAnsi" w:eastAsiaTheme="minorEastAsia" w:hAnsiTheme="minorHAnsi" w:cstheme="minorBidi"/>
          <w:sz w:val="22"/>
          <w:szCs w:val="22"/>
        </w:rPr>
      </w:pPr>
      <w:hyperlink w:anchor="_Toc355249462" w:history="1">
        <w:r w:rsidR="00C54BDF" w:rsidRPr="001B0290">
          <w:rPr>
            <w:rStyle w:val="Hyperlink"/>
          </w:rPr>
          <w:t xml:space="preserve">Appendix Table </w:t>
        </w:r>
        <w:r w:rsidR="00162079">
          <w:rPr>
            <w:rStyle w:val="Hyperlink"/>
          </w:rPr>
          <w:t>C.</w:t>
        </w:r>
        <w:r w:rsidR="00C54BDF" w:rsidRPr="001B0290">
          <w:rPr>
            <w:rStyle w:val="Hyperlink"/>
          </w:rPr>
          <w:t>1. Mean storm tide inundation water heights (m above AHD)</w:t>
        </w:r>
        <w:r w:rsidR="00C54BDF">
          <w:rPr>
            <w:webHidden/>
          </w:rPr>
          <w:tab/>
        </w:r>
        <w:r w:rsidR="00C54BDF">
          <w:rPr>
            <w:webHidden/>
          </w:rPr>
          <w:fldChar w:fldCharType="begin"/>
        </w:r>
        <w:r w:rsidR="00C54BDF">
          <w:rPr>
            <w:webHidden/>
          </w:rPr>
          <w:instrText xml:space="preserve"> PAGEREF _Toc355249462 \h </w:instrText>
        </w:r>
        <w:r w:rsidR="00C54BDF">
          <w:rPr>
            <w:webHidden/>
          </w:rPr>
        </w:r>
        <w:r w:rsidR="00C54BDF">
          <w:rPr>
            <w:webHidden/>
          </w:rPr>
          <w:fldChar w:fldCharType="separate"/>
        </w:r>
        <w:r w:rsidR="00413858">
          <w:rPr>
            <w:webHidden/>
          </w:rPr>
          <w:t>105</w:t>
        </w:r>
        <w:r w:rsidR="00C54BDF">
          <w:rPr>
            <w:webHidden/>
          </w:rPr>
          <w:fldChar w:fldCharType="end"/>
        </w:r>
      </w:hyperlink>
    </w:p>
    <w:p w:rsidR="00C54BDF" w:rsidRDefault="007F11CF">
      <w:pPr>
        <w:pStyle w:val="TableofFigures"/>
        <w:rPr>
          <w:rStyle w:val="Hyperlink"/>
        </w:rPr>
      </w:pPr>
      <w:hyperlink w:anchor="_Toc355249463" w:history="1">
        <w:r w:rsidR="00C54BDF" w:rsidRPr="001B0290">
          <w:rPr>
            <w:rStyle w:val="Hyperlink"/>
          </w:rPr>
          <w:t xml:space="preserve">Appendix Table </w:t>
        </w:r>
        <w:r w:rsidR="00162079">
          <w:rPr>
            <w:rStyle w:val="Hyperlink"/>
          </w:rPr>
          <w:t>C.</w:t>
        </w:r>
        <w:r w:rsidR="00C54BDF" w:rsidRPr="001B0290">
          <w:rPr>
            <w:rStyle w:val="Hyperlink"/>
          </w:rPr>
          <w:t>2. Storm tide plus sea-level rise scenario water heights (m AHD).</w:t>
        </w:r>
        <w:r w:rsidR="00C54BDF">
          <w:rPr>
            <w:webHidden/>
          </w:rPr>
          <w:tab/>
        </w:r>
        <w:r w:rsidR="00C54BDF">
          <w:rPr>
            <w:webHidden/>
          </w:rPr>
          <w:fldChar w:fldCharType="begin"/>
        </w:r>
        <w:r w:rsidR="00C54BDF">
          <w:rPr>
            <w:webHidden/>
          </w:rPr>
          <w:instrText xml:space="preserve"> PAGEREF _Toc355249463 \h </w:instrText>
        </w:r>
        <w:r w:rsidR="00C54BDF">
          <w:rPr>
            <w:webHidden/>
          </w:rPr>
        </w:r>
        <w:r w:rsidR="00C54BDF">
          <w:rPr>
            <w:webHidden/>
          </w:rPr>
          <w:fldChar w:fldCharType="separate"/>
        </w:r>
        <w:r w:rsidR="00413858">
          <w:rPr>
            <w:webHidden/>
          </w:rPr>
          <w:t>106</w:t>
        </w:r>
        <w:r w:rsidR="00C54BDF">
          <w:rPr>
            <w:webHidden/>
          </w:rPr>
          <w:fldChar w:fldCharType="end"/>
        </w:r>
      </w:hyperlink>
    </w:p>
    <w:p w:rsidR="008237BB" w:rsidRDefault="00C54BDF" w:rsidP="00C54BDF">
      <w:pPr>
        <w:pStyle w:val="Headingappendix2"/>
      </w:pPr>
      <w:r>
        <w:rPr>
          <w:rStyle w:val="Hyperlink"/>
          <w:noProof/>
        </w:rPr>
        <w:br w:type="page"/>
      </w:r>
      <w:r w:rsidR="00AD6E08">
        <w:rPr>
          <w:rFonts w:cs="Arial"/>
          <w:noProof/>
          <w:sz w:val="20"/>
          <w:szCs w:val="20"/>
        </w:rPr>
        <w:lastRenderedPageBreak/>
        <w:fldChar w:fldCharType="end"/>
      </w:r>
      <w:bookmarkStart w:id="3907" w:name="_Toc355164232"/>
      <w:bookmarkStart w:id="3908" w:name="_Toc355249663"/>
      <w:r w:rsidR="00AD6E08">
        <w:t>M</w:t>
      </w:r>
      <w:r w:rsidR="008237BB">
        <w:t>ethod</w:t>
      </w:r>
      <w:bookmarkEnd w:id="3856"/>
      <w:bookmarkEnd w:id="3857"/>
      <w:bookmarkEnd w:id="3858"/>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p>
    <w:p w:rsidR="008237BB" w:rsidRPr="009754CA" w:rsidRDefault="008237BB" w:rsidP="00935848">
      <w:pPr>
        <w:pStyle w:val="Headingappendix3"/>
      </w:pPr>
      <w:bookmarkStart w:id="3909" w:name="_Toc341445284"/>
      <w:bookmarkStart w:id="3910" w:name="_Toc342638514"/>
      <w:bookmarkStart w:id="3911" w:name="_Toc346261015"/>
      <w:bookmarkStart w:id="3912" w:name="_Toc346632577"/>
      <w:bookmarkStart w:id="3913" w:name="_Toc346632795"/>
      <w:bookmarkStart w:id="3914" w:name="_Toc346632907"/>
      <w:bookmarkStart w:id="3915" w:name="_Toc346633131"/>
      <w:bookmarkStart w:id="3916" w:name="_Toc346633243"/>
      <w:bookmarkStart w:id="3917" w:name="_Toc347401676"/>
      <w:bookmarkStart w:id="3918" w:name="_Toc347401788"/>
      <w:bookmarkStart w:id="3919" w:name="_Toc347402012"/>
      <w:bookmarkStart w:id="3920" w:name="_Toc347402124"/>
      <w:bookmarkStart w:id="3921" w:name="_Toc347402512"/>
      <w:bookmarkStart w:id="3922" w:name="_Toc349055084"/>
      <w:bookmarkStart w:id="3923" w:name="_Toc349055304"/>
      <w:bookmarkStart w:id="3924" w:name="_Toc349055417"/>
      <w:bookmarkStart w:id="3925" w:name="_Toc349055643"/>
      <w:bookmarkStart w:id="3926" w:name="_Toc349055756"/>
      <w:bookmarkStart w:id="3927" w:name="_Toc349116991"/>
      <w:bookmarkStart w:id="3928" w:name="_Toc350330079"/>
      <w:bookmarkStart w:id="3929" w:name="_Toc350344058"/>
      <w:bookmarkStart w:id="3930" w:name="_Toc354402046"/>
      <w:bookmarkStart w:id="3931" w:name="_Toc354476543"/>
      <w:bookmarkStart w:id="3932" w:name="_Toc354492772"/>
      <w:bookmarkStart w:id="3933" w:name="_Toc354492901"/>
      <w:bookmarkStart w:id="3934" w:name="_Toc354493019"/>
      <w:bookmarkStart w:id="3935" w:name="_Toc354493150"/>
      <w:bookmarkStart w:id="3936" w:name="_Toc354493311"/>
      <w:bookmarkStart w:id="3937" w:name="_Toc354494523"/>
      <w:bookmarkStart w:id="3938" w:name="_Toc354494734"/>
      <w:bookmarkStart w:id="3939" w:name="_Toc354495028"/>
      <w:bookmarkStart w:id="3940" w:name="_Toc354497910"/>
      <w:bookmarkStart w:id="3941" w:name="_Toc354561323"/>
      <w:bookmarkStart w:id="3942" w:name="_Toc355164233"/>
      <w:bookmarkStart w:id="3943" w:name="_Toc355249664"/>
      <w:r>
        <w:t>Current Climate</w:t>
      </w:r>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p>
    <w:p w:rsidR="008237BB" w:rsidRDefault="008237BB" w:rsidP="009340CE">
      <w:pPr>
        <w:pStyle w:val="Headingappendix4"/>
      </w:pPr>
      <w:bookmarkStart w:id="3944" w:name="_Toc341445285"/>
      <w:bookmarkStart w:id="3945" w:name="_Toc342638515"/>
      <w:bookmarkStart w:id="3946" w:name="_Toc346261016"/>
      <w:bookmarkStart w:id="3947" w:name="_Toc346632578"/>
      <w:bookmarkStart w:id="3948" w:name="_Toc347402513"/>
      <w:bookmarkStart w:id="3949" w:name="_Toc349055085"/>
      <w:bookmarkStart w:id="3950" w:name="_Toc349116992"/>
      <w:bookmarkStart w:id="3951" w:name="_Toc354402047"/>
      <w:bookmarkStart w:id="3952" w:name="_Toc354476544"/>
      <w:bookmarkStart w:id="3953" w:name="_Toc354492773"/>
      <w:bookmarkStart w:id="3954" w:name="_Toc354493020"/>
      <w:bookmarkStart w:id="3955" w:name="_Toc354493151"/>
      <w:bookmarkStart w:id="3956" w:name="_Toc354493312"/>
      <w:bookmarkStart w:id="3957" w:name="_Toc355164234"/>
      <w:r>
        <w:t>Storm tide modelling</w:t>
      </w:r>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p>
    <w:p w:rsidR="002F691C" w:rsidRDefault="008237BB" w:rsidP="008237BB">
      <w:pPr>
        <w:pStyle w:val="BodyText"/>
      </w:pPr>
      <w:r w:rsidRPr="00DB0AB3">
        <w:t xml:space="preserve">The </w:t>
      </w:r>
      <w:r>
        <w:t>storm tide</w:t>
      </w:r>
      <w:r w:rsidRPr="00DB0AB3">
        <w:t xml:space="preserve"> data was sourced from the National Storm Tide Database</w:t>
      </w:r>
      <w:r>
        <w:t xml:space="preserve"> </w:t>
      </w:r>
      <w:r w:rsidRPr="00DB0AB3">
        <w:t>which</w:t>
      </w:r>
      <w:r>
        <w:t>, at the time of this study, was</w:t>
      </w:r>
      <w:r w:rsidRPr="00DB0AB3">
        <w:t xml:space="preserve"> being developed by the University of Western Australia</w:t>
      </w:r>
      <w:r>
        <w:t xml:space="preserve"> as part of the Haigh </w:t>
      </w:r>
      <w:r w:rsidRPr="007B6C0C">
        <w:rPr>
          <w:rStyle w:val="Bodytextitalic"/>
        </w:rPr>
        <w:t>et al.</w:t>
      </w:r>
      <w:r>
        <w:t xml:space="preserve"> (2012) study for t</w:t>
      </w:r>
      <w:r w:rsidRPr="009E3881">
        <w:t xml:space="preserve">he </w:t>
      </w:r>
      <w:r>
        <w:t>ACE CRC. The aim of this study was to estimate present day extreme total water level exceedance probabilities for Australia’s coastline. The extreme water level considered was a combination of MSL, astronomical tide and storm surge generated by both extra-tropical and tropical storm events. The modelling did not include the effects of wave setup or run-up and due to the coarse modelling grid, 10 km, the resulting ARI water heights are suited to the application at the open coast and not within estuaries (Haigh, pers comm.). The hydrodynamic model was forced with global tidal model and global meteorological fields, validated against 30 tide gauges with long records. The nearest validation gauges to Rockhampton were Mackay and Bundaberg, each being in the order of 300 km to the north and south respectively of Rockhampton.</w:t>
      </w:r>
    </w:p>
    <w:p w:rsidR="008237BB" w:rsidRDefault="008237BB" w:rsidP="008237BB">
      <w:pPr>
        <w:pStyle w:val="BodyText"/>
      </w:pPr>
      <w:r w:rsidRPr="00DB0AB3">
        <w:t>The</w:t>
      </w:r>
      <w:r>
        <w:t xml:space="preserve"> model results </w:t>
      </w:r>
      <w:r w:rsidRPr="00DB0AB3">
        <w:t>consist of</w:t>
      </w:r>
      <w:r>
        <w:t xml:space="preserve"> </w:t>
      </w:r>
      <w:r w:rsidRPr="00DB0AB3">
        <w:t>points adjacent to the coastline</w:t>
      </w:r>
      <w:r>
        <w:t xml:space="preserve"> (231 in the LGA and 45 in the study area)</w:t>
      </w:r>
      <w:r w:rsidRPr="00DB0AB3">
        <w:t xml:space="preserve"> with attributes</w:t>
      </w:r>
      <w:r>
        <w:t xml:space="preserve"> at each point</w:t>
      </w:r>
      <w:r w:rsidRPr="00DB0AB3">
        <w:t xml:space="preserve"> defining </w:t>
      </w:r>
      <w:r>
        <w:t>storm</w:t>
      </w:r>
      <w:r>
        <w:noBreakHyphen/>
        <w:t>tide</w:t>
      </w:r>
      <w:r w:rsidRPr="00DB0AB3">
        <w:t xml:space="preserve"> water level</w:t>
      </w:r>
      <w:r>
        <w:t xml:space="preserve"> </w:t>
      </w:r>
      <w:r w:rsidRPr="00DB0AB3">
        <w:t>heights (</w:t>
      </w:r>
      <w:r>
        <w:t>MSL</w:t>
      </w:r>
      <w:r w:rsidRPr="00DB0AB3">
        <w:t xml:space="preserve"> + tide + surge) for </w:t>
      </w:r>
      <w:r>
        <w:t>ARIs from 0.1 through to 10 </w:t>
      </w:r>
      <w:r w:rsidRPr="00DB0AB3">
        <w:t>000</w:t>
      </w:r>
      <w:r>
        <w:t xml:space="preserve"> </w:t>
      </w:r>
      <w:r w:rsidRPr="00DB0AB3">
        <w:t xml:space="preserve">years. Data </w:t>
      </w:r>
      <w:r>
        <w:t>was provided for extra</w:t>
      </w:r>
      <w:r>
        <w:noBreakHyphen/>
      </w:r>
      <w:r w:rsidRPr="00DB0AB3">
        <w:t>tropical and tropical storm events.</w:t>
      </w:r>
      <w:r>
        <w:t xml:space="preserve"> The points on the </w:t>
      </w:r>
      <w:r w:rsidRPr="005C26CA">
        <w:t>Rockhampton Regional Council</w:t>
      </w:r>
      <w:r>
        <w:t xml:space="preserve"> LGA coastline are shown in </w:t>
      </w:r>
      <w:r>
        <w:fldChar w:fldCharType="begin"/>
      </w:r>
      <w:r>
        <w:instrText xml:space="preserve"> REF _Ref350339176 \h </w:instrText>
      </w:r>
      <w:r>
        <w:fldChar w:fldCharType="separate"/>
      </w:r>
      <w:r w:rsidR="00413858">
        <w:t xml:space="preserve">Appendix Figure </w:t>
      </w:r>
      <w:r w:rsidR="00413858">
        <w:rPr>
          <w:noProof/>
        </w:rPr>
        <w:t>C</w:t>
      </w:r>
      <w:r w:rsidR="00413858">
        <w:t>.</w:t>
      </w:r>
      <w:r w:rsidR="00413858">
        <w:rPr>
          <w:noProof/>
        </w:rPr>
        <w:t>1</w:t>
      </w:r>
      <w:r>
        <w:fldChar w:fldCharType="end"/>
      </w:r>
      <w:r>
        <w:t>.</w:t>
      </w:r>
    </w:p>
    <w:p w:rsidR="002F691C" w:rsidRDefault="008237BB" w:rsidP="008237BB">
      <w:pPr>
        <w:pStyle w:val="BodyText"/>
      </w:pPr>
      <w:r w:rsidRPr="00DB0AB3">
        <w:t>The national</w:t>
      </w:r>
      <w:r>
        <w:t xml:space="preserve"> storm-</w:t>
      </w:r>
      <w:r w:rsidRPr="00DB0AB3">
        <w:t xml:space="preserve">tide modelling </w:t>
      </w:r>
      <w:r>
        <w:t>wa</w:t>
      </w:r>
      <w:r w:rsidRPr="00DB0AB3">
        <w:t xml:space="preserve">s </w:t>
      </w:r>
      <w:r>
        <w:t>undertaken concurrently with this study.</w:t>
      </w:r>
      <w:r w:rsidRPr="00DB0AB3">
        <w:t xml:space="preserve"> At the time of carrying out the</w:t>
      </w:r>
      <w:r>
        <w:t xml:space="preserve"> Rockhampton </w:t>
      </w:r>
      <w:r w:rsidRPr="00DB0AB3">
        <w:t>analysis the modelling was complete for the extra-tropical event</w:t>
      </w:r>
      <w:r>
        <w:t>s</w:t>
      </w:r>
      <w:r w:rsidRPr="00DB0AB3">
        <w:t>, however</w:t>
      </w:r>
      <w:r>
        <w:t xml:space="preserve"> the tropical storm tide modelling was incomplete;</w:t>
      </w:r>
      <w:r w:rsidRPr="00DB0AB3">
        <w:t xml:space="preserve"> 5000 years of</w:t>
      </w:r>
      <w:r>
        <w:t xml:space="preserve"> synthetic</w:t>
      </w:r>
      <w:r w:rsidRPr="00DB0AB3">
        <w:t xml:space="preserve"> cyclone events had been </w:t>
      </w:r>
      <w:r>
        <w:t>processed</w:t>
      </w:r>
      <w:r w:rsidRPr="00DB0AB3">
        <w:t xml:space="preserve"> with a further 5000 years </w:t>
      </w:r>
      <w:r>
        <w:t xml:space="preserve">yet to </w:t>
      </w:r>
      <w:r w:rsidRPr="00DB0AB3">
        <w:t xml:space="preserve">be </w:t>
      </w:r>
      <w:r>
        <w:t>completed</w:t>
      </w:r>
      <w:r w:rsidRPr="00DB0AB3">
        <w:t>.</w:t>
      </w:r>
    </w:p>
    <w:p w:rsidR="008237BB" w:rsidRDefault="008237BB" w:rsidP="008237BB">
      <w:pPr>
        <w:pStyle w:val="BodyText"/>
      </w:pPr>
      <w:r w:rsidRPr="00DB0AB3">
        <w:t xml:space="preserve">Due to the </w:t>
      </w:r>
      <w:r>
        <w:t xml:space="preserve">large </w:t>
      </w:r>
      <w:r w:rsidRPr="00DB0AB3">
        <w:t>number of</w:t>
      </w:r>
      <w:r>
        <w:t xml:space="preserve"> storm-tide</w:t>
      </w:r>
      <w:r w:rsidRPr="00DB0AB3">
        <w:t xml:space="preserve"> data points off the Rockhampton Regional Council coastline</w:t>
      </w:r>
      <w:r>
        <w:t>, and the difficulty in analysing and visualising all 45 inundation depths for the study area</w:t>
      </w:r>
      <w:r w:rsidRPr="00DB0AB3">
        <w:t>,</w:t>
      </w:r>
      <w:r>
        <w:t xml:space="preserve"> cluster</w:t>
      </w:r>
      <w:r w:rsidRPr="00DB0AB3">
        <w:t xml:space="preserve"> analysis was carried out to identify </w:t>
      </w:r>
      <w:r>
        <w:t>statistically similar regions</w:t>
      </w:r>
      <w:r w:rsidRPr="00DB0AB3">
        <w:t xml:space="preserve">. </w:t>
      </w:r>
      <w:r>
        <w:t>This resulted in five distinct areas being identified within the Rockhampton Regional Council LGA. Area 4 and Area 5 (</w:t>
      </w:r>
      <w:r>
        <w:fldChar w:fldCharType="begin"/>
      </w:r>
      <w:r>
        <w:instrText xml:space="preserve"> REF _Ref350339176 \h </w:instrText>
      </w:r>
      <w:r>
        <w:fldChar w:fldCharType="separate"/>
      </w:r>
      <w:r w:rsidR="00413858">
        <w:t xml:space="preserve">Appendix Figure </w:t>
      </w:r>
      <w:r w:rsidR="00413858">
        <w:rPr>
          <w:noProof/>
        </w:rPr>
        <w:t>C</w:t>
      </w:r>
      <w:r w:rsidR="00413858">
        <w:t>.</w:t>
      </w:r>
      <w:r w:rsidR="00413858">
        <w:rPr>
          <w:noProof/>
        </w:rPr>
        <w:t>1</w:t>
      </w:r>
      <w:r>
        <w:fldChar w:fldCharType="end"/>
      </w:r>
      <w:r>
        <w:t xml:space="preserve">) were within the study area; these were previously referred </w:t>
      </w:r>
      <w:r w:rsidR="00405432">
        <w:t>in the summary report (</w:t>
      </w:r>
      <w:r w:rsidR="00405432">
        <w:fldChar w:fldCharType="begin"/>
      </w:r>
      <w:r w:rsidR="00405432">
        <w:instrText xml:space="preserve"> REF _Ref355249993 \h </w:instrText>
      </w:r>
      <w:r w:rsidR="00405432">
        <w:fldChar w:fldCharType="separate"/>
      </w:r>
      <w:r w:rsidR="00413858" w:rsidRPr="009340CE">
        <w:t>Storm tide</w:t>
      </w:r>
      <w:r w:rsidR="00405432">
        <w:fldChar w:fldCharType="end"/>
      </w:r>
      <w:r w:rsidR="00405432">
        <w:t xml:space="preserve"> section p</w:t>
      </w:r>
      <w:r w:rsidR="00405432">
        <w:fldChar w:fldCharType="begin"/>
      </w:r>
      <w:r w:rsidR="00405432">
        <w:instrText xml:space="preserve"> PAGEREF _Ref355249995 \h </w:instrText>
      </w:r>
      <w:r w:rsidR="00405432">
        <w:fldChar w:fldCharType="separate"/>
      </w:r>
      <w:r w:rsidR="00413858">
        <w:rPr>
          <w:noProof/>
        </w:rPr>
        <w:t>23</w:t>
      </w:r>
      <w:r w:rsidR="00405432">
        <w:fldChar w:fldCharType="end"/>
      </w:r>
      <w:r w:rsidR="00405432">
        <w:t>)</w:t>
      </w:r>
      <w:r>
        <w:t xml:space="preserve"> as Area A and B respectively.</w:t>
      </w:r>
    </w:p>
    <w:p w:rsidR="008237BB" w:rsidRDefault="008237BB" w:rsidP="00253307">
      <w:pPr>
        <w:pStyle w:val="Figuresandimagesleft"/>
      </w:pPr>
      <w:r>
        <w:rPr>
          <w:noProof/>
        </w:rPr>
        <w:lastRenderedPageBreak/>
        <w:drawing>
          <wp:inline distT="0" distB="0" distL="0" distR="0" wp14:anchorId="3743E515" wp14:editId="42B82B86">
            <wp:extent cx="5400675" cy="3600450"/>
            <wp:effectExtent l="0" t="0" r="9525" b="0"/>
            <wp:docPr id="35" name="Picture 35" descr="This figure shows the Rockhampton LGA with the 250 year ARI storm tide points symbolised (Jenks method) as sourced from the University of Western Australia. Five groups of storm tide points are indicated with two being within the study region. The first grouping runs from the mouth of the Fitzroy River to approximately Keppel Sands and the second runs from approximately Keppel Sands to the northern extent of the stud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his figure shows the Rockhampton LGA with the 250 year ARI storm tide points symbolised (Jenks method) as sourced from the University of Western Australia. Five groups of storm tide points are indicated with two being within the study region. The first grouping runs from the mouth of the Fitzroy River to approximately Keppel Sands and the second runs from approximately Keppel Sands to the northern extent of the study regio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bookmarkStart w:id="3958" w:name="_Toc342638670"/>
      <w:bookmarkStart w:id="3959" w:name="_Toc349055194"/>
      <w:bookmarkStart w:id="3960" w:name="_Toc349055857"/>
      <w:bookmarkStart w:id="3961" w:name="_Toc349115033"/>
      <w:bookmarkStart w:id="3962" w:name="_Toc349115172"/>
      <w:bookmarkStart w:id="3963" w:name="_Toc349115565"/>
      <w:bookmarkStart w:id="3964" w:name="_Toc349115749"/>
      <w:bookmarkStart w:id="3965" w:name="_Toc350325330"/>
      <w:bookmarkStart w:id="3966" w:name="_Toc350325605"/>
      <w:bookmarkStart w:id="3967" w:name="_Toc350327029"/>
      <w:bookmarkStart w:id="3968" w:name="_Toc350327175"/>
      <w:bookmarkStart w:id="3969" w:name="_Toc350330254"/>
    </w:p>
    <w:p w:rsidR="008237BB" w:rsidRDefault="00414D8E" w:rsidP="008237BB">
      <w:pPr>
        <w:pStyle w:val="Caption"/>
      </w:pPr>
      <w:bookmarkStart w:id="3970" w:name="_Ref350339176"/>
      <w:bookmarkStart w:id="3971" w:name="_Toc350339836"/>
      <w:bookmarkStart w:id="3972" w:name="_Toc350341509"/>
      <w:bookmarkStart w:id="3973" w:name="_Toc351449948"/>
      <w:bookmarkStart w:id="3974" w:name="_Toc351450029"/>
      <w:bookmarkStart w:id="3975" w:name="_Toc352242331"/>
      <w:bookmarkStart w:id="3976" w:name="_Toc352243759"/>
      <w:bookmarkStart w:id="3977" w:name="_Toc352244435"/>
      <w:bookmarkStart w:id="3978" w:name="_Toc352244530"/>
      <w:bookmarkStart w:id="3979" w:name="_Toc354403636"/>
      <w:bookmarkStart w:id="3980" w:name="_Toc354476641"/>
      <w:bookmarkStart w:id="3981" w:name="_Toc354493398"/>
      <w:bookmarkStart w:id="3982" w:name="_Toc354493527"/>
      <w:bookmarkStart w:id="3983" w:name="_Toc354494621"/>
      <w:bookmarkStart w:id="3984" w:name="_Toc354494811"/>
      <w:bookmarkStart w:id="3985" w:name="_Toc354497555"/>
      <w:bookmarkStart w:id="3986" w:name="_Toc354497627"/>
      <w:bookmarkStart w:id="3987" w:name="_Toc354561218"/>
      <w:bookmarkStart w:id="3988" w:name="_Toc354561402"/>
      <w:bookmarkStart w:id="3989" w:name="_Toc354561474"/>
      <w:bookmarkStart w:id="3990" w:name="_Toc354561546"/>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C</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w:t>
      </w:r>
      <w:r w:rsidR="007F11CF">
        <w:rPr>
          <w:noProof/>
        </w:rPr>
        <w:fldChar w:fldCharType="end"/>
      </w:r>
      <w:bookmarkEnd w:id="3970"/>
      <w:r w:rsidR="008237BB">
        <w:t>. Storm tide modelling results for Rockhampton (250 year ARI inundation depth (m))</w:t>
      </w:r>
      <w:bookmarkEnd w:id="3958"/>
      <w:bookmarkEnd w:id="3959"/>
      <w:bookmarkEnd w:id="3960"/>
      <w:bookmarkEnd w:id="3961"/>
      <w:bookmarkEnd w:id="3962"/>
      <w:bookmarkEnd w:id="3963"/>
      <w:bookmarkEnd w:id="3964"/>
      <w:bookmarkEnd w:id="3965"/>
      <w:bookmarkEnd w:id="3966"/>
      <w:bookmarkEnd w:id="3967"/>
      <w:bookmarkEnd w:id="3968"/>
      <w:bookmarkEnd w:id="3969"/>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p>
    <w:p w:rsidR="008237BB" w:rsidRPr="009909F5" w:rsidRDefault="008237BB" w:rsidP="009340CE">
      <w:pPr>
        <w:pStyle w:val="Headingappendix4"/>
      </w:pPr>
      <w:bookmarkStart w:id="3991" w:name="_Toc341445286"/>
      <w:bookmarkStart w:id="3992" w:name="_Toc342638516"/>
      <w:bookmarkStart w:id="3993" w:name="_Toc346261017"/>
      <w:bookmarkStart w:id="3994" w:name="_Toc346632579"/>
      <w:bookmarkStart w:id="3995" w:name="_Toc347402514"/>
      <w:bookmarkStart w:id="3996" w:name="_Toc349055086"/>
      <w:bookmarkStart w:id="3997" w:name="_Toc349116993"/>
      <w:bookmarkStart w:id="3998" w:name="_Toc354402048"/>
      <w:bookmarkStart w:id="3999" w:name="_Toc354476545"/>
      <w:bookmarkStart w:id="4000" w:name="_Toc354492774"/>
      <w:bookmarkStart w:id="4001" w:name="_Toc354493021"/>
      <w:bookmarkStart w:id="4002" w:name="_Toc354493152"/>
      <w:bookmarkStart w:id="4003" w:name="_Toc354493313"/>
      <w:bookmarkStart w:id="4004" w:name="_Toc355164235"/>
      <w:r>
        <w:t>Cluster</w:t>
      </w:r>
      <w:r w:rsidRPr="009909F5">
        <w:t xml:space="preserve"> analysis</w:t>
      </w:r>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p>
    <w:p w:rsidR="008237BB" w:rsidRDefault="008237BB" w:rsidP="008237BB">
      <w:pPr>
        <w:pStyle w:val="BodyText"/>
      </w:pPr>
      <w:r>
        <w:t>Pattern investigation</w:t>
      </w:r>
      <w:r w:rsidRPr="00DB0AB3">
        <w:t xml:space="preserve"> of the</w:t>
      </w:r>
      <w:r>
        <w:t xml:space="preserve"> storm tide data indentified five cluster areas within the Rockhampton Regional Council LGA (</w:t>
      </w:r>
      <w:r w:rsidR="00DF77DB">
        <w:fldChar w:fldCharType="begin"/>
      </w:r>
      <w:r w:rsidR="00DF77DB">
        <w:instrText xml:space="preserve"> REF _Ref354561707 \h </w:instrText>
      </w:r>
      <w:r w:rsidR="00DF77DB">
        <w:fldChar w:fldCharType="separate"/>
      </w:r>
      <w:r w:rsidR="00413858">
        <w:t xml:space="preserve">Appendix Figure </w:t>
      </w:r>
      <w:r w:rsidR="00413858">
        <w:rPr>
          <w:noProof/>
        </w:rPr>
        <w:t>C</w:t>
      </w:r>
      <w:r w:rsidR="00413858">
        <w:t>.</w:t>
      </w:r>
      <w:r w:rsidR="00413858">
        <w:rPr>
          <w:noProof/>
        </w:rPr>
        <w:t>2</w:t>
      </w:r>
      <w:r w:rsidR="00DF77DB">
        <w:fldChar w:fldCharType="end"/>
      </w:r>
      <w:r>
        <w:t>)</w:t>
      </w:r>
      <w:r w:rsidRPr="00DB0AB3">
        <w:t>.</w:t>
      </w:r>
      <w:r>
        <w:t xml:space="preserve"> Fortunately, the automatically allocated ID number (ObjectID) had been completed sequentially along the coastline so that spatially adjacent points have an adjacent ID number. The ObjectID therefore supported graphical investigation of spatial and attribute relationships</w:t>
      </w:r>
      <w:r w:rsidRPr="00DB0AB3">
        <w:t xml:space="preserve"> via a scatter plot matrix (</w:t>
      </w:r>
      <w:r>
        <w:t>ObjectID</w:t>
      </w:r>
      <w:r w:rsidRPr="00DB0AB3">
        <w:t xml:space="preserve"> vs. </w:t>
      </w:r>
      <w:r>
        <w:t>ARI</w:t>
      </w:r>
      <w:r w:rsidRPr="00DB0AB3">
        <w:t xml:space="preserve"> water level heights)</w:t>
      </w:r>
      <w:r>
        <w:t xml:space="preserve"> that</w:t>
      </w:r>
      <w:r w:rsidRPr="00DB0AB3">
        <w:t xml:space="preserve"> </w:t>
      </w:r>
      <w:r>
        <w:t xml:space="preserve">confirmed </w:t>
      </w:r>
      <w:r w:rsidRPr="00DB0AB3">
        <w:t>clusters of water level heights for broadly every 100 km of coastline</w:t>
      </w:r>
      <w:r>
        <w:t xml:space="preserve">. The scatterplot matrices identify five distinct clusters as shown in </w:t>
      </w:r>
      <w:r w:rsidR="00DF77DB">
        <w:fldChar w:fldCharType="begin"/>
      </w:r>
      <w:r w:rsidR="00DF77DB">
        <w:instrText xml:space="preserve"> REF _Ref354561707 \h </w:instrText>
      </w:r>
      <w:r w:rsidR="00DF77DB">
        <w:fldChar w:fldCharType="separate"/>
      </w:r>
      <w:r w:rsidR="00413858">
        <w:t xml:space="preserve">Appendix Figure </w:t>
      </w:r>
      <w:r w:rsidR="00413858">
        <w:rPr>
          <w:noProof/>
        </w:rPr>
        <w:t>C</w:t>
      </w:r>
      <w:r w:rsidR="00413858">
        <w:t>.</w:t>
      </w:r>
      <w:r w:rsidR="00413858">
        <w:rPr>
          <w:noProof/>
        </w:rPr>
        <w:t>2</w:t>
      </w:r>
      <w:r w:rsidR="00DF77DB">
        <w:fldChar w:fldCharType="end"/>
      </w:r>
      <w:r>
        <w:t xml:space="preserve"> for the extra</w:t>
      </w:r>
      <w:r>
        <w:noBreakHyphen/>
        <w:t>tropical 250 year ARI inundation results</w:t>
      </w:r>
      <w:r w:rsidRPr="00DB0AB3">
        <w:t xml:space="preserve">. </w:t>
      </w:r>
      <w:r>
        <w:fldChar w:fldCharType="begin"/>
      </w:r>
      <w:r>
        <w:instrText xml:space="preserve"> REF _Ref350339346 \h </w:instrText>
      </w:r>
      <w:r>
        <w:fldChar w:fldCharType="separate"/>
      </w:r>
      <w:r w:rsidR="00413858">
        <w:t xml:space="preserve">Appendix Figure </w:t>
      </w:r>
      <w:r w:rsidR="00413858">
        <w:rPr>
          <w:noProof/>
        </w:rPr>
        <w:t>C</w:t>
      </w:r>
      <w:r w:rsidR="00413858">
        <w:t>.</w:t>
      </w:r>
      <w:r w:rsidR="00413858">
        <w:rPr>
          <w:noProof/>
        </w:rPr>
        <w:t>3</w:t>
      </w:r>
      <w:r>
        <w:fldChar w:fldCharType="end"/>
      </w:r>
      <w:r>
        <w:t xml:space="preserve"> shows the tropical cyclone storm tide 250 year ARI inundation points.</w:t>
      </w:r>
    </w:p>
    <w:p w:rsidR="00FF6328" w:rsidRDefault="008237BB" w:rsidP="00590FF0">
      <w:pPr>
        <w:pStyle w:val="Figuresandimagesleft"/>
      </w:pPr>
      <w:r>
        <w:lastRenderedPageBreak/>
        <w:t xml:space="preserve"> </w:t>
      </w:r>
      <w:r>
        <w:rPr>
          <w:noProof/>
        </w:rPr>
        <w:drawing>
          <wp:inline distT="0" distB="0" distL="0" distR="0" wp14:anchorId="2E6A85CD" wp14:editId="479BE64F">
            <wp:extent cx="5400675" cy="4486275"/>
            <wp:effectExtent l="19050" t="19050" r="28575" b="28575"/>
            <wp:docPr id="34" name="Picture 34" descr="This figure shows the 250 year ARI extra-tropical storm tide values graphically where the inundation depth is identified on the Y-axis (2.75 m to 4.2 m) and the Object ID on the X-axis. In this case the automatically allocated Object ID has been sequentially numberd along the coastline and therefore neighbouring points on the map are also neigbouring on the graph. This graph shows also the five distinct groups with points linking each group spaced between the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his figure shows the 250 year ARI extra-tropical storm tide values graphically where the inundation depth is identified on the Y-axis (2.75 m to 4.2 m) and the Object ID on the X-axis. In this case the automatically allocated Object ID has been sequentially numberd along the coastline and therefore neighbouring points on the map are also neigbouring on the graph. This graph shows also the five distinct groups with points linking each group spaced between the groups."/>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00675" cy="4486275"/>
                    </a:xfrm>
                    <a:prstGeom prst="rect">
                      <a:avLst/>
                    </a:prstGeom>
                    <a:noFill/>
                    <a:ln w="6350" cmpd="sng">
                      <a:solidFill>
                        <a:srgbClr val="000000"/>
                      </a:solidFill>
                      <a:miter lim="800000"/>
                      <a:headEnd/>
                      <a:tailEnd/>
                    </a:ln>
                    <a:effectLst/>
                  </pic:spPr>
                </pic:pic>
              </a:graphicData>
            </a:graphic>
          </wp:inline>
        </w:drawing>
      </w:r>
    </w:p>
    <w:p w:rsidR="008237BB" w:rsidRPr="003B4B74" w:rsidRDefault="00FF6328" w:rsidP="00FF6328">
      <w:pPr>
        <w:pStyle w:val="Caption"/>
      </w:pPr>
      <w:bookmarkStart w:id="4005" w:name="_Ref354561707"/>
      <w:bookmarkStart w:id="4006" w:name="_Toc354561219"/>
      <w:bookmarkStart w:id="4007" w:name="_Toc354561403"/>
      <w:bookmarkStart w:id="4008" w:name="_Toc354561475"/>
      <w:bookmarkStart w:id="4009" w:name="_Toc354561547"/>
      <w:r>
        <w:t xml:space="preserve">Appendix Figure </w:t>
      </w:r>
      <w:r w:rsidR="007F11CF">
        <w:fldChar w:fldCharType="begin"/>
      </w:r>
      <w:r w:rsidR="007F11CF">
        <w:instrText xml:space="preserve"> STYLEREF 9 \s </w:instrText>
      </w:r>
      <w:r w:rsidR="007F11CF">
        <w:fldChar w:fldCharType="separate"/>
      </w:r>
      <w:r w:rsidR="00413858">
        <w:rPr>
          <w:noProof/>
        </w:rPr>
        <w:t>C</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2</w:t>
      </w:r>
      <w:r w:rsidR="007F11CF">
        <w:rPr>
          <w:noProof/>
        </w:rPr>
        <w:fldChar w:fldCharType="end"/>
      </w:r>
      <w:bookmarkEnd w:id="4005"/>
      <w:r>
        <w:t>. Extra-Tropical Storm tide scatterplot matrix (250 year ARI). The X-axis is the ID field. The Y-axis is inundation depth above MSL (m).</w:t>
      </w:r>
      <w:bookmarkEnd w:id="4006"/>
      <w:bookmarkEnd w:id="4007"/>
      <w:bookmarkEnd w:id="4008"/>
      <w:bookmarkEnd w:id="4009"/>
    </w:p>
    <w:p w:rsidR="008237BB" w:rsidRDefault="008237BB" w:rsidP="00253307">
      <w:pPr>
        <w:pStyle w:val="Figuresandimagesleft"/>
      </w:pPr>
      <w:r>
        <w:rPr>
          <w:noProof/>
        </w:rPr>
        <w:lastRenderedPageBreak/>
        <w:drawing>
          <wp:inline distT="0" distB="0" distL="0" distR="0" wp14:anchorId="42DF4090" wp14:editId="09BCA251">
            <wp:extent cx="5400675" cy="4457700"/>
            <wp:effectExtent l="19050" t="19050" r="28575" b="19050"/>
            <wp:docPr id="33" name="Picture 33" descr="This figure shows the 250 year ARI tropical storm tide values graphically where the inundation depth is identified on the Y-axis (2.75 m to 4.0 m) and the Object ID on the X-axis. In this case the automatically allocated Object ID has been sequentially numberd along the coastline and therefore neighbouring points on the map are also neigbouring on the graph. This graph shows also the five distinct groups with points linking each group spaced between the groups. There is greater variability in each group, as compared with the extra-tropical storm tide, but groups are still cl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his figure shows the 250 year ARI tropical storm tide values graphically where the inundation depth is identified on the Y-axis (2.75 m to 4.0 m) and the Object ID on the X-axis. In this case the automatically allocated Object ID has been sequentially numberd along the coastline and therefore neighbouring points on the map are also neigbouring on the graph. This graph shows also the five distinct groups with points linking each group spaced between the groups. There is greater variability in each group, as compared with the extra-tropical storm tide, but groups are still clea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00675" cy="4457700"/>
                    </a:xfrm>
                    <a:prstGeom prst="rect">
                      <a:avLst/>
                    </a:prstGeom>
                    <a:noFill/>
                    <a:ln w="6350" cmpd="sng">
                      <a:solidFill>
                        <a:srgbClr val="000000"/>
                      </a:solidFill>
                      <a:miter lim="800000"/>
                      <a:headEnd/>
                      <a:tailEnd/>
                    </a:ln>
                    <a:effectLst/>
                  </pic:spPr>
                </pic:pic>
              </a:graphicData>
            </a:graphic>
          </wp:inline>
        </w:drawing>
      </w:r>
    </w:p>
    <w:p w:rsidR="002F691C" w:rsidRDefault="00414D8E" w:rsidP="00797F73">
      <w:pPr>
        <w:pStyle w:val="Caption"/>
      </w:pPr>
      <w:bookmarkStart w:id="4010" w:name="_Ref350339346"/>
      <w:bookmarkStart w:id="4011" w:name="_Ref340757882"/>
      <w:bookmarkStart w:id="4012" w:name="_Toc342638672"/>
      <w:bookmarkStart w:id="4013" w:name="_Toc349055196"/>
      <w:bookmarkStart w:id="4014" w:name="_Toc349055859"/>
      <w:bookmarkStart w:id="4015" w:name="_Toc349115035"/>
      <w:bookmarkStart w:id="4016" w:name="_Toc349115174"/>
      <w:bookmarkStart w:id="4017" w:name="_Toc349115567"/>
      <w:bookmarkStart w:id="4018" w:name="_Toc349115751"/>
      <w:bookmarkStart w:id="4019" w:name="_Toc350325332"/>
      <w:bookmarkStart w:id="4020" w:name="_Toc350327031"/>
      <w:bookmarkStart w:id="4021" w:name="_Toc350327177"/>
      <w:bookmarkStart w:id="4022" w:name="_Toc350330256"/>
      <w:bookmarkStart w:id="4023" w:name="_Toc350339838"/>
      <w:bookmarkStart w:id="4024" w:name="_Toc350341511"/>
      <w:bookmarkStart w:id="4025" w:name="_Toc351449950"/>
      <w:bookmarkStart w:id="4026" w:name="_Toc351450031"/>
      <w:bookmarkStart w:id="4027" w:name="_Toc352242333"/>
      <w:bookmarkStart w:id="4028" w:name="_Toc352243761"/>
      <w:bookmarkStart w:id="4029" w:name="_Toc352244437"/>
      <w:bookmarkStart w:id="4030" w:name="_Toc352244532"/>
      <w:bookmarkStart w:id="4031" w:name="_Toc354403638"/>
      <w:bookmarkStart w:id="4032" w:name="_Toc354476643"/>
      <w:bookmarkStart w:id="4033" w:name="_Toc354493400"/>
      <w:bookmarkStart w:id="4034" w:name="_Toc354493529"/>
      <w:bookmarkStart w:id="4035" w:name="_Toc354494623"/>
      <w:bookmarkStart w:id="4036" w:name="_Toc354494813"/>
      <w:bookmarkStart w:id="4037" w:name="_Toc354497557"/>
      <w:bookmarkStart w:id="4038" w:name="_Toc354497629"/>
      <w:bookmarkStart w:id="4039" w:name="_Toc354561220"/>
      <w:bookmarkStart w:id="4040" w:name="_Toc354561404"/>
      <w:bookmarkStart w:id="4041" w:name="_Toc354561476"/>
      <w:bookmarkStart w:id="4042" w:name="_Toc354561548"/>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C</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3</w:t>
      </w:r>
      <w:r w:rsidR="007F11CF">
        <w:rPr>
          <w:noProof/>
        </w:rPr>
        <w:fldChar w:fldCharType="end"/>
      </w:r>
      <w:bookmarkEnd w:id="4010"/>
      <w:r w:rsidR="008237BB">
        <w:t xml:space="preserve">. Tropical Cyclone Storm tide scatterplot matrix (250 year ARI). </w:t>
      </w:r>
      <w:bookmarkEnd w:id="4011"/>
      <w:bookmarkEnd w:id="4012"/>
      <w:r w:rsidR="008237BB">
        <w:t>The X-axis is the ID field. The Y-axis is inundation depth above MSL (m).</w:t>
      </w:r>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p>
    <w:p w:rsidR="008237BB" w:rsidRDefault="008237BB" w:rsidP="008237BB">
      <w:r>
        <w:t>For each area and for extra-tropical and tropical events the mean, minimum, maximum and standard deviation were calculated. These are presented in the following figures (</w:t>
      </w:r>
      <w:r>
        <w:fldChar w:fldCharType="begin"/>
      </w:r>
      <w:r>
        <w:instrText xml:space="preserve"> REF _Ref350339366 \h </w:instrText>
      </w:r>
      <w:r>
        <w:fldChar w:fldCharType="separate"/>
      </w:r>
      <w:r w:rsidR="00413858">
        <w:t xml:space="preserve">Appendix Figure </w:t>
      </w:r>
      <w:r w:rsidR="00413858">
        <w:rPr>
          <w:noProof/>
        </w:rPr>
        <w:t>C</w:t>
      </w:r>
      <w:r w:rsidR="00413858">
        <w:t>.</w:t>
      </w:r>
      <w:r w:rsidR="00413858">
        <w:rPr>
          <w:noProof/>
        </w:rPr>
        <w:t>4</w:t>
      </w:r>
      <w:r>
        <w:fldChar w:fldCharType="end"/>
      </w:r>
      <w:r>
        <w:t xml:space="preserve"> to </w:t>
      </w:r>
      <w:r w:rsidR="00DF77DB">
        <w:fldChar w:fldCharType="begin"/>
      </w:r>
      <w:r w:rsidR="00DF77DB">
        <w:instrText xml:space="preserve"> REF _Ref354561754 \h </w:instrText>
      </w:r>
      <w:r w:rsidR="00DF77DB">
        <w:fldChar w:fldCharType="separate"/>
      </w:r>
      <w:r w:rsidR="00413858">
        <w:t xml:space="preserve">Appendix Figure </w:t>
      </w:r>
      <w:r w:rsidR="00413858">
        <w:rPr>
          <w:noProof/>
        </w:rPr>
        <w:t>C</w:t>
      </w:r>
      <w:r w:rsidR="00413858">
        <w:t>.</w:t>
      </w:r>
      <w:r w:rsidR="00413858">
        <w:rPr>
          <w:noProof/>
        </w:rPr>
        <w:t>7</w:t>
      </w:r>
      <w:r w:rsidR="00DF77DB">
        <w:fldChar w:fldCharType="end"/>
      </w:r>
      <w:r>
        <w:t>). The mean, minimum and maximum are plotted on the left Y-axis and the standard deviation is plotted on the right Y-axis.</w:t>
      </w:r>
    </w:p>
    <w:p w:rsidR="008237BB" w:rsidRPr="00A055ED" w:rsidRDefault="008237BB" w:rsidP="00253307">
      <w:pPr>
        <w:pStyle w:val="Figuresandimagesleft"/>
      </w:pPr>
      <w:r>
        <w:rPr>
          <w:noProof/>
        </w:rPr>
        <w:lastRenderedPageBreak/>
        <w:drawing>
          <wp:inline distT="0" distB="0" distL="0" distR="0" wp14:anchorId="24ABB446" wp14:editId="6A2FB9C5">
            <wp:extent cx="5400675" cy="3171825"/>
            <wp:effectExtent l="0" t="0" r="9525" b="9525"/>
            <wp:docPr id="32" name="Picture 32" descr="This figure shows the average inundation depth for each current climate ARI (50, 100, 250, 1000 and 10 000) for extra-tropical storm tide in Area 4. Also shown for each ARI is the maximum, minimum and the standard deviation (which is plotted on the right Y-axis). The mean values, in metres, are 2.93, 2.99, 3.07, 3.18 and 3.36 for 50, 100, 250, 1000 and 10000 year ARI respectively. The standard deviation ranges between 0.04 and 0.06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his figure shows the average inundation depth for each current climate ARI (50, 100, 250, 1000 and 10 000) for extra-tropical storm tide in Area 4. Also shown for each ARI is the maximum, minimum and the standard deviation (which is plotted on the right Y-axis). The mean values, in metres, are 2.93, 2.99, 3.07, 3.18 and 3.36 for 50, 100, 250, 1000 and 10000 year ARI respectively. The standard deviation ranges between 0.04 and 0.06 m."/>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00675" cy="3171825"/>
                    </a:xfrm>
                    <a:prstGeom prst="rect">
                      <a:avLst/>
                    </a:prstGeom>
                    <a:noFill/>
                    <a:ln>
                      <a:noFill/>
                    </a:ln>
                  </pic:spPr>
                </pic:pic>
              </a:graphicData>
            </a:graphic>
          </wp:inline>
        </w:drawing>
      </w:r>
    </w:p>
    <w:p w:rsidR="008237BB" w:rsidRDefault="00414D8E" w:rsidP="00797F73">
      <w:pPr>
        <w:pStyle w:val="Caption"/>
      </w:pPr>
      <w:bookmarkStart w:id="4043" w:name="_Ref350339366"/>
      <w:bookmarkStart w:id="4044" w:name="_Toc349055197"/>
      <w:bookmarkStart w:id="4045" w:name="_Toc349055860"/>
      <w:bookmarkStart w:id="4046" w:name="_Toc349115036"/>
      <w:bookmarkStart w:id="4047" w:name="_Toc349115175"/>
      <w:bookmarkStart w:id="4048" w:name="_Toc349115568"/>
      <w:bookmarkStart w:id="4049" w:name="_Toc349115752"/>
      <w:bookmarkStart w:id="4050" w:name="_Toc350325333"/>
      <w:bookmarkStart w:id="4051" w:name="_Toc350327032"/>
      <w:bookmarkStart w:id="4052" w:name="_Toc350327178"/>
      <w:bookmarkStart w:id="4053" w:name="_Toc350330257"/>
      <w:bookmarkStart w:id="4054" w:name="_Toc350339839"/>
      <w:bookmarkStart w:id="4055" w:name="_Toc350341512"/>
      <w:bookmarkStart w:id="4056" w:name="_Toc351449951"/>
      <w:bookmarkStart w:id="4057" w:name="_Toc351450032"/>
      <w:bookmarkStart w:id="4058" w:name="_Toc352242334"/>
      <w:bookmarkStart w:id="4059" w:name="_Toc352243762"/>
      <w:bookmarkStart w:id="4060" w:name="_Toc352244438"/>
      <w:bookmarkStart w:id="4061" w:name="_Toc352244533"/>
      <w:bookmarkStart w:id="4062" w:name="_Toc354403639"/>
      <w:bookmarkStart w:id="4063" w:name="_Toc354476644"/>
      <w:bookmarkStart w:id="4064" w:name="_Toc354493401"/>
      <w:bookmarkStart w:id="4065" w:name="_Toc354493530"/>
      <w:bookmarkStart w:id="4066" w:name="_Toc354494624"/>
      <w:bookmarkStart w:id="4067" w:name="_Toc354494814"/>
      <w:bookmarkStart w:id="4068" w:name="_Toc354497558"/>
      <w:bookmarkStart w:id="4069" w:name="_Toc354497630"/>
      <w:bookmarkStart w:id="4070" w:name="_Toc354561221"/>
      <w:bookmarkStart w:id="4071" w:name="_Toc354561405"/>
      <w:bookmarkStart w:id="4072" w:name="_Toc354561477"/>
      <w:bookmarkStart w:id="4073" w:name="_Toc354561549"/>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C</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4</w:t>
      </w:r>
      <w:r w:rsidR="007F11CF">
        <w:rPr>
          <w:noProof/>
        </w:rPr>
        <w:fldChar w:fldCharType="end"/>
      </w:r>
      <w:bookmarkEnd w:id="4043"/>
      <w:r w:rsidR="008237BB">
        <w:t>. Area 4 statistics – extra-tropical storm events.</w:t>
      </w:r>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p>
    <w:p w:rsidR="00FF6328" w:rsidRDefault="008237BB" w:rsidP="00253307">
      <w:pPr>
        <w:pStyle w:val="Figuresandimagesleft"/>
      </w:pPr>
      <w:r>
        <w:rPr>
          <w:noProof/>
        </w:rPr>
        <w:drawing>
          <wp:inline distT="0" distB="0" distL="0" distR="0" wp14:anchorId="43F69A53" wp14:editId="668B413C">
            <wp:extent cx="5400675" cy="3162300"/>
            <wp:effectExtent l="0" t="0" r="9525" b="0"/>
            <wp:docPr id="31" name="Picture 31" descr="This figure shows the average inundation depth for each current climate ARI (50, 100, 250, 1000 and 10 000) for tropical storm tide in Area 4. Also shown for each ARI is the maximum, minimum and the standard deviation (which is plotted on the right Y-axis). The mean values, in metres, are 2.58, 2.68, 2.86, 3.19 and 3.49 for 50, 100, 250, 1000 and 10000 year ARI respectively. The standard deviation ranges between 0.04 and 0.35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his figure shows the average inundation depth for each current climate ARI (50, 100, 250, 1000 and 10 000) for tropical storm tide in Area 4. Also shown for each ARI is the maximum, minimum and the standard deviation (which is plotted on the right Y-axis). The mean values, in metres, are 2.58, 2.68, 2.86, 3.19 and 3.49 for 50, 100, 250, 1000 and 10000 year ARI respectively. The standard deviation ranges between 0.04 and 0.35 m."/>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00675" cy="3162300"/>
                    </a:xfrm>
                    <a:prstGeom prst="rect">
                      <a:avLst/>
                    </a:prstGeom>
                    <a:noFill/>
                    <a:ln>
                      <a:noFill/>
                    </a:ln>
                  </pic:spPr>
                </pic:pic>
              </a:graphicData>
            </a:graphic>
          </wp:inline>
        </w:drawing>
      </w:r>
    </w:p>
    <w:p w:rsidR="008237BB" w:rsidRPr="00A055ED" w:rsidRDefault="00FF6328" w:rsidP="00FF6328">
      <w:pPr>
        <w:pStyle w:val="Caption"/>
      </w:pPr>
      <w:bookmarkStart w:id="4074" w:name="_Toc354561222"/>
      <w:bookmarkStart w:id="4075" w:name="_Toc354561406"/>
      <w:bookmarkStart w:id="4076" w:name="_Toc354561478"/>
      <w:bookmarkStart w:id="4077" w:name="_Toc354561550"/>
      <w:r>
        <w:t xml:space="preserve">Appendix Figure </w:t>
      </w:r>
      <w:r w:rsidR="007F11CF">
        <w:fldChar w:fldCharType="begin"/>
      </w:r>
      <w:r w:rsidR="007F11CF">
        <w:instrText xml:space="preserve"> STYLEREF 9 \s </w:instrText>
      </w:r>
      <w:r w:rsidR="007F11CF">
        <w:fldChar w:fldCharType="separate"/>
      </w:r>
      <w:r w:rsidR="00413858">
        <w:rPr>
          <w:noProof/>
        </w:rPr>
        <w:t>C</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5</w:t>
      </w:r>
      <w:r w:rsidR="007F11CF">
        <w:rPr>
          <w:noProof/>
        </w:rPr>
        <w:fldChar w:fldCharType="end"/>
      </w:r>
      <w:r>
        <w:t>. Area 4 statistics – tropical storm events</w:t>
      </w:r>
      <w:bookmarkEnd w:id="4074"/>
      <w:bookmarkEnd w:id="4075"/>
      <w:bookmarkEnd w:id="4076"/>
      <w:bookmarkEnd w:id="4077"/>
    </w:p>
    <w:p w:rsidR="008237BB" w:rsidRDefault="008237BB" w:rsidP="00253307">
      <w:pPr>
        <w:pStyle w:val="Figuresandimagesleft"/>
      </w:pPr>
      <w:r>
        <w:rPr>
          <w:noProof/>
        </w:rPr>
        <w:lastRenderedPageBreak/>
        <w:drawing>
          <wp:inline distT="0" distB="0" distL="0" distR="0" wp14:anchorId="075287E5" wp14:editId="043421A7">
            <wp:extent cx="5400675" cy="3171825"/>
            <wp:effectExtent l="0" t="0" r="9525" b="9525"/>
            <wp:docPr id="30" name="Picture 30" descr="This figure shows the average inundation depth for each current climate ARI (50, 100, 250, 1000 and 10 000) for extra-tropical storm tide in Area 5. Also shown for each ARI is the maximum, minimum and the standard deviation (which is plotted on the right Y-axis). The mean values, in metres, are 2.70, 2.74, 2.79, 2.87 and 3.00 for 50, 100, 250, 1000 and 10000 year ARI respectively. The standard deviation ranges between 0.025 and 0.045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his figure shows the average inundation depth for each current climate ARI (50, 100, 250, 1000 and 10 000) for extra-tropical storm tide in Area 5. Also shown for each ARI is the maximum, minimum and the standard deviation (which is plotted on the right Y-axis). The mean values, in metres, are 2.70, 2.74, 2.79, 2.87 and 3.00 for 50, 100, 250, 1000 and 10000 year ARI respectively. The standard deviation ranges between 0.025 and 0.045 m."/>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00675" cy="3171825"/>
                    </a:xfrm>
                    <a:prstGeom prst="rect">
                      <a:avLst/>
                    </a:prstGeom>
                    <a:noFill/>
                    <a:ln>
                      <a:noFill/>
                    </a:ln>
                  </pic:spPr>
                </pic:pic>
              </a:graphicData>
            </a:graphic>
          </wp:inline>
        </w:drawing>
      </w:r>
      <w:bookmarkStart w:id="4078" w:name="_Toc349055199"/>
      <w:bookmarkStart w:id="4079" w:name="_Toc349055862"/>
      <w:bookmarkStart w:id="4080" w:name="_Toc349115038"/>
      <w:bookmarkStart w:id="4081" w:name="_Toc349115177"/>
      <w:bookmarkStart w:id="4082" w:name="_Toc349115570"/>
      <w:bookmarkStart w:id="4083" w:name="_Toc349115754"/>
      <w:bookmarkStart w:id="4084" w:name="_Toc350325335"/>
    </w:p>
    <w:p w:rsidR="008237BB" w:rsidRDefault="00414D8E" w:rsidP="00797F73">
      <w:pPr>
        <w:pStyle w:val="Caption"/>
      </w:pPr>
      <w:bookmarkStart w:id="4085" w:name="_Toc350327034"/>
      <w:bookmarkStart w:id="4086" w:name="_Toc350327180"/>
      <w:bookmarkStart w:id="4087" w:name="_Toc350330259"/>
      <w:bookmarkStart w:id="4088" w:name="_Toc350339841"/>
      <w:bookmarkStart w:id="4089" w:name="_Toc350341514"/>
      <w:bookmarkStart w:id="4090" w:name="_Toc351449953"/>
      <w:bookmarkStart w:id="4091" w:name="_Toc351450034"/>
      <w:bookmarkStart w:id="4092" w:name="_Toc352242336"/>
      <w:bookmarkStart w:id="4093" w:name="_Toc352243764"/>
      <w:bookmarkStart w:id="4094" w:name="_Toc352244440"/>
      <w:bookmarkStart w:id="4095" w:name="_Toc352244535"/>
      <w:bookmarkStart w:id="4096" w:name="_Toc354403641"/>
      <w:bookmarkStart w:id="4097" w:name="_Toc354476646"/>
      <w:bookmarkStart w:id="4098" w:name="_Toc354493403"/>
      <w:bookmarkStart w:id="4099" w:name="_Toc354493532"/>
      <w:bookmarkStart w:id="4100" w:name="_Toc354494626"/>
      <w:bookmarkStart w:id="4101" w:name="_Toc354494816"/>
      <w:bookmarkStart w:id="4102" w:name="_Toc354497560"/>
      <w:bookmarkStart w:id="4103" w:name="_Toc354497632"/>
      <w:bookmarkStart w:id="4104" w:name="_Toc354561223"/>
      <w:bookmarkStart w:id="4105" w:name="_Toc354561407"/>
      <w:bookmarkStart w:id="4106" w:name="_Toc354561479"/>
      <w:bookmarkStart w:id="4107" w:name="_Toc354561551"/>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C</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6</w:t>
      </w:r>
      <w:r w:rsidR="007F11CF">
        <w:rPr>
          <w:noProof/>
        </w:rPr>
        <w:fldChar w:fldCharType="end"/>
      </w:r>
      <w:r w:rsidR="008237BB">
        <w:t>. Area 5 statistics – extra-tropical storm events.</w:t>
      </w:r>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p>
    <w:p w:rsidR="00FF6328" w:rsidRDefault="008237BB" w:rsidP="00253307">
      <w:pPr>
        <w:pStyle w:val="Figuresandimagesleft"/>
      </w:pPr>
      <w:r>
        <w:rPr>
          <w:noProof/>
        </w:rPr>
        <w:drawing>
          <wp:inline distT="0" distB="0" distL="0" distR="0" wp14:anchorId="5EFBC5C1" wp14:editId="7BDE5EE4">
            <wp:extent cx="5391150" cy="3162300"/>
            <wp:effectExtent l="0" t="0" r="0" b="0"/>
            <wp:docPr id="29" name="Picture 29" descr="This figure shows the average inundation depth for each current climate ARI (50, 100, 250, 1000 and 10 000) for tropical storm tide in Area 5. Also shown for each ARI is the maximum, minimum and the standard deviation (which is plotted on the right Y-axis). The mean values, in metres, are 2.49, 2.62, 2.85, 3.24 and 3.79 for 50, 100, 250, 1000 and 10000 year ARI respectively. The standard deviation ranges between 0.01 and 0.052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his figure shows the average inundation depth for each current climate ARI (50, 100, 250, 1000 and 10 000) for tropical storm tide in Area 5. Also shown for each ARI is the maximum, minimum and the standard deviation (which is plotted on the right Y-axis). The mean values, in metres, are 2.49, 2.62, 2.85, 3.24 and 3.79 for 50, 100, 250, 1000 and 10000 year ARI respectively. The standard deviation ranges between 0.01 and 0.052 m."/>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91150" cy="3162300"/>
                    </a:xfrm>
                    <a:prstGeom prst="rect">
                      <a:avLst/>
                    </a:prstGeom>
                    <a:noFill/>
                    <a:ln>
                      <a:noFill/>
                    </a:ln>
                  </pic:spPr>
                </pic:pic>
              </a:graphicData>
            </a:graphic>
          </wp:inline>
        </w:drawing>
      </w:r>
    </w:p>
    <w:p w:rsidR="008237BB" w:rsidRPr="00A055ED" w:rsidRDefault="00FF6328" w:rsidP="00FF6328">
      <w:pPr>
        <w:pStyle w:val="Caption"/>
      </w:pPr>
      <w:bookmarkStart w:id="4108" w:name="_Ref354561754"/>
      <w:bookmarkStart w:id="4109" w:name="_Toc354561224"/>
      <w:bookmarkStart w:id="4110" w:name="_Toc354561408"/>
      <w:bookmarkStart w:id="4111" w:name="_Toc354561480"/>
      <w:bookmarkStart w:id="4112" w:name="_Toc354561552"/>
      <w:r>
        <w:t xml:space="preserve">Appendix Figure </w:t>
      </w:r>
      <w:r w:rsidR="007F11CF">
        <w:fldChar w:fldCharType="begin"/>
      </w:r>
      <w:r w:rsidR="007F11CF">
        <w:instrText xml:space="preserve"> STYLEREF 9 \s </w:instrText>
      </w:r>
      <w:r w:rsidR="007F11CF">
        <w:fldChar w:fldCharType="separate"/>
      </w:r>
      <w:r w:rsidR="00413858">
        <w:rPr>
          <w:noProof/>
        </w:rPr>
        <w:t>C</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7</w:t>
      </w:r>
      <w:r w:rsidR="007F11CF">
        <w:rPr>
          <w:noProof/>
        </w:rPr>
        <w:fldChar w:fldCharType="end"/>
      </w:r>
      <w:bookmarkEnd w:id="4108"/>
      <w:r>
        <w:t>. Area 5 statistics –tropical storm events.</w:t>
      </w:r>
      <w:bookmarkEnd w:id="4109"/>
      <w:bookmarkEnd w:id="4110"/>
      <w:bookmarkEnd w:id="4111"/>
      <w:bookmarkEnd w:id="4112"/>
    </w:p>
    <w:p w:rsidR="008237BB" w:rsidRDefault="008237BB" w:rsidP="00797F73">
      <w:pPr>
        <w:pStyle w:val="BodyText"/>
        <w:keepNext/>
      </w:pPr>
      <w:r w:rsidRPr="00DB0AB3">
        <w:lastRenderedPageBreak/>
        <w:t xml:space="preserve">Within areas four and five the mean water level height for the </w:t>
      </w:r>
      <w:r>
        <w:t>ARI</w:t>
      </w:r>
      <w:r w:rsidRPr="00DB0AB3">
        <w:t xml:space="preserve">50, </w:t>
      </w:r>
      <w:r>
        <w:t>ARI</w:t>
      </w:r>
      <w:r w:rsidRPr="00DB0AB3">
        <w:t xml:space="preserve">100, </w:t>
      </w:r>
      <w:r>
        <w:t>ARI</w:t>
      </w:r>
      <w:r w:rsidRPr="00DB0AB3">
        <w:t xml:space="preserve">250, </w:t>
      </w:r>
      <w:r>
        <w:t>ARI</w:t>
      </w:r>
      <w:r w:rsidRPr="00DB0AB3">
        <w:t xml:space="preserve">1000 and </w:t>
      </w:r>
      <w:r>
        <w:t>ARI</w:t>
      </w:r>
      <w:r w:rsidRPr="00DB0AB3">
        <w:t>10</w:t>
      </w:r>
      <w:r>
        <w:t> </w:t>
      </w:r>
      <w:r w:rsidRPr="00DB0AB3">
        <w:t>000)</w:t>
      </w:r>
      <w:r>
        <w:t xml:space="preserve"> </w:t>
      </w:r>
      <w:r w:rsidRPr="00DB0AB3">
        <w:t xml:space="preserve">were </w:t>
      </w:r>
      <w:r>
        <w:t>used to identify the inundation extent</w:t>
      </w:r>
      <w:r w:rsidRPr="00DB0AB3">
        <w:t xml:space="preserve"> on a high</w:t>
      </w:r>
      <w:r>
        <w:t xml:space="preserve"> </w:t>
      </w:r>
      <w:r w:rsidRPr="00DB0AB3">
        <w:t>resolution (LiDAR</w:t>
      </w:r>
      <w:r w:rsidR="007B6C0C">
        <w:rPr>
          <w:rStyle w:val="FootnoteReference"/>
        </w:rPr>
        <w:footnoteReference w:id="28"/>
      </w:r>
      <w:r w:rsidRPr="00DB0AB3">
        <w:t xml:space="preserve"> derived) DEM. </w:t>
      </w:r>
      <w:r>
        <w:t>The LiDAR surveys were:</w:t>
      </w:r>
    </w:p>
    <w:p w:rsidR="008237BB" w:rsidRPr="005B6444" w:rsidRDefault="008237BB" w:rsidP="004B379B">
      <w:pPr>
        <w:pStyle w:val="Bulletlevel1"/>
      </w:pPr>
      <w:r w:rsidRPr="005B6444">
        <w:t>Gladstone, acquired 12/6/2009 to 3/7/2009</w:t>
      </w:r>
    </w:p>
    <w:p w:rsidR="008237BB" w:rsidRPr="005B6444" w:rsidRDefault="008237BB" w:rsidP="004B379B">
      <w:pPr>
        <w:pStyle w:val="Bulletlevel1"/>
      </w:pPr>
      <w:r w:rsidRPr="005B6444">
        <w:t>Capricorn South, acquired 8/9/2009 to 19/10/2009</w:t>
      </w:r>
    </w:p>
    <w:p w:rsidR="008237BB" w:rsidRPr="005B6444" w:rsidRDefault="008237BB" w:rsidP="004B379B">
      <w:pPr>
        <w:pStyle w:val="Bulletlevel1"/>
      </w:pPr>
      <w:r w:rsidRPr="005B6444">
        <w:t>Sunwater, acquired 6/10/2008 to 14/10/2008</w:t>
      </w:r>
      <w:r w:rsidR="00405432">
        <w:t>.</w:t>
      </w:r>
    </w:p>
    <w:p w:rsidR="002F691C" w:rsidRDefault="008237BB" w:rsidP="008237BB">
      <w:pPr>
        <w:pStyle w:val="BodyText"/>
      </w:pPr>
      <w:r>
        <w:t>The data has a horizontal resolution of 1 m and a vertical accuracy of 0.15 m with a 67% confidence interval.</w:t>
      </w:r>
    </w:p>
    <w:p w:rsidR="008237BB" w:rsidRDefault="008237BB" w:rsidP="008237BB">
      <w:pPr>
        <w:pStyle w:val="BodyText"/>
      </w:pPr>
      <w:r w:rsidRPr="00DB0AB3">
        <w:t xml:space="preserve">Inundation associated with the modelled water level heights was </w:t>
      </w:r>
      <w:r>
        <w:t>modelled</w:t>
      </w:r>
      <w:r w:rsidRPr="00DB0AB3">
        <w:t xml:space="preserve"> using the</w:t>
      </w:r>
      <w:r>
        <w:t xml:space="preserve"> </w:t>
      </w:r>
      <w:r w:rsidRPr="00DB0AB3">
        <w:t>‘bath</w:t>
      </w:r>
      <w:r>
        <w:t>-</w:t>
      </w:r>
      <w:r w:rsidRPr="00DB0AB3">
        <w:t>tub’ method</w:t>
      </w:r>
      <w:r>
        <w:t xml:space="preserve"> (Eastman, 1993). The application of this method considered the ‘still-water’ inundation level and not the increase in water height due to wave setup or wave run-up on the inundation extent as this was not factored into the Haigh </w:t>
      </w:r>
      <w:r w:rsidRPr="007B6C0C">
        <w:rPr>
          <w:rStyle w:val="Bodytextitalic"/>
        </w:rPr>
        <w:t>et al.</w:t>
      </w:r>
      <w:r>
        <w:t xml:space="preserve"> (2012) study. </w:t>
      </w:r>
      <w:r w:rsidRPr="00DB0AB3">
        <w:t>Th</w:t>
      </w:r>
      <w:r>
        <w:t>e spatial queries</w:t>
      </w:r>
      <w:r w:rsidRPr="00DB0AB3">
        <w:t xml:space="preserve"> w</w:t>
      </w:r>
      <w:r>
        <w:t xml:space="preserve">ere </w:t>
      </w:r>
      <w:r w:rsidRPr="00DB0AB3">
        <w:t>carried out using a python geoprocessing script to identify elevation raster cell values</w:t>
      </w:r>
      <w:r>
        <w:t xml:space="preserve"> </w:t>
      </w:r>
      <w:r w:rsidRPr="00DB0AB3">
        <w:t xml:space="preserve">being equal to or less than the </w:t>
      </w:r>
      <w:r>
        <w:t>storm tide</w:t>
      </w:r>
      <w:r w:rsidRPr="00DB0AB3">
        <w:t xml:space="preserve"> water heights. For each </w:t>
      </w:r>
      <w:r>
        <w:t>ARI</w:t>
      </w:r>
      <w:r w:rsidRPr="00DB0AB3">
        <w:t xml:space="preserve"> the</w:t>
      </w:r>
      <w:r>
        <w:t xml:space="preserve"> hazard map </w:t>
      </w:r>
      <w:r w:rsidRPr="008C6380">
        <w:t xml:space="preserve">shows the </w:t>
      </w:r>
      <w:r>
        <w:t>inundation extent for the mean storm-tide</w:t>
      </w:r>
      <w:r w:rsidRPr="008C6380">
        <w:t xml:space="preserve"> water height.</w:t>
      </w:r>
      <w:r>
        <w:t xml:space="preserve"> The results have been clipped to within 4 km of the coastline in order to limit overestimation of inundation within estuaries. The full extent of the inundation will be provided to the Rockhampton Regional Council as they may prove useful in comparing the results of this method to any localised hydrodynamic storm-tide modelling undertaken in the future.</w:t>
      </w:r>
    </w:p>
    <w:p w:rsidR="002F691C" w:rsidRDefault="008237BB" w:rsidP="007B6C0C">
      <w:pPr>
        <w:pStyle w:val="BodyText"/>
      </w:pPr>
      <w:r>
        <w:t xml:space="preserve">The mean inundation levels for Areas 4 and 5 are shown in </w:t>
      </w:r>
      <w:r w:rsidR="001B78DC">
        <w:fldChar w:fldCharType="begin"/>
      </w:r>
      <w:r w:rsidR="001B78DC">
        <w:instrText xml:space="preserve"> REF _Ref354581412 \h </w:instrText>
      </w:r>
      <w:r w:rsidR="001B78DC">
        <w:fldChar w:fldCharType="separate"/>
      </w:r>
      <w:r w:rsidR="00413858">
        <w:t xml:space="preserve">Appendix Table </w:t>
      </w:r>
      <w:r w:rsidR="00413858">
        <w:rPr>
          <w:noProof/>
        </w:rPr>
        <w:t>C</w:t>
      </w:r>
      <w:r w:rsidR="00413858">
        <w:t>.</w:t>
      </w:r>
      <w:r w:rsidR="00413858">
        <w:rPr>
          <w:noProof/>
        </w:rPr>
        <w:t>1</w:t>
      </w:r>
      <w:r w:rsidR="001B78DC">
        <w:fldChar w:fldCharType="end"/>
      </w:r>
    </w:p>
    <w:p w:rsidR="001B78DC" w:rsidRDefault="001B78DC" w:rsidP="00253307">
      <w:pPr>
        <w:pStyle w:val="Tabletitle"/>
      </w:pPr>
      <w:bookmarkStart w:id="4113" w:name="_Ref354581412"/>
      <w:bookmarkStart w:id="4114" w:name="_Toc355016438"/>
      <w:bookmarkStart w:id="4115" w:name="_Toc355016499"/>
      <w:bookmarkStart w:id="4116" w:name="_Toc355073369"/>
      <w:bookmarkStart w:id="4117" w:name="_Toc355162319"/>
      <w:bookmarkStart w:id="4118" w:name="_Toc355249462"/>
      <w:r>
        <w:t xml:space="preserve">Appendix Table </w:t>
      </w:r>
      <w:r w:rsidR="007F11CF">
        <w:fldChar w:fldCharType="begin"/>
      </w:r>
      <w:r w:rsidR="007F11CF">
        <w:instrText xml:space="preserve"> STYLEREF 9 \s </w:instrText>
      </w:r>
      <w:r w:rsidR="007F11CF">
        <w:fldChar w:fldCharType="separate"/>
      </w:r>
      <w:r w:rsidR="00413858">
        <w:rPr>
          <w:noProof/>
        </w:rPr>
        <w:t>C</w:t>
      </w:r>
      <w:r w:rsidR="007F11CF">
        <w:rPr>
          <w:noProof/>
        </w:rPr>
        <w:fldChar w:fldCharType="end"/>
      </w:r>
      <w:r w:rsidR="00162079">
        <w:t>.</w:t>
      </w:r>
      <w:r w:rsidR="007F11CF">
        <w:fldChar w:fldCharType="begin"/>
      </w:r>
      <w:r w:rsidR="007F11CF">
        <w:instrText xml:space="preserve"> SEQ Appendix_Table \* ARABIC \s 9 </w:instrText>
      </w:r>
      <w:r w:rsidR="007F11CF">
        <w:fldChar w:fldCharType="separate"/>
      </w:r>
      <w:r w:rsidR="00413858">
        <w:rPr>
          <w:noProof/>
        </w:rPr>
        <w:t>1</w:t>
      </w:r>
      <w:r w:rsidR="007F11CF">
        <w:rPr>
          <w:noProof/>
        </w:rPr>
        <w:fldChar w:fldCharType="end"/>
      </w:r>
      <w:bookmarkEnd w:id="4113"/>
      <w:r>
        <w:t>. Mean storm tide inundation water heights (m above AHD)</w:t>
      </w:r>
      <w:bookmarkEnd w:id="4114"/>
      <w:bookmarkEnd w:id="4115"/>
      <w:bookmarkEnd w:id="4116"/>
      <w:bookmarkEnd w:id="4117"/>
      <w:bookmarkEnd w:id="4118"/>
    </w:p>
    <w:tbl>
      <w:tblPr>
        <w:tblStyle w:val="TableGAHeaderRow"/>
        <w:tblW w:w="8779" w:type="dxa"/>
        <w:tblLook w:val="0020" w:firstRow="1" w:lastRow="0" w:firstColumn="0" w:lastColumn="0" w:noHBand="0" w:noVBand="0"/>
        <w:tblDescription w:val="This table presents the storm tide water levels (above AHD) for both Area 4 and Area 5 within the study area and for each of these areas there are both extra-tropical and tropical events considered. Extra tropical Area 4 storm tide heights are 2.93 m (50 year ARI), 2.99 m (100 year ARI), 3.07 m (250 year ARI), 3.18 m (1000 year ARI) and 3.36 m (10 000 year ARI). Extra tropical Area 5 storm tide heights are 2.70 m (50 year ARI), 2.74 m (100 year ARI), 2.79 m (250 year ARI), 2.87 m (1000 year ARI) and 3.00 m (10 000 year ARI).                  Tropical Area 4 storm tide heights are 2.58 m (50 year ARI), 2.68 m (100 year ARI), 2.86 m (250 year ARI), 3.19 m (1000 year ARI) and 3.49 m (10 000 year ARI). Tropical Area 5 storm tide heights are 2.49 m (50 year ARI), 2.62 m (100 year ARI), 2.85 m (250 year ARI), 3.24 m (1000 year ARI) and 3.79 m (10 000 year ARI)."/>
      </w:tblPr>
      <w:tblGrid>
        <w:gridCol w:w="1843"/>
        <w:gridCol w:w="1408"/>
        <w:gridCol w:w="968"/>
        <w:gridCol w:w="837"/>
        <w:gridCol w:w="837"/>
        <w:gridCol w:w="837"/>
        <w:gridCol w:w="955"/>
        <w:gridCol w:w="1094"/>
      </w:tblGrid>
      <w:tr w:rsidR="008237BB" w:rsidRPr="00DB2C44" w:rsidTr="009D02B6">
        <w:trPr>
          <w:cnfStyle w:val="100000000000" w:firstRow="1" w:lastRow="0" w:firstColumn="0" w:lastColumn="0" w:oddVBand="0" w:evenVBand="0" w:oddHBand="0" w:evenHBand="0" w:firstRowFirstColumn="0" w:firstRowLastColumn="0" w:lastRowFirstColumn="0" w:lastRowLastColumn="0"/>
          <w:cantSplit w:val="0"/>
          <w:trHeight w:val="270"/>
          <w:tblHeader/>
        </w:trPr>
        <w:tc>
          <w:tcPr>
            <w:cnfStyle w:val="000010000000" w:firstRow="0" w:lastRow="0" w:firstColumn="0" w:lastColumn="0" w:oddVBand="1" w:evenVBand="0" w:oddHBand="0" w:evenHBand="0" w:firstRowFirstColumn="0" w:firstRowLastColumn="0" w:lastRowFirstColumn="0" w:lastRowLastColumn="0"/>
            <w:tcW w:w="1843" w:type="dxa"/>
            <w:noWrap/>
          </w:tcPr>
          <w:p w:rsidR="008237BB" w:rsidRPr="00120C38" w:rsidRDefault="008237BB" w:rsidP="001D132F">
            <w:pPr>
              <w:pStyle w:val="Tabletextleft"/>
            </w:pPr>
            <w:r w:rsidRPr="00120C38">
              <w:t>Sea-Level</w:t>
            </w:r>
          </w:p>
        </w:tc>
        <w:tc>
          <w:tcPr>
            <w:tcW w:w="1408" w:type="dxa"/>
            <w:noWrap/>
          </w:tcPr>
          <w:p w:rsidR="008237BB" w:rsidRPr="00120C38" w:rsidRDefault="008237BB" w:rsidP="001D132F">
            <w:pPr>
              <w:pStyle w:val="Tabletextleft"/>
              <w:cnfStyle w:val="100000000000" w:firstRow="1" w:lastRow="0" w:firstColumn="0" w:lastColumn="0" w:oddVBand="0" w:evenVBand="0" w:oddHBand="0" w:evenHBand="0" w:firstRowFirstColumn="0" w:firstRowLastColumn="0" w:lastRowFirstColumn="0" w:lastRowLastColumn="0"/>
            </w:pPr>
            <w:r w:rsidRPr="00120C38">
              <w:t>Surge Type</w:t>
            </w:r>
          </w:p>
        </w:tc>
        <w:tc>
          <w:tcPr>
            <w:cnfStyle w:val="000010000000" w:firstRow="0" w:lastRow="0" w:firstColumn="0" w:lastColumn="0" w:oddVBand="1" w:evenVBand="0" w:oddHBand="0" w:evenHBand="0" w:firstRowFirstColumn="0" w:firstRowLastColumn="0" w:lastRowFirstColumn="0" w:lastRowLastColumn="0"/>
            <w:tcW w:w="968" w:type="dxa"/>
            <w:noWrap/>
          </w:tcPr>
          <w:p w:rsidR="008237BB" w:rsidRPr="00120C38" w:rsidRDefault="008237BB" w:rsidP="001D132F">
            <w:pPr>
              <w:pStyle w:val="Tabletextleft"/>
            </w:pPr>
            <w:r w:rsidRPr="00120C38">
              <w:t>Area</w:t>
            </w:r>
          </w:p>
        </w:tc>
        <w:tc>
          <w:tcPr>
            <w:tcW w:w="837" w:type="dxa"/>
            <w:noWrap/>
          </w:tcPr>
          <w:p w:rsidR="008237BB" w:rsidRPr="00120C38" w:rsidRDefault="008237BB" w:rsidP="001D132F">
            <w:pPr>
              <w:pStyle w:val="Tabletextleft"/>
              <w:cnfStyle w:val="100000000000" w:firstRow="1" w:lastRow="0" w:firstColumn="0" w:lastColumn="0" w:oddVBand="0" w:evenVBand="0" w:oddHBand="0" w:evenHBand="0" w:firstRowFirstColumn="0" w:firstRowLastColumn="0" w:lastRowFirstColumn="0" w:lastRowLastColumn="0"/>
            </w:pPr>
            <w:r w:rsidRPr="00120C38">
              <w:t>50</w:t>
            </w:r>
            <w:r w:rsidR="009D02B6">
              <w:t xml:space="preserve"> year ARI</w:t>
            </w:r>
          </w:p>
        </w:tc>
        <w:tc>
          <w:tcPr>
            <w:cnfStyle w:val="000010000000" w:firstRow="0" w:lastRow="0" w:firstColumn="0" w:lastColumn="0" w:oddVBand="1" w:evenVBand="0" w:oddHBand="0" w:evenHBand="0" w:firstRowFirstColumn="0" w:firstRowLastColumn="0" w:lastRowFirstColumn="0" w:lastRowLastColumn="0"/>
            <w:tcW w:w="837" w:type="dxa"/>
            <w:noWrap/>
          </w:tcPr>
          <w:p w:rsidR="008237BB" w:rsidRPr="00120C38" w:rsidRDefault="008237BB" w:rsidP="001D132F">
            <w:pPr>
              <w:pStyle w:val="Tabletextleft"/>
            </w:pPr>
            <w:r w:rsidRPr="00120C38">
              <w:t>100</w:t>
            </w:r>
            <w:r w:rsidR="009D02B6">
              <w:t xml:space="preserve"> year ARI</w:t>
            </w:r>
          </w:p>
        </w:tc>
        <w:tc>
          <w:tcPr>
            <w:tcW w:w="837" w:type="dxa"/>
            <w:noWrap/>
          </w:tcPr>
          <w:p w:rsidR="008237BB" w:rsidRPr="00120C38" w:rsidRDefault="008237BB" w:rsidP="001D132F">
            <w:pPr>
              <w:pStyle w:val="Tabletextleft"/>
              <w:cnfStyle w:val="100000000000" w:firstRow="1" w:lastRow="0" w:firstColumn="0" w:lastColumn="0" w:oddVBand="0" w:evenVBand="0" w:oddHBand="0" w:evenHBand="0" w:firstRowFirstColumn="0" w:firstRowLastColumn="0" w:lastRowFirstColumn="0" w:lastRowLastColumn="0"/>
            </w:pPr>
            <w:r w:rsidRPr="00120C38">
              <w:t>250</w:t>
            </w:r>
            <w:r w:rsidR="009D02B6">
              <w:t xml:space="preserve"> year ARI</w:t>
            </w:r>
          </w:p>
        </w:tc>
        <w:tc>
          <w:tcPr>
            <w:cnfStyle w:val="000010000000" w:firstRow="0" w:lastRow="0" w:firstColumn="0" w:lastColumn="0" w:oddVBand="1" w:evenVBand="0" w:oddHBand="0" w:evenHBand="0" w:firstRowFirstColumn="0" w:firstRowLastColumn="0" w:lastRowFirstColumn="0" w:lastRowLastColumn="0"/>
            <w:tcW w:w="955" w:type="dxa"/>
            <w:noWrap/>
          </w:tcPr>
          <w:p w:rsidR="008237BB" w:rsidRPr="00120C38" w:rsidRDefault="008237BB" w:rsidP="001D132F">
            <w:pPr>
              <w:pStyle w:val="Tabletextleft"/>
            </w:pPr>
            <w:r w:rsidRPr="00120C38">
              <w:t>1000</w:t>
            </w:r>
            <w:r w:rsidR="009D02B6">
              <w:t xml:space="preserve"> year ARI</w:t>
            </w:r>
          </w:p>
        </w:tc>
        <w:tc>
          <w:tcPr>
            <w:tcW w:w="1094" w:type="dxa"/>
            <w:noWrap/>
          </w:tcPr>
          <w:p w:rsidR="008237BB" w:rsidRPr="00120C38" w:rsidRDefault="008237BB" w:rsidP="001D132F">
            <w:pPr>
              <w:pStyle w:val="Tabletextleft"/>
              <w:cnfStyle w:val="100000000000" w:firstRow="1" w:lastRow="0" w:firstColumn="0" w:lastColumn="0" w:oddVBand="0" w:evenVBand="0" w:oddHBand="0" w:evenHBand="0" w:firstRowFirstColumn="0" w:firstRowLastColumn="0" w:lastRowFirstColumn="0" w:lastRowLastColumn="0"/>
            </w:pPr>
            <w:r w:rsidRPr="00120C38">
              <w:t>10 000</w:t>
            </w:r>
            <w:r w:rsidR="009D02B6">
              <w:t xml:space="preserve"> year ARI</w:t>
            </w:r>
          </w:p>
        </w:tc>
      </w:tr>
      <w:tr w:rsidR="008237BB" w:rsidRPr="00C504FF" w:rsidTr="009D02B6">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43" w:type="dxa"/>
            <w:noWrap/>
            <w:vAlign w:val="center"/>
          </w:tcPr>
          <w:p w:rsidR="008237BB" w:rsidRPr="00791D90" w:rsidRDefault="008237BB" w:rsidP="001D132F">
            <w:pPr>
              <w:pStyle w:val="Tabletextleft"/>
            </w:pPr>
            <w:r w:rsidRPr="00791D90">
              <w:t>0 m (current climate)</w:t>
            </w:r>
          </w:p>
        </w:tc>
        <w:tc>
          <w:tcPr>
            <w:tcW w:w="1408" w:type="dxa"/>
            <w:noWrap/>
          </w:tcPr>
          <w:p w:rsidR="008237BB" w:rsidRPr="00791D90"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791D90">
              <w:t>Extra-Tropical</w:t>
            </w:r>
          </w:p>
        </w:tc>
        <w:tc>
          <w:tcPr>
            <w:cnfStyle w:val="000010000000" w:firstRow="0" w:lastRow="0" w:firstColumn="0" w:lastColumn="0" w:oddVBand="1" w:evenVBand="0" w:oddHBand="0" w:evenHBand="0" w:firstRowFirstColumn="0" w:firstRowLastColumn="0" w:lastRowFirstColumn="0" w:lastRowLastColumn="0"/>
            <w:tcW w:w="968" w:type="dxa"/>
            <w:noWrap/>
          </w:tcPr>
          <w:p w:rsidR="008237BB" w:rsidRPr="00791D90" w:rsidRDefault="008237BB" w:rsidP="001D132F">
            <w:pPr>
              <w:pStyle w:val="Tabletextleft"/>
            </w:pPr>
            <w:r w:rsidRPr="00791D90">
              <w:t>Area 4</w:t>
            </w:r>
          </w:p>
        </w:tc>
        <w:tc>
          <w:tcPr>
            <w:tcW w:w="837" w:type="dxa"/>
            <w:noWrap/>
          </w:tcPr>
          <w:p w:rsidR="008237BB" w:rsidRPr="00791D90"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791D90">
              <w:t>2.93</w:t>
            </w:r>
          </w:p>
        </w:tc>
        <w:tc>
          <w:tcPr>
            <w:cnfStyle w:val="000010000000" w:firstRow="0" w:lastRow="0" w:firstColumn="0" w:lastColumn="0" w:oddVBand="1" w:evenVBand="0" w:oddHBand="0" w:evenHBand="0" w:firstRowFirstColumn="0" w:firstRowLastColumn="0" w:lastRowFirstColumn="0" w:lastRowLastColumn="0"/>
            <w:tcW w:w="837" w:type="dxa"/>
            <w:noWrap/>
          </w:tcPr>
          <w:p w:rsidR="008237BB" w:rsidRPr="00791D90" w:rsidRDefault="008237BB" w:rsidP="001D132F">
            <w:pPr>
              <w:pStyle w:val="Tabletextleft"/>
            </w:pPr>
            <w:r w:rsidRPr="00791D90">
              <w:t>2.99</w:t>
            </w:r>
          </w:p>
        </w:tc>
        <w:tc>
          <w:tcPr>
            <w:tcW w:w="837" w:type="dxa"/>
            <w:noWrap/>
          </w:tcPr>
          <w:p w:rsidR="008237BB" w:rsidRPr="00791D90"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791D90">
              <w:t>3.07</w:t>
            </w:r>
          </w:p>
        </w:tc>
        <w:tc>
          <w:tcPr>
            <w:cnfStyle w:val="000010000000" w:firstRow="0" w:lastRow="0" w:firstColumn="0" w:lastColumn="0" w:oddVBand="1" w:evenVBand="0" w:oddHBand="0" w:evenHBand="0" w:firstRowFirstColumn="0" w:firstRowLastColumn="0" w:lastRowFirstColumn="0" w:lastRowLastColumn="0"/>
            <w:tcW w:w="955" w:type="dxa"/>
            <w:noWrap/>
          </w:tcPr>
          <w:p w:rsidR="008237BB" w:rsidRPr="00791D90" w:rsidRDefault="008237BB" w:rsidP="001D132F">
            <w:pPr>
              <w:pStyle w:val="Tabletextleft"/>
            </w:pPr>
            <w:r w:rsidRPr="00791D90">
              <w:t>3.18</w:t>
            </w:r>
          </w:p>
        </w:tc>
        <w:tc>
          <w:tcPr>
            <w:tcW w:w="1094" w:type="dxa"/>
            <w:noWrap/>
          </w:tcPr>
          <w:p w:rsidR="008237BB" w:rsidRPr="00791D90"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791D90">
              <w:t>3.36</w:t>
            </w:r>
          </w:p>
        </w:tc>
      </w:tr>
      <w:tr w:rsidR="008237BB" w:rsidRPr="00C504FF" w:rsidTr="009D02B6">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43" w:type="dxa"/>
            <w:shd w:val="clear" w:color="auto" w:fill="DADADA"/>
          </w:tcPr>
          <w:p w:rsidR="008237BB" w:rsidRPr="00791D90" w:rsidRDefault="009D02B6" w:rsidP="001D132F">
            <w:pPr>
              <w:pStyle w:val="Tabletextleft"/>
            </w:pPr>
            <w:r w:rsidRPr="00791D90">
              <w:t>0 m (current climate)</w:t>
            </w:r>
          </w:p>
        </w:tc>
        <w:tc>
          <w:tcPr>
            <w:tcW w:w="1408" w:type="dxa"/>
            <w:shd w:val="clear" w:color="auto" w:fill="DADADA"/>
          </w:tcPr>
          <w:p w:rsidR="008237BB" w:rsidRPr="00791D90" w:rsidRDefault="009D02B6" w:rsidP="001D132F">
            <w:pPr>
              <w:pStyle w:val="Tabletextleft"/>
              <w:cnfStyle w:val="000000010000" w:firstRow="0" w:lastRow="0" w:firstColumn="0" w:lastColumn="0" w:oddVBand="0" w:evenVBand="0" w:oddHBand="0" w:evenHBand="1" w:firstRowFirstColumn="0" w:firstRowLastColumn="0" w:lastRowFirstColumn="0" w:lastRowLastColumn="0"/>
            </w:pPr>
            <w:r w:rsidRPr="00791D90">
              <w:t>Extra-Tropical</w:t>
            </w:r>
          </w:p>
        </w:tc>
        <w:tc>
          <w:tcPr>
            <w:cnfStyle w:val="000010000000" w:firstRow="0" w:lastRow="0" w:firstColumn="0" w:lastColumn="0" w:oddVBand="1" w:evenVBand="0" w:oddHBand="0" w:evenHBand="0" w:firstRowFirstColumn="0" w:firstRowLastColumn="0" w:lastRowFirstColumn="0" w:lastRowLastColumn="0"/>
            <w:tcW w:w="968" w:type="dxa"/>
            <w:noWrap/>
          </w:tcPr>
          <w:p w:rsidR="008237BB" w:rsidRPr="00791D90" w:rsidRDefault="008237BB" w:rsidP="001D132F">
            <w:pPr>
              <w:pStyle w:val="Tabletextleft"/>
            </w:pPr>
            <w:r w:rsidRPr="00791D90">
              <w:t>Area 5</w:t>
            </w:r>
          </w:p>
        </w:tc>
        <w:tc>
          <w:tcPr>
            <w:tcW w:w="837" w:type="dxa"/>
            <w:noWrap/>
          </w:tcPr>
          <w:p w:rsidR="008237BB" w:rsidRPr="00791D90"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791D90">
              <w:t>2.70</w:t>
            </w:r>
          </w:p>
        </w:tc>
        <w:tc>
          <w:tcPr>
            <w:cnfStyle w:val="000010000000" w:firstRow="0" w:lastRow="0" w:firstColumn="0" w:lastColumn="0" w:oddVBand="1" w:evenVBand="0" w:oddHBand="0" w:evenHBand="0" w:firstRowFirstColumn="0" w:firstRowLastColumn="0" w:lastRowFirstColumn="0" w:lastRowLastColumn="0"/>
            <w:tcW w:w="837" w:type="dxa"/>
            <w:noWrap/>
          </w:tcPr>
          <w:p w:rsidR="008237BB" w:rsidRPr="00791D90" w:rsidRDefault="008237BB" w:rsidP="001D132F">
            <w:pPr>
              <w:pStyle w:val="Tabletextleft"/>
            </w:pPr>
            <w:r w:rsidRPr="00791D90">
              <w:t>2.74</w:t>
            </w:r>
          </w:p>
        </w:tc>
        <w:tc>
          <w:tcPr>
            <w:tcW w:w="837" w:type="dxa"/>
            <w:noWrap/>
          </w:tcPr>
          <w:p w:rsidR="008237BB" w:rsidRPr="00791D90"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791D90">
              <w:t>2.79</w:t>
            </w:r>
          </w:p>
        </w:tc>
        <w:tc>
          <w:tcPr>
            <w:cnfStyle w:val="000010000000" w:firstRow="0" w:lastRow="0" w:firstColumn="0" w:lastColumn="0" w:oddVBand="1" w:evenVBand="0" w:oddHBand="0" w:evenHBand="0" w:firstRowFirstColumn="0" w:firstRowLastColumn="0" w:lastRowFirstColumn="0" w:lastRowLastColumn="0"/>
            <w:tcW w:w="955" w:type="dxa"/>
            <w:noWrap/>
          </w:tcPr>
          <w:p w:rsidR="008237BB" w:rsidRPr="00791D90" w:rsidRDefault="008237BB" w:rsidP="001D132F">
            <w:pPr>
              <w:pStyle w:val="Tabletextleft"/>
            </w:pPr>
            <w:r w:rsidRPr="00791D90">
              <w:t>2.87</w:t>
            </w:r>
          </w:p>
        </w:tc>
        <w:tc>
          <w:tcPr>
            <w:tcW w:w="1094" w:type="dxa"/>
            <w:noWrap/>
          </w:tcPr>
          <w:p w:rsidR="008237BB" w:rsidRPr="00791D90"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791D90">
              <w:t>3.00</w:t>
            </w:r>
          </w:p>
        </w:tc>
      </w:tr>
      <w:tr w:rsidR="008237BB" w:rsidRPr="00C504FF" w:rsidTr="009D02B6">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43" w:type="dxa"/>
          </w:tcPr>
          <w:p w:rsidR="008237BB" w:rsidRPr="00791D90" w:rsidRDefault="009D02B6" w:rsidP="001D132F">
            <w:pPr>
              <w:pStyle w:val="Tabletextleft"/>
            </w:pPr>
            <w:r w:rsidRPr="00791D90">
              <w:t>0 m (current climate)</w:t>
            </w:r>
          </w:p>
        </w:tc>
        <w:tc>
          <w:tcPr>
            <w:tcW w:w="1408" w:type="dxa"/>
            <w:noWrap/>
          </w:tcPr>
          <w:p w:rsidR="008237BB" w:rsidRPr="00791D90"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791D90">
              <w:t>Tropical</w:t>
            </w:r>
          </w:p>
        </w:tc>
        <w:tc>
          <w:tcPr>
            <w:cnfStyle w:val="000010000000" w:firstRow="0" w:lastRow="0" w:firstColumn="0" w:lastColumn="0" w:oddVBand="1" w:evenVBand="0" w:oddHBand="0" w:evenHBand="0" w:firstRowFirstColumn="0" w:firstRowLastColumn="0" w:lastRowFirstColumn="0" w:lastRowLastColumn="0"/>
            <w:tcW w:w="968" w:type="dxa"/>
            <w:noWrap/>
          </w:tcPr>
          <w:p w:rsidR="008237BB" w:rsidRPr="00791D90" w:rsidRDefault="008237BB" w:rsidP="001D132F">
            <w:pPr>
              <w:pStyle w:val="Tabletextleft"/>
            </w:pPr>
            <w:r w:rsidRPr="00791D90">
              <w:t>Area 4</w:t>
            </w:r>
          </w:p>
        </w:tc>
        <w:tc>
          <w:tcPr>
            <w:tcW w:w="837" w:type="dxa"/>
            <w:noWrap/>
          </w:tcPr>
          <w:p w:rsidR="008237BB" w:rsidRPr="00791D90"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791D90">
              <w:t>2.58</w:t>
            </w:r>
          </w:p>
        </w:tc>
        <w:tc>
          <w:tcPr>
            <w:cnfStyle w:val="000010000000" w:firstRow="0" w:lastRow="0" w:firstColumn="0" w:lastColumn="0" w:oddVBand="1" w:evenVBand="0" w:oddHBand="0" w:evenHBand="0" w:firstRowFirstColumn="0" w:firstRowLastColumn="0" w:lastRowFirstColumn="0" w:lastRowLastColumn="0"/>
            <w:tcW w:w="837" w:type="dxa"/>
            <w:noWrap/>
          </w:tcPr>
          <w:p w:rsidR="008237BB" w:rsidRPr="00791D90" w:rsidRDefault="008237BB" w:rsidP="001D132F">
            <w:pPr>
              <w:pStyle w:val="Tabletextleft"/>
            </w:pPr>
            <w:r w:rsidRPr="00791D90">
              <w:t>2.68</w:t>
            </w:r>
          </w:p>
        </w:tc>
        <w:tc>
          <w:tcPr>
            <w:tcW w:w="837" w:type="dxa"/>
            <w:noWrap/>
          </w:tcPr>
          <w:p w:rsidR="008237BB" w:rsidRPr="00791D90"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791D90">
              <w:t>2.86</w:t>
            </w:r>
          </w:p>
        </w:tc>
        <w:tc>
          <w:tcPr>
            <w:cnfStyle w:val="000010000000" w:firstRow="0" w:lastRow="0" w:firstColumn="0" w:lastColumn="0" w:oddVBand="1" w:evenVBand="0" w:oddHBand="0" w:evenHBand="0" w:firstRowFirstColumn="0" w:firstRowLastColumn="0" w:lastRowFirstColumn="0" w:lastRowLastColumn="0"/>
            <w:tcW w:w="955" w:type="dxa"/>
            <w:noWrap/>
          </w:tcPr>
          <w:p w:rsidR="008237BB" w:rsidRPr="00791D90" w:rsidRDefault="008237BB" w:rsidP="001D132F">
            <w:pPr>
              <w:pStyle w:val="Tabletextleft"/>
            </w:pPr>
            <w:r w:rsidRPr="00791D90">
              <w:t>3.19</w:t>
            </w:r>
          </w:p>
        </w:tc>
        <w:tc>
          <w:tcPr>
            <w:tcW w:w="1094" w:type="dxa"/>
            <w:noWrap/>
          </w:tcPr>
          <w:p w:rsidR="008237BB" w:rsidRPr="00791D90"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791D90">
              <w:t>3.49</w:t>
            </w:r>
          </w:p>
        </w:tc>
      </w:tr>
      <w:tr w:rsidR="008237BB" w:rsidRPr="00C504FF" w:rsidTr="009D02B6">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43" w:type="dxa"/>
            <w:shd w:val="clear" w:color="auto" w:fill="DADADA"/>
          </w:tcPr>
          <w:p w:rsidR="008237BB" w:rsidRPr="00791D90" w:rsidRDefault="009D02B6" w:rsidP="001D132F">
            <w:pPr>
              <w:pStyle w:val="Tabletextleft"/>
            </w:pPr>
            <w:r w:rsidRPr="00791D90">
              <w:t>0 m (current climate</w:t>
            </w:r>
          </w:p>
        </w:tc>
        <w:tc>
          <w:tcPr>
            <w:tcW w:w="1408" w:type="dxa"/>
            <w:shd w:val="clear" w:color="auto" w:fill="DADADA"/>
          </w:tcPr>
          <w:p w:rsidR="008237BB" w:rsidRPr="00791D90" w:rsidRDefault="009D02B6" w:rsidP="001D132F">
            <w:pPr>
              <w:pStyle w:val="Tabletextleft"/>
              <w:cnfStyle w:val="000000010000" w:firstRow="0" w:lastRow="0" w:firstColumn="0" w:lastColumn="0" w:oddVBand="0" w:evenVBand="0" w:oddHBand="0" w:evenHBand="1" w:firstRowFirstColumn="0" w:firstRowLastColumn="0" w:lastRowFirstColumn="0" w:lastRowLastColumn="0"/>
            </w:pPr>
            <w:r w:rsidRPr="00791D90">
              <w:t>Tropical</w:t>
            </w:r>
          </w:p>
        </w:tc>
        <w:tc>
          <w:tcPr>
            <w:cnfStyle w:val="000010000000" w:firstRow="0" w:lastRow="0" w:firstColumn="0" w:lastColumn="0" w:oddVBand="1" w:evenVBand="0" w:oddHBand="0" w:evenHBand="0" w:firstRowFirstColumn="0" w:firstRowLastColumn="0" w:lastRowFirstColumn="0" w:lastRowLastColumn="0"/>
            <w:tcW w:w="968" w:type="dxa"/>
            <w:noWrap/>
          </w:tcPr>
          <w:p w:rsidR="008237BB" w:rsidRPr="00791D90" w:rsidRDefault="008237BB" w:rsidP="001D132F">
            <w:pPr>
              <w:pStyle w:val="Tabletextleft"/>
            </w:pPr>
            <w:r w:rsidRPr="00791D90">
              <w:t>Area 5</w:t>
            </w:r>
          </w:p>
        </w:tc>
        <w:tc>
          <w:tcPr>
            <w:tcW w:w="837" w:type="dxa"/>
            <w:noWrap/>
          </w:tcPr>
          <w:p w:rsidR="008237BB" w:rsidRPr="00791D90"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791D90">
              <w:t>2.49</w:t>
            </w:r>
          </w:p>
        </w:tc>
        <w:tc>
          <w:tcPr>
            <w:cnfStyle w:val="000010000000" w:firstRow="0" w:lastRow="0" w:firstColumn="0" w:lastColumn="0" w:oddVBand="1" w:evenVBand="0" w:oddHBand="0" w:evenHBand="0" w:firstRowFirstColumn="0" w:firstRowLastColumn="0" w:lastRowFirstColumn="0" w:lastRowLastColumn="0"/>
            <w:tcW w:w="837" w:type="dxa"/>
            <w:noWrap/>
          </w:tcPr>
          <w:p w:rsidR="008237BB" w:rsidRPr="00791D90" w:rsidRDefault="008237BB" w:rsidP="001D132F">
            <w:pPr>
              <w:pStyle w:val="Tabletextleft"/>
            </w:pPr>
            <w:r w:rsidRPr="00791D90">
              <w:t>2.62</w:t>
            </w:r>
          </w:p>
        </w:tc>
        <w:tc>
          <w:tcPr>
            <w:tcW w:w="837" w:type="dxa"/>
            <w:noWrap/>
          </w:tcPr>
          <w:p w:rsidR="008237BB" w:rsidRPr="00791D90"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791D90">
              <w:t>2.85</w:t>
            </w:r>
          </w:p>
        </w:tc>
        <w:tc>
          <w:tcPr>
            <w:cnfStyle w:val="000010000000" w:firstRow="0" w:lastRow="0" w:firstColumn="0" w:lastColumn="0" w:oddVBand="1" w:evenVBand="0" w:oddHBand="0" w:evenHBand="0" w:firstRowFirstColumn="0" w:firstRowLastColumn="0" w:lastRowFirstColumn="0" w:lastRowLastColumn="0"/>
            <w:tcW w:w="955" w:type="dxa"/>
            <w:noWrap/>
          </w:tcPr>
          <w:p w:rsidR="008237BB" w:rsidRPr="00791D90" w:rsidRDefault="008237BB" w:rsidP="001D132F">
            <w:pPr>
              <w:pStyle w:val="Tabletextleft"/>
            </w:pPr>
            <w:r w:rsidRPr="00791D90">
              <w:t>3.24</w:t>
            </w:r>
          </w:p>
        </w:tc>
        <w:tc>
          <w:tcPr>
            <w:tcW w:w="1094" w:type="dxa"/>
            <w:noWrap/>
          </w:tcPr>
          <w:p w:rsidR="008237BB" w:rsidRPr="00791D90"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791D90">
              <w:t>3.79</w:t>
            </w:r>
          </w:p>
        </w:tc>
      </w:tr>
    </w:tbl>
    <w:p w:rsidR="008237BB" w:rsidRDefault="008237BB" w:rsidP="008237BB">
      <w:pPr>
        <w:pStyle w:val="BodyText"/>
      </w:pPr>
      <w:bookmarkStart w:id="4119" w:name="_Toc341445287"/>
      <w:bookmarkStart w:id="4120" w:name="_Toc342638517"/>
    </w:p>
    <w:p w:rsidR="008237BB" w:rsidRPr="0017121D" w:rsidRDefault="008237BB" w:rsidP="00935848">
      <w:pPr>
        <w:pStyle w:val="Headingappendix3"/>
      </w:pPr>
      <w:bookmarkStart w:id="4121" w:name="_Toc346261018"/>
      <w:bookmarkStart w:id="4122" w:name="_Toc346632580"/>
      <w:bookmarkStart w:id="4123" w:name="_Toc346632796"/>
      <w:bookmarkStart w:id="4124" w:name="_Toc346632908"/>
      <w:bookmarkStart w:id="4125" w:name="_Toc346633132"/>
      <w:bookmarkStart w:id="4126" w:name="_Toc346633244"/>
      <w:bookmarkStart w:id="4127" w:name="_Toc347401677"/>
      <w:bookmarkStart w:id="4128" w:name="_Toc347401789"/>
      <w:bookmarkStart w:id="4129" w:name="_Toc347402013"/>
      <w:bookmarkStart w:id="4130" w:name="_Toc347402125"/>
      <w:bookmarkStart w:id="4131" w:name="_Toc347402515"/>
      <w:bookmarkStart w:id="4132" w:name="_Toc349055087"/>
      <w:bookmarkStart w:id="4133" w:name="_Toc349055305"/>
      <w:bookmarkStart w:id="4134" w:name="_Toc349055418"/>
      <w:bookmarkStart w:id="4135" w:name="_Toc349055644"/>
      <w:bookmarkStart w:id="4136" w:name="_Toc349055757"/>
      <w:bookmarkStart w:id="4137" w:name="_Toc349116994"/>
      <w:bookmarkStart w:id="4138" w:name="_Toc350330080"/>
      <w:bookmarkStart w:id="4139" w:name="_Toc350344059"/>
      <w:bookmarkStart w:id="4140" w:name="_Toc354402049"/>
      <w:bookmarkStart w:id="4141" w:name="_Toc354476546"/>
      <w:bookmarkStart w:id="4142" w:name="_Toc354492775"/>
      <w:bookmarkStart w:id="4143" w:name="_Toc354492902"/>
      <w:bookmarkStart w:id="4144" w:name="_Toc354493022"/>
      <w:bookmarkStart w:id="4145" w:name="_Toc354493153"/>
      <w:bookmarkStart w:id="4146" w:name="_Toc354493314"/>
      <w:bookmarkStart w:id="4147" w:name="_Toc354494524"/>
      <w:bookmarkStart w:id="4148" w:name="_Toc354494735"/>
      <w:bookmarkStart w:id="4149" w:name="_Toc354495029"/>
      <w:bookmarkStart w:id="4150" w:name="_Toc354497911"/>
      <w:bookmarkStart w:id="4151" w:name="_Toc354561324"/>
      <w:bookmarkStart w:id="4152" w:name="_Toc355164236"/>
      <w:bookmarkStart w:id="4153" w:name="_Toc355249665"/>
      <w:r>
        <w:t>Future Climate</w:t>
      </w:r>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p>
    <w:p w:rsidR="008237BB" w:rsidRDefault="008237BB" w:rsidP="009340CE">
      <w:pPr>
        <w:pStyle w:val="Headingappendix4"/>
      </w:pPr>
      <w:bookmarkStart w:id="4154" w:name="_Toc341445288"/>
      <w:bookmarkStart w:id="4155" w:name="_Toc342638518"/>
      <w:bookmarkStart w:id="4156" w:name="_Toc346261019"/>
      <w:bookmarkStart w:id="4157" w:name="_Toc346632581"/>
      <w:bookmarkStart w:id="4158" w:name="_Toc347402516"/>
      <w:bookmarkStart w:id="4159" w:name="_Toc349055088"/>
      <w:bookmarkStart w:id="4160" w:name="_Toc349116995"/>
      <w:bookmarkStart w:id="4161" w:name="_Toc354402050"/>
      <w:bookmarkStart w:id="4162" w:name="_Toc354476547"/>
      <w:bookmarkStart w:id="4163" w:name="_Toc354492776"/>
      <w:bookmarkStart w:id="4164" w:name="_Toc354493023"/>
      <w:bookmarkStart w:id="4165" w:name="_Toc354493154"/>
      <w:bookmarkStart w:id="4166" w:name="_Toc354493315"/>
      <w:bookmarkStart w:id="4167" w:name="_Toc355164237"/>
      <w:r>
        <w:t>Storm tide modelling</w:t>
      </w:r>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p>
    <w:p w:rsidR="008237BB" w:rsidRDefault="008237BB" w:rsidP="008237BB">
      <w:pPr>
        <w:pStyle w:val="BodyText"/>
      </w:pPr>
      <w:r w:rsidRPr="009E3881">
        <w:t>The ACE CRC study</w:t>
      </w:r>
      <w:r>
        <w:t xml:space="preserve"> (Haigh </w:t>
      </w:r>
      <w:r w:rsidRPr="007B6C0C">
        <w:rPr>
          <w:rStyle w:val="Bodytextitalic"/>
        </w:rPr>
        <w:t>et al.,</w:t>
      </w:r>
      <w:r>
        <w:t xml:space="preserve"> 2012)</w:t>
      </w:r>
      <w:r w:rsidRPr="009E3881">
        <w:t xml:space="preserve"> did</w:t>
      </w:r>
      <w:r>
        <w:t xml:space="preserve"> not</w:t>
      </w:r>
      <w:r w:rsidRPr="009E3881">
        <w:t xml:space="preserve"> </w:t>
      </w:r>
      <w:r>
        <w:t>undertake any future-climate</w:t>
      </w:r>
      <w:r w:rsidRPr="009E3881">
        <w:t xml:space="preserve"> modelling. </w:t>
      </w:r>
      <w:r>
        <w:t>Therefore, the sea</w:t>
      </w:r>
      <w:r>
        <w:noBreakHyphen/>
        <w:t>level rise scenarios, as described in the sea-level rise section (p</w:t>
      </w:r>
      <w:r>
        <w:fldChar w:fldCharType="begin"/>
      </w:r>
      <w:r>
        <w:instrText xml:space="preserve"> PAGEREF _Ref345578756 \h </w:instrText>
      </w:r>
      <w:r>
        <w:fldChar w:fldCharType="separate"/>
      </w:r>
      <w:r w:rsidR="00413858">
        <w:rPr>
          <w:noProof/>
        </w:rPr>
        <w:t>133</w:t>
      </w:r>
      <w:r>
        <w:fldChar w:fldCharType="end"/>
      </w:r>
      <w:r>
        <w:t>), were combined with the current-climate storm-tide assessment (</w:t>
      </w:r>
      <w:r w:rsidR="001B78DC">
        <w:fldChar w:fldCharType="begin"/>
      </w:r>
      <w:r w:rsidR="001B78DC">
        <w:instrText xml:space="preserve"> REF _Ref354581412 \h </w:instrText>
      </w:r>
      <w:r w:rsidR="001B78DC">
        <w:fldChar w:fldCharType="separate"/>
      </w:r>
      <w:r w:rsidR="00413858">
        <w:t xml:space="preserve">Appendix Table </w:t>
      </w:r>
      <w:r w:rsidR="00413858">
        <w:rPr>
          <w:noProof/>
        </w:rPr>
        <w:t>C</w:t>
      </w:r>
      <w:r w:rsidR="00413858">
        <w:t>.</w:t>
      </w:r>
      <w:r w:rsidR="00413858">
        <w:rPr>
          <w:noProof/>
        </w:rPr>
        <w:t>1</w:t>
      </w:r>
      <w:r w:rsidR="001B78DC">
        <w:fldChar w:fldCharType="end"/>
      </w:r>
      <w:r>
        <w:t>), to model future-climate storm-tide hazard (</w:t>
      </w:r>
      <w:r w:rsidR="001B78DC">
        <w:fldChar w:fldCharType="begin"/>
      </w:r>
      <w:r w:rsidR="001B78DC">
        <w:instrText xml:space="preserve"> REF _Ref354581474 \h </w:instrText>
      </w:r>
      <w:r w:rsidR="001B78DC">
        <w:fldChar w:fldCharType="separate"/>
      </w:r>
      <w:r w:rsidR="00413858">
        <w:t xml:space="preserve">Appendix Table </w:t>
      </w:r>
      <w:r w:rsidR="00413858">
        <w:rPr>
          <w:noProof/>
        </w:rPr>
        <w:t>C</w:t>
      </w:r>
      <w:r w:rsidR="00413858">
        <w:t>.</w:t>
      </w:r>
      <w:r w:rsidR="00413858">
        <w:rPr>
          <w:noProof/>
        </w:rPr>
        <w:t>2</w:t>
      </w:r>
      <w:r w:rsidR="001B78DC">
        <w:fldChar w:fldCharType="end"/>
      </w:r>
      <w:r>
        <w:t xml:space="preserve">). This method has also been applied by the ACE CRC within the Canute </w:t>
      </w:r>
      <w:r>
        <w:lastRenderedPageBreak/>
        <w:t>Sea Level Calculator</w:t>
      </w:r>
      <w:r>
        <w:rPr>
          <w:rStyle w:val="FootnoteReference"/>
        </w:rPr>
        <w:footnoteReference w:id="29"/>
      </w:r>
      <w:r>
        <w:t xml:space="preserve"> which provides a user interface to identify combined current-climate storm tide and sea-level rise around Australia for extra</w:t>
      </w:r>
      <w:r>
        <w:noBreakHyphen/>
        <w:t>tropical storms only.</w:t>
      </w:r>
    </w:p>
    <w:p w:rsidR="00DF77DB" w:rsidRDefault="008237BB" w:rsidP="00DF77DB">
      <w:pPr>
        <w:pStyle w:val="BodyText"/>
      </w:pPr>
      <w:r>
        <w:t>Spatial queries were completed, as described in the current-climate storm-tide modelling section, for each of the water heights shown in</w:t>
      </w:r>
      <w:r w:rsidR="001B78DC">
        <w:t xml:space="preserve"> </w:t>
      </w:r>
      <w:r w:rsidR="001B78DC">
        <w:fldChar w:fldCharType="begin"/>
      </w:r>
      <w:r w:rsidR="001B78DC">
        <w:instrText xml:space="preserve"> REF _Ref354581474 \h </w:instrText>
      </w:r>
      <w:r w:rsidR="001B78DC">
        <w:fldChar w:fldCharType="separate"/>
      </w:r>
      <w:r w:rsidR="00413858">
        <w:t xml:space="preserve">Appendix Table </w:t>
      </w:r>
      <w:r w:rsidR="00413858">
        <w:rPr>
          <w:noProof/>
        </w:rPr>
        <w:t>C</w:t>
      </w:r>
      <w:r w:rsidR="00413858">
        <w:t>.</w:t>
      </w:r>
      <w:r w:rsidR="00413858">
        <w:rPr>
          <w:noProof/>
        </w:rPr>
        <w:t>2</w:t>
      </w:r>
      <w:r w:rsidR="001B78DC">
        <w:fldChar w:fldCharType="end"/>
      </w:r>
      <w:r>
        <w:t>.</w:t>
      </w:r>
      <w:bookmarkStart w:id="4168" w:name="_Ref350328471"/>
      <w:bookmarkStart w:id="4169" w:name="_Ref340758417"/>
      <w:bookmarkStart w:id="4170" w:name="_Toc342638695"/>
      <w:bookmarkStart w:id="4171" w:name="_Toc350325403"/>
      <w:bookmarkStart w:id="4172" w:name="_Toc350328021"/>
      <w:bookmarkStart w:id="4173" w:name="_Toc354476790"/>
      <w:bookmarkStart w:id="4174" w:name="_Toc354494653"/>
    </w:p>
    <w:p w:rsidR="001B78DC" w:rsidRDefault="001B78DC" w:rsidP="00253307">
      <w:pPr>
        <w:pStyle w:val="Tabletitle"/>
      </w:pPr>
      <w:bookmarkStart w:id="4175" w:name="_Ref354581474"/>
      <w:bookmarkStart w:id="4176" w:name="_Toc355016439"/>
      <w:bookmarkStart w:id="4177" w:name="_Toc355016500"/>
      <w:bookmarkStart w:id="4178" w:name="_Toc355073370"/>
      <w:bookmarkStart w:id="4179" w:name="_Toc355162320"/>
      <w:bookmarkStart w:id="4180" w:name="_Toc355249463"/>
      <w:bookmarkEnd w:id="4168"/>
      <w:bookmarkEnd w:id="4169"/>
      <w:bookmarkEnd w:id="4170"/>
      <w:bookmarkEnd w:id="4171"/>
      <w:bookmarkEnd w:id="4172"/>
      <w:bookmarkEnd w:id="4173"/>
      <w:bookmarkEnd w:id="4174"/>
      <w:r>
        <w:t xml:space="preserve">Appendix Table </w:t>
      </w:r>
      <w:r w:rsidR="007F11CF">
        <w:fldChar w:fldCharType="begin"/>
      </w:r>
      <w:r w:rsidR="007F11CF">
        <w:instrText xml:space="preserve"> STYLEREF 9 \s </w:instrText>
      </w:r>
      <w:r w:rsidR="007F11CF">
        <w:fldChar w:fldCharType="separate"/>
      </w:r>
      <w:r w:rsidR="00413858">
        <w:rPr>
          <w:noProof/>
        </w:rPr>
        <w:t>C</w:t>
      </w:r>
      <w:r w:rsidR="007F11CF">
        <w:rPr>
          <w:noProof/>
        </w:rPr>
        <w:fldChar w:fldCharType="end"/>
      </w:r>
      <w:r w:rsidR="00162079">
        <w:t>.</w:t>
      </w:r>
      <w:r w:rsidR="007F11CF">
        <w:fldChar w:fldCharType="begin"/>
      </w:r>
      <w:r w:rsidR="007F11CF">
        <w:instrText xml:space="preserve"> SEQ Appendix_Table \* ARAB</w:instrText>
      </w:r>
      <w:r w:rsidR="007F11CF">
        <w:instrText xml:space="preserve">IC \s 9 </w:instrText>
      </w:r>
      <w:r w:rsidR="007F11CF">
        <w:fldChar w:fldCharType="separate"/>
      </w:r>
      <w:r w:rsidR="00413858">
        <w:rPr>
          <w:noProof/>
        </w:rPr>
        <w:t>2</w:t>
      </w:r>
      <w:r w:rsidR="007F11CF">
        <w:rPr>
          <w:noProof/>
        </w:rPr>
        <w:fldChar w:fldCharType="end"/>
      </w:r>
      <w:bookmarkEnd w:id="4175"/>
      <w:r>
        <w:t>. Storm tide plus sea-level rise scenario water heights (m AHD).</w:t>
      </w:r>
      <w:bookmarkEnd w:id="4176"/>
      <w:bookmarkEnd w:id="4177"/>
      <w:bookmarkEnd w:id="4178"/>
      <w:bookmarkEnd w:id="4179"/>
      <w:bookmarkEnd w:id="4180"/>
    </w:p>
    <w:tbl>
      <w:tblPr>
        <w:tblStyle w:val="TableGAHeaderRow"/>
        <w:tblW w:w="9214" w:type="dxa"/>
        <w:tblLook w:val="0020" w:firstRow="1" w:lastRow="0" w:firstColumn="0" w:lastColumn="0" w:noHBand="0" w:noVBand="0"/>
        <w:tblDescription w:val="This table presents the future climate storm tide water levels (above AHD) for both Area 4 and Area 5 within the study area and for each of these areas there both extra-tropical and tropical events are considered. Following the QLD 2050 (current climate + 0.3 m) storm tide water heights (above AHD) are presented. Extra tropical Area 4 storm tide heights are 3.23 m (50 year ARI), 3.29 m (100 year ARI), 3.37 m (250 year ARI), 3.48 m (1000 year ARI) and 3.66 m (10 000 year ARI). Extra tropical Area 5 storm tide heights are 3.00 m (50 year ARI), 3.04 m (100 year ARI), 3.09 m (250 year ARI), 3.17 m (1000 year ARI) and 3.30 m (10 000 year ARI). Tropical Area 4 storm tide heights are 2.88 m (50 year ARI), 2.98 m (100 year ARI), 3.16 m (250 year ARI), 3.49 m (1000 year ARI) and 3.79 m (10 000 year ARI). Tropical Area 5 storm tide heights are 2.79 m (50 year ARI), 2.92 m (100 year ARI), 3.15 m (250 year ARI), 3.54 m (1000 year ARI) and 4.09 m (10 000 year ARI). Following the QLD 2070 (current climate + 0.5 m) storm tide water heights (above AHD) are presented. Extra tropical Area 4 storm tide heights are 3.43 m (50 year ARI), 3.49 m (100 year ARI), 3.57 m (250 year ARI), 3.68 m (1000 year ARI) and 3.86 m (10 000 year ARI). Extra tropical Area 5 storm tide heights are 3.20 m (50 year ARI), 3.24 m (100 year ARI), 3.29 m (250 year ARI), 3.37 m (1000 year ARI) and 3.50 m (10 000 year ARI). Tropical Area 4 storm tide heights are 3.08 m (50 year ARI), 3.18 m (100 year ARI), 3.36 m (250 year ARI), 3.69 m (1000 year ARI) and 3.99 m (10 000 year ARI). Tropical Area 5 storm tide heights are 2.99 m (50 year ARI), 3.12 m (100 year ARI), 3.35 m (250 year ARI), 3.74 m (1000 year ARI) and 4.29 m (10 000 year ARI). Following the QLD 2100 (current climate + 0.8 m) storm tide water heights (above AHD) are presented. Extra tropical Area 4 storm tide heights are 3.73 m (50 year ARI), 3.79 m (100 year ARI), 3.87 m (250 year ARI), 3.98 m (1000 year ARI) and 4.16 m (10 000 year ARI). Extra tropical Area 5 storm tide heights are 3.50 m (50 year ARI), 3.54 m (100 year ARI), 3.59 m (250 year ARI), 3.67 m (1000 year ARI) and 3.80 m (10 000 year ARI). Tropical Area 4 storm tide heights are 3.38 m (50 year ARI), 3.48 m (100 year ARI), 3.66 m (250 year ARI), 3.99 m (1000 year ARI) and 4.29 m (10 000 year ARI). Tropical Area 5 storm tide heights are 3.29 m (50 year ARI), 3.42 m (100 year ARI), 3.65 m (250 year ARI), 4.04 m (1000 year ARI) and 4.59 m (10 000 year ARI). Following the FED 2100 (current climate + 1.1 m) storm tide water heights (above AHD) are presented. Extra tropical Area 4 storm tide heights are 4.03 m (50 year ARI), 4.09 m (100 year ARI), 4.17 m (250 year ARI), 4.28 m (1000 year ARI) and 4.46 m (10 000 year ARI). Extra tropical Area 5 storm tide heights are 3.80 m (50 year ARI), 3.84 m (100 year ARI), 3.89 m (250 year ARI), 3.97 m (1000 year ARI) and 4.10 m (10 000 year ARI). Tropical Area 4 storm tide heights are 3.68 m (50 year ARI), 3.78 m (100 year ARI), 3.96 m (250 year ARI), 4.29 m (1000 year ARI) and 4.59 m (10 000 year ARI). Tropical Area 5 storm tide heights are 3.59 m (50 year ARI), 3.72 m (100 year ARI), 3.95 m (250 year ARI), 4.34 m (1000 year ARI) and 4.89 m (10 000 year ARI)."/>
      </w:tblPr>
      <w:tblGrid>
        <w:gridCol w:w="1985"/>
        <w:gridCol w:w="1701"/>
        <w:gridCol w:w="968"/>
        <w:gridCol w:w="837"/>
        <w:gridCol w:w="837"/>
        <w:gridCol w:w="837"/>
        <w:gridCol w:w="955"/>
        <w:gridCol w:w="1094"/>
      </w:tblGrid>
      <w:tr w:rsidR="008237BB" w:rsidRPr="00DB2C44" w:rsidTr="00F03F3F">
        <w:trPr>
          <w:cnfStyle w:val="100000000000" w:firstRow="1" w:lastRow="0" w:firstColumn="0" w:lastColumn="0" w:oddVBand="0" w:evenVBand="0" w:oddHBand="0" w:evenHBand="0" w:firstRowFirstColumn="0" w:firstRowLastColumn="0" w:lastRowFirstColumn="0" w:lastRowLastColumn="0"/>
          <w:cantSplit w:val="0"/>
          <w:trHeight w:val="270"/>
          <w:tblHeader/>
        </w:trPr>
        <w:tc>
          <w:tcPr>
            <w:cnfStyle w:val="000010000000" w:firstRow="0" w:lastRow="0" w:firstColumn="0" w:lastColumn="0" w:oddVBand="1" w:evenVBand="0" w:oddHBand="0" w:evenHBand="0" w:firstRowFirstColumn="0" w:firstRowLastColumn="0" w:lastRowFirstColumn="0" w:lastRowLastColumn="0"/>
            <w:tcW w:w="1985" w:type="dxa"/>
            <w:noWrap/>
          </w:tcPr>
          <w:p w:rsidR="008237BB" w:rsidRPr="00120C38" w:rsidRDefault="008237BB" w:rsidP="006B54B0">
            <w:pPr>
              <w:pStyle w:val="Tableheadingleft"/>
            </w:pPr>
            <w:r w:rsidRPr="00120C38">
              <w:t>Sea-Level Rise</w:t>
            </w:r>
          </w:p>
        </w:tc>
        <w:tc>
          <w:tcPr>
            <w:tcW w:w="1701" w:type="dxa"/>
            <w:noWrap/>
          </w:tcPr>
          <w:p w:rsidR="008237BB" w:rsidRPr="00120C38" w:rsidRDefault="008237BB" w:rsidP="006B54B0">
            <w:pPr>
              <w:pStyle w:val="Tableheadingleft"/>
              <w:cnfStyle w:val="100000000000" w:firstRow="1" w:lastRow="0" w:firstColumn="0" w:lastColumn="0" w:oddVBand="0" w:evenVBand="0" w:oddHBand="0" w:evenHBand="0" w:firstRowFirstColumn="0" w:firstRowLastColumn="0" w:lastRowFirstColumn="0" w:lastRowLastColumn="0"/>
            </w:pPr>
            <w:r w:rsidRPr="00120C38">
              <w:t>Surge Type</w:t>
            </w:r>
          </w:p>
        </w:tc>
        <w:tc>
          <w:tcPr>
            <w:cnfStyle w:val="000010000000" w:firstRow="0" w:lastRow="0" w:firstColumn="0" w:lastColumn="0" w:oddVBand="1" w:evenVBand="0" w:oddHBand="0" w:evenHBand="0" w:firstRowFirstColumn="0" w:firstRowLastColumn="0" w:lastRowFirstColumn="0" w:lastRowLastColumn="0"/>
            <w:tcW w:w="968" w:type="dxa"/>
            <w:noWrap/>
          </w:tcPr>
          <w:p w:rsidR="008237BB" w:rsidRPr="00120C38" w:rsidRDefault="008237BB" w:rsidP="006B54B0">
            <w:pPr>
              <w:pStyle w:val="Tableheadingleft"/>
            </w:pPr>
            <w:r w:rsidRPr="00120C38">
              <w:t>Area</w:t>
            </w:r>
          </w:p>
        </w:tc>
        <w:tc>
          <w:tcPr>
            <w:tcW w:w="837" w:type="dxa"/>
            <w:noWrap/>
          </w:tcPr>
          <w:p w:rsidR="008237BB" w:rsidRPr="00120C38" w:rsidRDefault="008237BB" w:rsidP="006B54B0">
            <w:pPr>
              <w:pStyle w:val="Tableheadingleft"/>
              <w:cnfStyle w:val="100000000000" w:firstRow="1" w:lastRow="0" w:firstColumn="0" w:lastColumn="0" w:oddVBand="0" w:evenVBand="0" w:oddHBand="0" w:evenHBand="0" w:firstRowFirstColumn="0" w:firstRowLastColumn="0" w:lastRowFirstColumn="0" w:lastRowLastColumn="0"/>
            </w:pPr>
            <w:r w:rsidRPr="00120C38">
              <w:t>50</w:t>
            </w:r>
            <w:r w:rsidR="009D02B6">
              <w:t xml:space="preserve"> year ARI</w:t>
            </w:r>
          </w:p>
        </w:tc>
        <w:tc>
          <w:tcPr>
            <w:cnfStyle w:val="000010000000" w:firstRow="0" w:lastRow="0" w:firstColumn="0" w:lastColumn="0" w:oddVBand="1" w:evenVBand="0" w:oddHBand="0" w:evenHBand="0" w:firstRowFirstColumn="0" w:firstRowLastColumn="0" w:lastRowFirstColumn="0" w:lastRowLastColumn="0"/>
            <w:tcW w:w="837" w:type="dxa"/>
            <w:noWrap/>
          </w:tcPr>
          <w:p w:rsidR="008237BB" w:rsidRPr="00120C38" w:rsidRDefault="008237BB" w:rsidP="006B54B0">
            <w:pPr>
              <w:pStyle w:val="Tableheadingleft"/>
            </w:pPr>
            <w:r w:rsidRPr="00120C38">
              <w:t>100</w:t>
            </w:r>
            <w:r w:rsidR="009D02B6">
              <w:t xml:space="preserve"> year ARI</w:t>
            </w:r>
          </w:p>
        </w:tc>
        <w:tc>
          <w:tcPr>
            <w:tcW w:w="837" w:type="dxa"/>
            <w:noWrap/>
          </w:tcPr>
          <w:p w:rsidR="008237BB" w:rsidRPr="00120C38" w:rsidRDefault="008237BB" w:rsidP="006B54B0">
            <w:pPr>
              <w:pStyle w:val="Tableheadingleft"/>
              <w:cnfStyle w:val="100000000000" w:firstRow="1" w:lastRow="0" w:firstColumn="0" w:lastColumn="0" w:oddVBand="0" w:evenVBand="0" w:oddHBand="0" w:evenHBand="0" w:firstRowFirstColumn="0" w:firstRowLastColumn="0" w:lastRowFirstColumn="0" w:lastRowLastColumn="0"/>
            </w:pPr>
            <w:r w:rsidRPr="00120C38">
              <w:t>250</w:t>
            </w:r>
            <w:r w:rsidR="009D02B6">
              <w:t xml:space="preserve"> year ARI</w:t>
            </w:r>
          </w:p>
        </w:tc>
        <w:tc>
          <w:tcPr>
            <w:cnfStyle w:val="000010000000" w:firstRow="0" w:lastRow="0" w:firstColumn="0" w:lastColumn="0" w:oddVBand="1" w:evenVBand="0" w:oddHBand="0" w:evenHBand="0" w:firstRowFirstColumn="0" w:firstRowLastColumn="0" w:lastRowFirstColumn="0" w:lastRowLastColumn="0"/>
            <w:tcW w:w="955" w:type="dxa"/>
            <w:noWrap/>
          </w:tcPr>
          <w:p w:rsidR="008237BB" w:rsidRPr="00120C38" w:rsidRDefault="008237BB" w:rsidP="006B54B0">
            <w:pPr>
              <w:pStyle w:val="Tableheadingleft"/>
            </w:pPr>
            <w:r w:rsidRPr="00120C38">
              <w:t>1000</w:t>
            </w:r>
            <w:r w:rsidR="009D02B6">
              <w:t xml:space="preserve"> year ARI</w:t>
            </w:r>
          </w:p>
        </w:tc>
        <w:tc>
          <w:tcPr>
            <w:tcW w:w="1094" w:type="dxa"/>
            <w:noWrap/>
          </w:tcPr>
          <w:p w:rsidR="008237BB" w:rsidRPr="00120C38" w:rsidRDefault="008237BB" w:rsidP="006B54B0">
            <w:pPr>
              <w:pStyle w:val="Tableheadingleft"/>
              <w:cnfStyle w:val="100000000000" w:firstRow="1" w:lastRow="0" w:firstColumn="0" w:lastColumn="0" w:oddVBand="0" w:evenVBand="0" w:oddHBand="0" w:evenHBand="0" w:firstRowFirstColumn="0" w:firstRowLastColumn="0" w:lastRowFirstColumn="0" w:lastRowLastColumn="0"/>
            </w:pPr>
            <w:r w:rsidRPr="00120C38">
              <w:t>10 000</w:t>
            </w:r>
            <w:r w:rsidR="009D02B6">
              <w:t xml:space="preserve"> year ARI</w:t>
            </w:r>
          </w:p>
        </w:tc>
      </w:tr>
      <w:tr w:rsidR="008237BB" w:rsidRPr="00C504FF" w:rsidTr="00F03F3F">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985" w:type="dxa"/>
            <w:noWrap/>
          </w:tcPr>
          <w:p w:rsidR="008237BB" w:rsidRPr="00120C38" w:rsidRDefault="008237BB" w:rsidP="001D132F">
            <w:pPr>
              <w:pStyle w:val="Tabletextleft"/>
            </w:pPr>
            <w:r w:rsidRPr="00120C38">
              <w:t>+ 0.3 m</w:t>
            </w:r>
            <w:r w:rsidR="00F03F3F">
              <w:t xml:space="preserve"> </w:t>
            </w:r>
            <w:r w:rsidRPr="00120C38">
              <w:t>(QLD 2050)</w:t>
            </w:r>
          </w:p>
        </w:tc>
        <w:tc>
          <w:tcPr>
            <w:tcW w:w="1701"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Extra-Tropical</w:t>
            </w:r>
          </w:p>
        </w:tc>
        <w:tc>
          <w:tcPr>
            <w:cnfStyle w:val="000010000000" w:firstRow="0" w:lastRow="0" w:firstColumn="0" w:lastColumn="0" w:oddVBand="1" w:evenVBand="0" w:oddHBand="0" w:evenHBand="0" w:firstRowFirstColumn="0" w:firstRowLastColumn="0" w:lastRowFirstColumn="0" w:lastRowLastColumn="0"/>
            <w:tcW w:w="968" w:type="dxa"/>
            <w:noWrap/>
          </w:tcPr>
          <w:p w:rsidR="008237BB" w:rsidRPr="00120C38" w:rsidRDefault="008237BB" w:rsidP="001D132F">
            <w:pPr>
              <w:pStyle w:val="Tabletextleft"/>
            </w:pPr>
            <w:r w:rsidRPr="00120C38">
              <w:t>Area 4</w:t>
            </w:r>
          </w:p>
        </w:tc>
        <w:tc>
          <w:tcPr>
            <w:tcW w:w="837"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3.23</w:t>
            </w:r>
          </w:p>
        </w:tc>
        <w:tc>
          <w:tcPr>
            <w:cnfStyle w:val="000010000000" w:firstRow="0" w:lastRow="0" w:firstColumn="0" w:lastColumn="0" w:oddVBand="1" w:evenVBand="0" w:oddHBand="0" w:evenHBand="0" w:firstRowFirstColumn="0" w:firstRowLastColumn="0" w:lastRowFirstColumn="0" w:lastRowLastColumn="0"/>
            <w:tcW w:w="837" w:type="dxa"/>
            <w:noWrap/>
          </w:tcPr>
          <w:p w:rsidR="008237BB" w:rsidRPr="00120C38" w:rsidRDefault="008237BB" w:rsidP="001D132F">
            <w:pPr>
              <w:pStyle w:val="Tabletextleft"/>
            </w:pPr>
            <w:r w:rsidRPr="00120C38">
              <w:t>3.29</w:t>
            </w:r>
          </w:p>
        </w:tc>
        <w:tc>
          <w:tcPr>
            <w:tcW w:w="837"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3.37</w:t>
            </w:r>
          </w:p>
        </w:tc>
        <w:tc>
          <w:tcPr>
            <w:cnfStyle w:val="000010000000" w:firstRow="0" w:lastRow="0" w:firstColumn="0" w:lastColumn="0" w:oddVBand="1" w:evenVBand="0" w:oddHBand="0" w:evenHBand="0" w:firstRowFirstColumn="0" w:firstRowLastColumn="0" w:lastRowFirstColumn="0" w:lastRowLastColumn="0"/>
            <w:tcW w:w="955" w:type="dxa"/>
            <w:noWrap/>
          </w:tcPr>
          <w:p w:rsidR="008237BB" w:rsidRPr="00120C38" w:rsidRDefault="008237BB" w:rsidP="001D132F">
            <w:pPr>
              <w:pStyle w:val="Tabletextleft"/>
            </w:pPr>
            <w:r w:rsidRPr="00120C38">
              <w:t>3.48</w:t>
            </w:r>
          </w:p>
        </w:tc>
        <w:tc>
          <w:tcPr>
            <w:tcW w:w="1094"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3.66</w:t>
            </w:r>
          </w:p>
        </w:tc>
      </w:tr>
      <w:tr w:rsidR="008237BB" w:rsidRPr="00C504FF" w:rsidTr="00F03F3F">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985" w:type="dxa"/>
            <w:shd w:val="clear" w:color="auto" w:fill="DADADA"/>
          </w:tcPr>
          <w:p w:rsidR="008237BB" w:rsidRPr="00120C38" w:rsidRDefault="00F03F3F" w:rsidP="001D132F">
            <w:pPr>
              <w:pStyle w:val="Tabletextleft"/>
            </w:pPr>
            <w:r w:rsidRPr="00120C38">
              <w:t>+ 0.3 m</w:t>
            </w:r>
            <w:r>
              <w:t xml:space="preserve"> </w:t>
            </w:r>
            <w:r w:rsidRPr="00120C38">
              <w:t>(QLD 2050)</w:t>
            </w:r>
          </w:p>
        </w:tc>
        <w:tc>
          <w:tcPr>
            <w:tcW w:w="1701" w:type="dxa"/>
            <w:shd w:val="clear" w:color="auto" w:fill="DADADA"/>
          </w:tcPr>
          <w:p w:rsidR="008237BB" w:rsidRPr="00120C38" w:rsidRDefault="00F03F3F" w:rsidP="001D132F">
            <w:pPr>
              <w:pStyle w:val="Tabletextleft"/>
              <w:cnfStyle w:val="000000010000" w:firstRow="0" w:lastRow="0" w:firstColumn="0" w:lastColumn="0" w:oddVBand="0" w:evenVBand="0" w:oddHBand="0" w:evenHBand="1" w:firstRowFirstColumn="0" w:firstRowLastColumn="0" w:lastRowFirstColumn="0" w:lastRowLastColumn="0"/>
            </w:pPr>
            <w:r w:rsidRPr="00120C38">
              <w:t>Extra-Tropical</w:t>
            </w:r>
          </w:p>
        </w:tc>
        <w:tc>
          <w:tcPr>
            <w:cnfStyle w:val="000010000000" w:firstRow="0" w:lastRow="0" w:firstColumn="0" w:lastColumn="0" w:oddVBand="1" w:evenVBand="0" w:oddHBand="0" w:evenHBand="0" w:firstRowFirstColumn="0" w:firstRowLastColumn="0" w:lastRowFirstColumn="0" w:lastRowLastColumn="0"/>
            <w:tcW w:w="968" w:type="dxa"/>
            <w:noWrap/>
          </w:tcPr>
          <w:p w:rsidR="008237BB" w:rsidRPr="00120C38" w:rsidRDefault="008237BB" w:rsidP="001D132F">
            <w:pPr>
              <w:pStyle w:val="Tabletextleft"/>
            </w:pPr>
            <w:r w:rsidRPr="00120C38">
              <w:t>Area 5</w:t>
            </w:r>
          </w:p>
        </w:tc>
        <w:tc>
          <w:tcPr>
            <w:tcW w:w="837"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3.00</w:t>
            </w:r>
          </w:p>
        </w:tc>
        <w:tc>
          <w:tcPr>
            <w:cnfStyle w:val="000010000000" w:firstRow="0" w:lastRow="0" w:firstColumn="0" w:lastColumn="0" w:oddVBand="1" w:evenVBand="0" w:oddHBand="0" w:evenHBand="0" w:firstRowFirstColumn="0" w:firstRowLastColumn="0" w:lastRowFirstColumn="0" w:lastRowLastColumn="0"/>
            <w:tcW w:w="837" w:type="dxa"/>
            <w:noWrap/>
          </w:tcPr>
          <w:p w:rsidR="008237BB" w:rsidRPr="00120C38" w:rsidRDefault="008237BB" w:rsidP="001D132F">
            <w:pPr>
              <w:pStyle w:val="Tabletextleft"/>
            </w:pPr>
            <w:r w:rsidRPr="00120C38">
              <w:t>3.04</w:t>
            </w:r>
          </w:p>
        </w:tc>
        <w:tc>
          <w:tcPr>
            <w:tcW w:w="837"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3.09</w:t>
            </w:r>
          </w:p>
        </w:tc>
        <w:tc>
          <w:tcPr>
            <w:cnfStyle w:val="000010000000" w:firstRow="0" w:lastRow="0" w:firstColumn="0" w:lastColumn="0" w:oddVBand="1" w:evenVBand="0" w:oddHBand="0" w:evenHBand="0" w:firstRowFirstColumn="0" w:firstRowLastColumn="0" w:lastRowFirstColumn="0" w:lastRowLastColumn="0"/>
            <w:tcW w:w="955" w:type="dxa"/>
            <w:noWrap/>
          </w:tcPr>
          <w:p w:rsidR="008237BB" w:rsidRPr="00120C38" w:rsidRDefault="008237BB" w:rsidP="001D132F">
            <w:pPr>
              <w:pStyle w:val="Tabletextleft"/>
            </w:pPr>
            <w:r w:rsidRPr="00120C38">
              <w:t>3.17</w:t>
            </w:r>
          </w:p>
        </w:tc>
        <w:tc>
          <w:tcPr>
            <w:tcW w:w="1094"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3.30</w:t>
            </w:r>
          </w:p>
        </w:tc>
      </w:tr>
      <w:tr w:rsidR="008237BB" w:rsidRPr="00C504FF" w:rsidTr="00F03F3F">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985" w:type="dxa"/>
          </w:tcPr>
          <w:p w:rsidR="008237BB" w:rsidRPr="00120C38" w:rsidRDefault="00F03F3F" w:rsidP="001D132F">
            <w:pPr>
              <w:pStyle w:val="Tabletextleft"/>
            </w:pPr>
            <w:r w:rsidRPr="00120C38">
              <w:t>+ 0.3 m</w:t>
            </w:r>
            <w:r>
              <w:t xml:space="preserve"> </w:t>
            </w:r>
            <w:r w:rsidRPr="00120C38">
              <w:t>(QLD 2050)</w:t>
            </w:r>
          </w:p>
        </w:tc>
        <w:tc>
          <w:tcPr>
            <w:tcW w:w="1701"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Tropical</w:t>
            </w:r>
          </w:p>
        </w:tc>
        <w:tc>
          <w:tcPr>
            <w:cnfStyle w:val="000010000000" w:firstRow="0" w:lastRow="0" w:firstColumn="0" w:lastColumn="0" w:oddVBand="1" w:evenVBand="0" w:oddHBand="0" w:evenHBand="0" w:firstRowFirstColumn="0" w:firstRowLastColumn="0" w:lastRowFirstColumn="0" w:lastRowLastColumn="0"/>
            <w:tcW w:w="968" w:type="dxa"/>
            <w:noWrap/>
          </w:tcPr>
          <w:p w:rsidR="008237BB" w:rsidRPr="00120C38" w:rsidRDefault="008237BB" w:rsidP="001D132F">
            <w:pPr>
              <w:pStyle w:val="Tabletextleft"/>
            </w:pPr>
            <w:r w:rsidRPr="00120C38">
              <w:t>Area 4</w:t>
            </w:r>
          </w:p>
        </w:tc>
        <w:tc>
          <w:tcPr>
            <w:tcW w:w="837"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2.88</w:t>
            </w:r>
          </w:p>
        </w:tc>
        <w:tc>
          <w:tcPr>
            <w:cnfStyle w:val="000010000000" w:firstRow="0" w:lastRow="0" w:firstColumn="0" w:lastColumn="0" w:oddVBand="1" w:evenVBand="0" w:oddHBand="0" w:evenHBand="0" w:firstRowFirstColumn="0" w:firstRowLastColumn="0" w:lastRowFirstColumn="0" w:lastRowLastColumn="0"/>
            <w:tcW w:w="837" w:type="dxa"/>
            <w:noWrap/>
          </w:tcPr>
          <w:p w:rsidR="008237BB" w:rsidRPr="00120C38" w:rsidRDefault="008237BB" w:rsidP="001D132F">
            <w:pPr>
              <w:pStyle w:val="Tabletextleft"/>
            </w:pPr>
            <w:r w:rsidRPr="00120C38">
              <w:t>2.98</w:t>
            </w:r>
          </w:p>
        </w:tc>
        <w:tc>
          <w:tcPr>
            <w:tcW w:w="837"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3.16</w:t>
            </w:r>
          </w:p>
        </w:tc>
        <w:tc>
          <w:tcPr>
            <w:cnfStyle w:val="000010000000" w:firstRow="0" w:lastRow="0" w:firstColumn="0" w:lastColumn="0" w:oddVBand="1" w:evenVBand="0" w:oddHBand="0" w:evenHBand="0" w:firstRowFirstColumn="0" w:firstRowLastColumn="0" w:lastRowFirstColumn="0" w:lastRowLastColumn="0"/>
            <w:tcW w:w="955" w:type="dxa"/>
            <w:noWrap/>
          </w:tcPr>
          <w:p w:rsidR="008237BB" w:rsidRPr="00120C38" w:rsidRDefault="008237BB" w:rsidP="001D132F">
            <w:pPr>
              <w:pStyle w:val="Tabletextleft"/>
            </w:pPr>
            <w:r w:rsidRPr="00120C38">
              <w:t>3.49</w:t>
            </w:r>
          </w:p>
        </w:tc>
        <w:tc>
          <w:tcPr>
            <w:tcW w:w="1094"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3.79</w:t>
            </w:r>
          </w:p>
        </w:tc>
      </w:tr>
      <w:tr w:rsidR="008237BB" w:rsidRPr="00C504FF" w:rsidTr="00F03F3F">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985" w:type="dxa"/>
            <w:shd w:val="clear" w:color="auto" w:fill="DADADA"/>
          </w:tcPr>
          <w:p w:rsidR="008237BB" w:rsidRPr="00120C38" w:rsidRDefault="00F03F3F" w:rsidP="001D132F">
            <w:pPr>
              <w:pStyle w:val="Tabletextleft"/>
            </w:pPr>
            <w:r w:rsidRPr="00120C38">
              <w:t>+ 0.3 m</w:t>
            </w:r>
            <w:r>
              <w:t xml:space="preserve"> </w:t>
            </w:r>
            <w:r w:rsidRPr="00120C38">
              <w:t>(QLD 2050)</w:t>
            </w:r>
          </w:p>
        </w:tc>
        <w:tc>
          <w:tcPr>
            <w:tcW w:w="1701" w:type="dxa"/>
            <w:shd w:val="clear" w:color="auto" w:fill="DADADA"/>
          </w:tcPr>
          <w:p w:rsidR="008237BB" w:rsidRPr="00120C38" w:rsidRDefault="00F03F3F" w:rsidP="001D132F">
            <w:pPr>
              <w:pStyle w:val="Tabletextleft"/>
              <w:cnfStyle w:val="000000010000" w:firstRow="0" w:lastRow="0" w:firstColumn="0" w:lastColumn="0" w:oddVBand="0" w:evenVBand="0" w:oddHBand="0" w:evenHBand="1" w:firstRowFirstColumn="0" w:firstRowLastColumn="0" w:lastRowFirstColumn="0" w:lastRowLastColumn="0"/>
            </w:pPr>
            <w:r w:rsidRPr="00120C38">
              <w:t>Tropical</w:t>
            </w:r>
          </w:p>
        </w:tc>
        <w:tc>
          <w:tcPr>
            <w:cnfStyle w:val="000010000000" w:firstRow="0" w:lastRow="0" w:firstColumn="0" w:lastColumn="0" w:oddVBand="1" w:evenVBand="0" w:oddHBand="0" w:evenHBand="0" w:firstRowFirstColumn="0" w:firstRowLastColumn="0" w:lastRowFirstColumn="0" w:lastRowLastColumn="0"/>
            <w:tcW w:w="968" w:type="dxa"/>
            <w:noWrap/>
          </w:tcPr>
          <w:p w:rsidR="008237BB" w:rsidRPr="00120C38" w:rsidRDefault="008237BB" w:rsidP="001D132F">
            <w:pPr>
              <w:pStyle w:val="Tabletextleft"/>
            </w:pPr>
            <w:r w:rsidRPr="00120C38">
              <w:t>Area 5</w:t>
            </w:r>
          </w:p>
        </w:tc>
        <w:tc>
          <w:tcPr>
            <w:tcW w:w="837"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2.79</w:t>
            </w:r>
          </w:p>
        </w:tc>
        <w:tc>
          <w:tcPr>
            <w:cnfStyle w:val="000010000000" w:firstRow="0" w:lastRow="0" w:firstColumn="0" w:lastColumn="0" w:oddVBand="1" w:evenVBand="0" w:oddHBand="0" w:evenHBand="0" w:firstRowFirstColumn="0" w:firstRowLastColumn="0" w:lastRowFirstColumn="0" w:lastRowLastColumn="0"/>
            <w:tcW w:w="837" w:type="dxa"/>
            <w:noWrap/>
          </w:tcPr>
          <w:p w:rsidR="008237BB" w:rsidRPr="00120C38" w:rsidRDefault="008237BB" w:rsidP="001D132F">
            <w:pPr>
              <w:pStyle w:val="Tabletextleft"/>
            </w:pPr>
            <w:r w:rsidRPr="00120C38">
              <w:t>2.92</w:t>
            </w:r>
          </w:p>
        </w:tc>
        <w:tc>
          <w:tcPr>
            <w:tcW w:w="837"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3.15</w:t>
            </w:r>
          </w:p>
        </w:tc>
        <w:tc>
          <w:tcPr>
            <w:cnfStyle w:val="000010000000" w:firstRow="0" w:lastRow="0" w:firstColumn="0" w:lastColumn="0" w:oddVBand="1" w:evenVBand="0" w:oddHBand="0" w:evenHBand="0" w:firstRowFirstColumn="0" w:firstRowLastColumn="0" w:lastRowFirstColumn="0" w:lastRowLastColumn="0"/>
            <w:tcW w:w="955" w:type="dxa"/>
            <w:noWrap/>
          </w:tcPr>
          <w:p w:rsidR="008237BB" w:rsidRPr="00120C38" w:rsidRDefault="008237BB" w:rsidP="001D132F">
            <w:pPr>
              <w:pStyle w:val="Tabletextleft"/>
            </w:pPr>
            <w:r w:rsidRPr="00120C38">
              <w:t>3.54</w:t>
            </w:r>
          </w:p>
        </w:tc>
        <w:tc>
          <w:tcPr>
            <w:tcW w:w="1094"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4.09</w:t>
            </w:r>
          </w:p>
        </w:tc>
      </w:tr>
      <w:tr w:rsidR="008237BB" w:rsidRPr="00C504FF" w:rsidTr="00F03F3F">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985" w:type="dxa"/>
            <w:noWrap/>
          </w:tcPr>
          <w:p w:rsidR="008237BB" w:rsidRPr="00120C38" w:rsidRDefault="008237BB" w:rsidP="001D132F">
            <w:pPr>
              <w:pStyle w:val="Tabletextleft"/>
            </w:pPr>
            <w:r w:rsidRPr="00120C38">
              <w:t>+ 0.5 m</w:t>
            </w:r>
            <w:r w:rsidR="00F03F3F">
              <w:t xml:space="preserve"> </w:t>
            </w:r>
            <w:r w:rsidRPr="00120C38">
              <w:t>(QLD 2070)</w:t>
            </w:r>
          </w:p>
        </w:tc>
        <w:tc>
          <w:tcPr>
            <w:tcW w:w="1701"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Extra-Tropical</w:t>
            </w:r>
          </w:p>
        </w:tc>
        <w:tc>
          <w:tcPr>
            <w:cnfStyle w:val="000010000000" w:firstRow="0" w:lastRow="0" w:firstColumn="0" w:lastColumn="0" w:oddVBand="1" w:evenVBand="0" w:oddHBand="0" w:evenHBand="0" w:firstRowFirstColumn="0" w:firstRowLastColumn="0" w:lastRowFirstColumn="0" w:lastRowLastColumn="0"/>
            <w:tcW w:w="968" w:type="dxa"/>
            <w:noWrap/>
          </w:tcPr>
          <w:p w:rsidR="008237BB" w:rsidRPr="00120C38" w:rsidRDefault="008237BB" w:rsidP="001D132F">
            <w:pPr>
              <w:pStyle w:val="Tabletextleft"/>
            </w:pPr>
            <w:r w:rsidRPr="00120C38">
              <w:t>Area 4</w:t>
            </w:r>
          </w:p>
        </w:tc>
        <w:tc>
          <w:tcPr>
            <w:tcW w:w="837"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3.43</w:t>
            </w:r>
          </w:p>
        </w:tc>
        <w:tc>
          <w:tcPr>
            <w:cnfStyle w:val="000010000000" w:firstRow="0" w:lastRow="0" w:firstColumn="0" w:lastColumn="0" w:oddVBand="1" w:evenVBand="0" w:oddHBand="0" w:evenHBand="0" w:firstRowFirstColumn="0" w:firstRowLastColumn="0" w:lastRowFirstColumn="0" w:lastRowLastColumn="0"/>
            <w:tcW w:w="837" w:type="dxa"/>
            <w:noWrap/>
          </w:tcPr>
          <w:p w:rsidR="008237BB" w:rsidRPr="00120C38" w:rsidRDefault="008237BB" w:rsidP="001D132F">
            <w:pPr>
              <w:pStyle w:val="Tabletextleft"/>
            </w:pPr>
            <w:r w:rsidRPr="00120C38">
              <w:t>3.49</w:t>
            </w:r>
          </w:p>
        </w:tc>
        <w:tc>
          <w:tcPr>
            <w:tcW w:w="837"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3.57</w:t>
            </w:r>
          </w:p>
        </w:tc>
        <w:tc>
          <w:tcPr>
            <w:cnfStyle w:val="000010000000" w:firstRow="0" w:lastRow="0" w:firstColumn="0" w:lastColumn="0" w:oddVBand="1" w:evenVBand="0" w:oddHBand="0" w:evenHBand="0" w:firstRowFirstColumn="0" w:firstRowLastColumn="0" w:lastRowFirstColumn="0" w:lastRowLastColumn="0"/>
            <w:tcW w:w="955" w:type="dxa"/>
            <w:noWrap/>
          </w:tcPr>
          <w:p w:rsidR="008237BB" w:rsidRPr="00120C38" w:rsidRDefault="008237BB" w:rsidP="001D132F">
            <w:pPr>
              <w:pStyle w:val="Tabletextleft"/>
            </w:pPr>
            <w:r w:rsidRPr="00120C38">
              <w:t>3.68</w:t>
            </w:r>
          </w:p>
        </w:tc>
        <w:tc>
          <w:tcPr>
            <w:tcW w:w="1094"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3.86</w:t>
            </w:r>
          </w:p>
        </w:tc>
      </w:tr>
      <w:tr w:rsidR="008237BB" w:rsidRPr="00C504FF" w:rsidTr="00F03F3F">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985" w:type="dxa"/>
            <w:shd w:val="clear" w:color="auto" w:fill="DADADA"/>
          </w:tcPr>
          <w:p w:rsidR="008237BB" w:rsidRPr="00120C38" w:rsidRDefault="00F03F3F" w:rsidP="001D132F">
            <w:pPr>
              <w:pStyle w:val="Tabletextleft"/>
            </w:pPr>
            <w:r w:rsidRPr="00120C38">
              <w:t>+ 0.5 m</w:t>
            </w:r>
            <w:r>
              <w:t xml:space="preserve"> </w:t>
            </w:r>
            <w:r w:rsidRPr="00120C38">
              <w:t>(QLD 2070)</w:t>
            </w:r>
          </w:p>
        </w:tc>
        <w:tc>
          <w:tcPr>
            <w:tcW w:w="1701" w:type="dxa"/>
            <w:shd w:val="clear" w:color="auto" w:fill="DADADA"/>
          </w:tcPr>
          <w:p w:rsidR="008237BB" w:rsidRPr="00120C38" w:rsidRDefault="00F03F3F" w:rsidP="001D132F">
            <w:pPr>
              <w:pStyle w:val="Tabletextleft"/>
              <w:cnfStyle w:val="000000010000" w:firstRow="0" w:lastRow="0" w:firstColumn="0" w:lastColumn="0" w:oddVBand="0" w:evenVBand="0" w:oddHBand="0" w:evenHBand="1" w:firstRowFirstColumn="0" w:firstRowLastColumn="0" w:lastRowFirstColumn="0" w:lastRowLastColumn="0"/>
            </w:pPr>
            <w:r w:rsidRPr="00120C38">
              <w:t>Extra-Tropical</w:t>
            </w:r>
          </w:p>
        </w:tc>
        <w:tc>
          <w:tcPr>
            <w:cnfStyle w:val="000010000000" w:firstRow="0" w:lastRow="0" w:firstColumn="0" w:lastColumn="0" w:oddVBand="1" w:evenVBand="0" w:oddHBand="0" w:evenHBand="0" w:firstRowFirstColumn="0" w:firstRowLastColumn="0" w:lastRowFirstColumn="0" w:lastRowLastColumn="0"/>
            <w:tcW w:w="968" w:type="dxa"/>
            <w:noWrap/>
          </w:tcPr>
          <w:p w:rsidR="008237BB" w:rsidRPr="00120C38" w:rsidRDefault="008237BB" w:rsidP="001D132F">
            <w:pPr>
              <w:pStyle w:val="Tabletextleft"/>
            </w:pPr>
            <w:r w:rsidRPr="00120C38">
              <w:t>Area 5</w:t>
            </w:r>
          </w:p>
        </w:tc>
        <w:tc>
          <w:tcPr>
            <w:tcW w:w="837"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3.20</w:t>
            </w:r>
          </w:p>
        </w:tc>
        <w:tc>
          <w:tcPr>
            <w:cnfStyle w:val="000010000000" w:firstRow="0" w:lastRow="0" w:firstColumn="0" w:lastColumn="0" w:oddVBand="1" w:evenVBand="0" w:oddHBand="0" w:evenHBand="0" w:firstRowFirstColumn="0" w:firstRowLastColumn="0" w:lastRowFirstColumn="0" w:lastRowLastColumn="0"/>
            <w:tcW w:w="837" w:type="dxa"/>
            <w:noWrap/>
          </w:tcPr>
          <w:p w:rsidR="008237BB" w:rsidRPr="00120C38" w:rsidRDefault="008237BB" w:rsidP="001D132F">
            <w:pPr>
              <w:pStyle w:val="Tabletextleft"/>
            </w:pPr>
            <w:r w:rsidRPr="00120C38">
              <w:t>3.24</w:t>
            </w:r>
          </w:p>
        </w:tc>
        <w:tc>
          <w:tcPr>
            <w:tcW w:w="837"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3.29</w:t>
            </w:r>
          </w:p>
        </w:tc>
        <w:tc>
          <w:tcPr>
            <w:cnfStyle w:val="000010000000" w:firstRow="0" w:lastRow="0" w:firstColumn="0" w:lastColumn="0" w:oddVBand="1" w:evenVBand="0" w:oddHBand="0" w:evenHBand="0" w:firstRowFirstColumn="0" w:firstRowLastColumn="0" w:lastRowFirstColumn="0" w:lastRowLastColumn="0"/>
            <w:tcW w:w="955" w:type="dxa"/>
            <w:noWrap/>
          </w:tcPr>
          <w:p w:rsidR="008237BB" w:rsidRPr="00120C38" w:rsidRDefault="008237BB" w:rsidP="001D132F">
            <w:pPr>
              <w:pStyle w:val="Tabletextleft"/>
            </w:pPr>
            <w:r w:rsidRPr="00120C38">
              <w:t>3.37</w:t>
            </w:r>
          </w:p>
        </w:tc>
        <w:tc>
          <w:tcPr>
            <w:tcW w:w="1094"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3.50</w:t>
            </w:r>
          </w:p>
        </w:tc>
      </w:tr>
      <w:tr w:rsidR="008237BB" w:rsidRPr="00C504FF" w:rsidTr="00F03F3F">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985" w:type="dxa"/>
          </w:tcPr>
          <w:p w:rsidR="008237BB" w:rsidRPr="00120C38" w:rsidRDefault="00F03F3F" w:rsidP="001D132F">
            <w:pPr>
              <w:pStyle w:val="Tabletextleft"/>
            </w:pPr>
            <w:r w:rsidRPr="00120C38">
              <w:t>+ 0.5 m</w:t>
            </w:r>
            <w:r>
              <w:t xml:space="preserve"> </w:t>
            </w:r>
            <w:r w:rsidRPr="00120C38">
              <w:t>(QLD 2070)</w:t>
            </w:r>
          </w:p>
        </w:tc>
        <w:tc>
          <w:tcPr>
            <w:tcW w:w="1701"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Tropical</w:t>
            </w:r>
          </w:p>
        </w:tc>
        <w:tc>
          <w:tcPr>
            <w:cnfStyle w:val="000010000000" w:firstRow="0" w:lastRow="0" w:firstColumn="0" w:lastColumn="0" w:oddVBand="1" w:evenVBand="0" w:oddHBand="0" w:evenHBand="0" w:firstRowFirstColumn="0" w:firstRowLastColumn="0" w:lastRowFirstColumn="0" w:lastRowLastColumn="0"/>
            <w:tcW w:w="968" w:type="dxa"/>
            <w:noWrap/>
          </w:tcPr>
          <w:p w:rsidR="008237BB" w:rsidRPr="00120C38" w:rsidRDefault="008237BB" w:rsidP="001D132F">
            <w:pPr>
              <w:pStyle w:val="Tabletextleft"/>
            </w:pPr>
            <w:r w:rsidRPr="00120C38">
              <w:t>Area 4</w:t>
            </w:r>
          </w:p>
        </w:tc>
        <w:tc>
          <w:tcPr>
            <w:tcW w:w="837"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3.08</w:t>
            </w:r>
          </w:p>
        </w:tc>
        <w:tc>
          <w:tcPr>
            <w:cnfStyle w:val="000010000000" w:firstRow="0" w:lastRow="0" w:firstColumn="0" w:lastColumn="0" w:oddVBand="1" w:evenVBand="0" w:oddHBand="0" w:evenHBand="0" w:firstRowFirstColumn="0" w:firstRowLastColumn="0" w:lastRowFirstColumn="0" w:lastRowLastColumn="0"/>
            <w:tcW w:w="837" w:type="dxa"/>
            <w:noWrap/>
          </w:tcPr>
          <w:p w:rsidR="008237BB" w:rsidRPr="00120C38" w:rsidRDefault="008237BB" w:rsidP="001D132F">
            <w:pPr>
              <w:pStyle w:val="Tabletextleft"/>
            </w:pPr>
            <w:r w:rsidRPr="00120C38">
              <w:t>3.18</w:t>
            </w:r>
          </w:p>
        </w:tc>
        <w:tc>
          <w:tcPr>
            <w:tcW w:w="837"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3.36</w:t>
            </w:r>
          </w:p>
        </w:tc>
        <w:tc>
          <w:tcPr>
            <w:cnfStyle w:val="000010000000" w:firstRow="0" w:lastRow="0" w:firstColumn="0" w:lastColumn="0" w:oddVBand="1" w:evenVBand="0" w:oddHBand="0" w:evenHBand="0" w:firstRowFirstColumn="0" w:firstRowLastColumn="0" w:lastRowFirstColumn="0" w:lastRowLastColumn="0"/>
            <w:tcW w:w="955" w:type="dxa"/>
            <w:noWrap/>
          </w:tcPr>
          <w:p w:rsidR="008237BB" w:rsidRPr="00120C38" w:rsidRDefault="008237BB" w:rsidP="001D132F">
            <w:pPr>
              <w:pStyle w:val="Tabletextleft"/>
            </w:pPr>
            <w:r w:rsidRPr="00120C38">
              <w:t>3.69</w:t>
            </w:r>
          </w:p>
        </w:tc>
        <w:tc>
          <w:tcPr>
            <w:tcW w:w="1094"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3.99</w:t>
            </w:r>
          </w:p>
        </w:tc>
      </w:tr>
      <w:tr w:rsidR="008237BB" w:rsidRPr="00C504FF" w:rsidTr="00F03F3F">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985" w:type="dxa"/>
            <w:shd w:val="clear" w:color="auto" w:fill="DADADA"/>
          </w:tcPr>
          <w:p w:rsidR="008237BB" w:rsidRPr="00120C38" w:rsidRDefault="00F03F3F" w:rsidP="001D132F">
            <w:pPr>
              <w:pStyle w:val="Tabletextleft"/>
            </w:pPr>
            <w:r w:rsidRPr="00120C38">
              <w:t>+ 0.5 m</w:t>
            </w:r>
            <w:r>
              <w:t xml:space="preserve"> </w:t>
            </w:r>
            <w:r w:rsidRPr="00120C38">
              <w:t>(QLD 2070)</w:t>
            </w:r>
          </w:p>
        </w:tc>
        <w:tc>
          <w:tcPr>
            <w:tcW w:w="1701" w:type="dxa"/>
            <w:shd w:val="clear" w:color="auto" w:fill="DADADA"/>
          </w:tcPr>
          <w:p w:rsidR="008237BB" w:rsidRPr="00120C38" w:rsidRDefault="00F03F3F" w:rsidP="001D132F">
            <w:pPr>
              <w:pStyle w:val="Tabletextleft"/>
              <w:cnfStyle w:val="000000010000" w:firstRow="0" w:lastRow="0" w:firstColumn="0" w:lastColumn="0" w:oddVBand="0" w:evenVBand="0" w:oddHBand="0" w:evenHBand="1" w:firstRowFirstColumn="0" w:firstRowLastColumn="0" w:lastRowFirstColumn="0" w:lastRowLastColumn="0"/>
            </w:pPr>
            <w:r w:rsidRPr="00120C38">
              <w:t>Tropical</w:t>
            </w:r>
          </w:p>
        </w:tc>
        <w:tc>
          <w:tcPr>
            <w:cnfStyle w:val="000010000000" w:firstRow="0" w:lastRow="0" w:firstColumn="0" w:lastColumn="0" w:oddVBand="1" w:evenVBand="0" w:oddHBand="0" w:evenHBand="0" w:firstRowFirstColumn="0" w:firstRowLastColumn="0" w:lastRowFirstColumn="0" w:lastRowLastColumn="0"/>
            <w:tcW w:w="968" w:type="dxa"/>
            <w:noWrap/>
          </w:tcPr>
          <w:p w:rsidR="008237BB" w:rsidRPr="00120C38" w:rsidRDefault="008237BB" w:rsidP="001D132F">
            <w:pPr>
              <w:pStyle w:val="Tabletextleft"/>
            </w:pPr>
            <w:r w:rsidRPr="00120C38">
              <w:t>Area 5</w:t>
            </w:r>
          </w:p>
        </w:tc>
        <w:tc>
          <w:tcPr>
            <w:tcW w:w="837"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2.99</w:t>
            </w:r>
          </w:p>
        </w:tc>
        <w:tc>
          <w:tcPr>
            <w:cnfStyle w:val="000010000000" w:firstRow="0" w:lastRow="0" w:firstColumn="0" w:lastColumn="0" w:oddVBand="1" w:evenVBand="0" w:oddHBand="0" w:evenHBand="0" w:firstRowFirstColumn="0" w:firstRowLastColumn="0" w:lastRowFirstColumn="0" w:lastRowLastColumn="0"/>
            <w:tcW w:w="837" w:type="dxa"/>
            <w:noWrap/>
          </w:tcPr>
          <w:p w:rsidR="008237BB" w:rsidRPr="00120C38" w:rsidRDefault="008237BB" w:rsidP="001D132F">
            <w:pPr>
              <w:pStyle w:val="Tabletextleft"/>
            </w:pPr>
            <w:r w:rsidRPr="00120C38">
              <w:t>3.12</w:t>
            </w:r>
          </w:p>
        </w:tc>
        <w:tc>
          <w:tcPr>
            <w:tcW w:w="837"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3.35</w:t>
            </w:r>
          </w:p>
        </w:tc>
        <w:tc>
          <w:tcPr>
            <w:cnfStyle w:val="000010000000" w:firstRow="0" w:lastRow="0" w:firstColumn="0" w:lastColumn="0" w:oddVBand="1" w:evenVBand="0" w:oddHBand="0" w:evenHBand="0" w:firstRowFirstColumn="0" w:firstRowLastColumn="0" w:lastRowFirstColumn="0" w:lastRowLastColumn="0"/>
            <w:tcW w:w="955" w:type="dxa"/>
            <w:noWrap/>
          </w:tcPr>
          <w:p w:rsidR="008237BB" w:rsidRPr="00120C38" w:rsidRDefault="008237BB" w:rsidP="001D132F">
            <w:pPr>
              <w:pStyle w:val="Tabletextleft"/>
            </w:pPr>
            <w:r w:rsidRPr="00120C38">
              <w:t>3.74</w:t>
            </w:r>
          </w:p>
        </w:tc>
        <w:tc>
          <w:tcPr>
            <w:tcW w:w="1094"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4.29</w:t>
            </w:r>
          </w:p>
        </w:tc>
      </w:tr>
      <w:tr w:rsidR="008237BB" w:rsidRPr="00C504FF" w:rsidTr="00F03F3F">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985" w:type="dxa"/>
            <w:noWrap/>
          </w:tcPr>
          <w:p w:rsidR="008237BB" w:rsidRPr="00120C38" w:rsidRDefault="008237BB" w:rsidP="001D132F">
            <w:pPr>
              <w:pStyle w:val="Tabletextleft"/>
            </w:pPr>
            <w:r w:rsidRPr="00120C38">
              <w:t>+ 0.8 m</w:t>
            </w:r>
            <w:r w:rsidR="00F03F3F">
              <w:t xml:space="preserve"> </w:t>
            </w:r>
            <w:r w:rsidRPr="00120C38">
              <w:t>(QLD 2100)</w:t>
            </w:r>
          </w:p>
        </w:tc>
        <w:tc>
          <w:tcPr>
            <w:tcW w:w="1701"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Extra-Tropical</w:t>
            </w:r>
          </w:p>
        </w:tc>
        <w:tc>
          <w:tcPr>
            <w:cnfStyle w:val="000010000000" w:firstRow="0" w:lastRow="0" w:firstColumn="0" w:lastColumn="0" w:oddVBand="1" w:evenVBand="0" w:oddHBand="0" w:evenHBand="0" w:firstRowFirstColumn="0" w:firstRowLastColumn="0" w:lastRowFirstColumn="0" w:lastRowLastColumn="0"/>
            <w:tcW w:w="968" w:type="dxa"/>
            <w:noWrap/>
          </w:tcPr>
          <w:p w:rsidR="008237BB" w:rsidRPr="00120C38" w:rsidRDefault="008237BB" w:rsidP="001D132F">
            <w:pPr>
              <w:pStyle w:val="Tabletextleft"/>
            </w:pPr>
            <w:r w:rsidRPr="00120C38">
              <w:t>Area 4</w:t>
            </w:r>
          </w:p>
        </w:tc>
        <w:tc>
          <w:tcPr>
            <w:tcW w:w="837"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3.73</w:t>
            </w:r>
          </w:p>
        </w:tc>
        <w:tc>
          <w:tcPr>
            <w:cnfStyle w:val="000010000000" w:firstRow="0" w:lastRow="0" w:firstColumn="0" w:lastColumn="0" w:oddVBand="1" w:evenVBand="0" w:oddHBand="0" w:evenHBand="0" w:firstRowFirstColumn="0" w:firstRowLastColumn="0" w:lastRowFirstColumn="0" w:lastRowLastColumn="0"/>
            <w:tcW w:w="837" w:type="dxa"/>
            <w:noWrap/>
          </w:tcPr>
          <w:p w:rsidR="008237BB" w:rsidRPr="00120C38" w:rsidRDefault="008237BB" w:rsidP="001D132F">
            <w:pPr>
              <w:pStyle w:val="Tabletextleft"/>
            </w:pPr>
            <w:r w:rsidRPr="00120C38">
              <w:t>3.79</w:t>
            </w:r>
          </w:p>
        </w:tc>
        <w:tc>
          <w:tcPr>
            <w:tcW w:w="837"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3.87</w:t>
            </w:r>
          </w:p>
        </w:tc>
        <w:tc>
          <w:tcPr>
            <w:cnfStyle w:val="000010000000" w:firstRow="0" w:lastRow="0" w:firstColumn="0" w:lastColumn="0" w:oddVBand="1" w:evenVBand="0" w:oddHBand="0" w:evenHBand="0" w:firstRowFirstColumn="0" w:firstRowLastColumn="0" w:lastRowFirstColumn="0" w:lastRowLastColumn="0"/>
            <w:tcW w:w="955" w:type="dxa"/>
            <w:noWrap/>
          </w:tcPr>
          <w:p w:rsidR="008237BB" w:rsidRPr="00120C38" w:rsidRDefault="008237BB" w:rsidP="001D132F">
            <w:pPr>
              <w:pStyle w:val="Tabletextleft"/>
            </w:pPr>
            <w:r w:rsidRPr="00120C38">
              <w:t>3.98</w:t>
            </w:r>
          </w:p>
        </w:tc>
        <w:tc>
          <w:tcPr>
            <w:tcW w:w="1094"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4.16</w:t>
            </w:r>
          </w:p>
        </w:tc>
      </w:tr>
      <w:tr w:rsidR="008237BB" w:rsidRPr="00C504FF" w:rsidTr="00F03F3F">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985" w:type="dxa"/>
            <w:shd w:val="clear" w:color="auto" w:fill="DADADA"/>
          </w:tcPr>
          <w:p w:rsidR="008237BB" w:rsidRPr="00F03F3F" w:rsidRDefault="00F03F3F" w:rsidP="001D132F">
            <w:pPr>
              <w:pStyle w:val="Tabletextleft"/>
              <w:rPr>
                <w:b/>
              </w:rPr>
            </w:pPr>
            <w:r w:rsidRPr="00120C38">
              <w:t>+ 0.8 m</w:t>
            </w:r>
            <w:r>
              <w:t xml:space="preserve"> </w:t>
            </w:r>
            <w:r w:rsidRPr="00120C38">
              <w:t>(QLD 2100)</w:t>
            </w:r>
          </w:p>
        </w:tc>
        <w:tc>
          <w:tcPr>
            <w:tcW w:w="1701" w:type="dxa"/>
            <w:shd w:val="clear" w:color="auto" w:fill="DADADA"/>
          </w:tcPr>
          <w:p w:rsidR="008237BB" w:rsidRPr="00120C38" w:rsidRDefault="00F03F3F" w:rsidP="001D132F">
            <w:pPr>
              <w:pStyle w:val="Tabletextleft"/>
              <w:cnfStyle w:val="000000010000" w:firstRow="0" w:lastRow="0" w:firstColumn="0" w:lastColumn="0" w:oddVBand="0" w:evenVBand="0" w:oddHBand="0" w:evenHBand="1" w:firstRowFirstColumn="0" w:firstRowLastColumn="0" w:lastRowFirstColumn="0" w:lastRowLastColumn="0"/>
            </w:pPr>
            <w:r w:rsidRPr="00120C38">
              <w:t>Extra-Tropical</w:t>
            </w:r>
          </w:p>
        </w:tc>
        <w:tc>
          <w:tcPr>
            <w:cnfStyle w:val="000010000000" w:firstRow="0" w:lastRow="0" w:firstColumn="0" w:lastColumn="0" w:oddVBand="1" w:evenVBand="0" w:oddHBand="0" w:evenHBand="0" w:firstRowFirstColumn="0" w:firstRowLastColumn="0" w:lastRowFirstColumn="0" w:lastRowLastColumn="0"/>
            <w:tcW w:w="968" w:type="dxa"/>
            <w:noWrap/>
          </w:tcPr>
          <w:p w:rsidR="008237BB" w:rsidRPr="00120C38" w:rsidRDefault="008237BB" w:rsidP="001D132F">
            <w:pPr>
              <w:pStyle w:val="Tabletextleft"/>
            </w:pPr>
            <w:r w:rsidRPr="00120C38">
              <w:t>Area 5</w:t>
            </w:r>
          </w:p>
        </w:tc>
        <w:tc>
          <w:tcPr>
            <w:tcW w:w="837"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3.50</w:t>
            </w:r>
          </w:p>
        </w:tc>
        <w:tc>
          <w:tcPr>
            <w:cnfStyle w:val="000010000000" w:firstRow="0" w:lastRow="0" w:firstColumn="0" w:lastColumn="0" w:oddVBand="1" w:evenVBand="0" w:oddHBand="0" w:evenHBand="0" w:firstRowFirstColumn="0" w:firstRowLastColumn="0" w:lastRowFirstColumn="0" w:lastRowLastColumn="0"/>
            <w:tcW w:w="837" w:type="dxa"/>
            <w:noWrap/>
          </w:tcPr>
          <w:p w:rsidR="008237BB" w:rsidRPr="00120C38" w:rsidRDefault="008237BB" w:rsidP="001D132F">
            <w:pPr>
              <w:pStyle w:val="Tabletextleft"/>
            </w:pPr>
            <w:r w:rsidRPr="00120C38">
              <w:t>3.54</w:t>
            </w:r>
          </w:p>
        </w:tc>
        <w:tc>
          <w:tcPr>
            <w:tcW w:w="837"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3.59</w:t>
            </w:r>
          </w:p>
        </w:tc>
        <w:tc>
          <w:tcPr>
            <w:cnfStyle w:val="000010000000" w:firstRow="0" w:lastRow="0" w:firstColumn="0" w:lastColumn="0" w:oddVBand="1" w:evenVBand="0" w:oddHBand="0" w:evenHBand="0" w:firstRowFirstColumn="0" w:firstRowLastColumn="0" w:lastRowFirstColumn="0" w:lastRowLastColumn="0"/>
            <w:tcW w:w="955" w:type="dxa"/>
            <w:noWrap/>
          </w:tcPr>
          <w:p w:rsidR="008237BB" w:rsidRPr="00120C38" w:rsidRDefault="008237BB" w:rsidP="001D132F">
            <w:pPr>
              <w:pStyle w:val="Tabletextleft"/>
            </w:pPr>
            <w:r w:rsidRPr="00120C38">
              <w:t>3.67</w:t>
            </w:r>
          </w:p>
        </w:tc>
        <w:tc>
          <w:tcPr>
            <w:tcW w:w="1094"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3.80</w:t>
            </w:r>
          </w:p>
        </w:tc>
      </w:tr>
      <w:tr w:rsidR="008237BB" w:rsidRPr="00C504FF" w:rsidTr="00F03F3F">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985" w:type="dxa"/>
          </w:tcPr>
          <w:p w:rsidR="008237BB" w:rsidRPr="00120C38" w:rsidRDefault="00F03F3F" w:rsidP="001D132F">
            <w:pPr>
              <w:pStyle w:val="Tabletextleft"/>
            </w:pPr>
            <w:r w:rsidRPr="00120C38">
              <w:t>+ 0.8 m</w:t>
            </w:r>
            <w:r>
              <w:t xml:space="preserve"> </w:t>
            </w:r>
            <w:r w:rsidRPr="00120C38">
              <w:t>(QLD 2100)</w:t>
            </w:r>
          </w:p>
        </w:tc>
        <w:tc>
          <w:tcPr>
            <w:tcW w:w="1701"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Tropical</w:t>
            </w:r>
          </w:p>
        </w:tc>
        <w:tc>
          <w:tcPr>
            <w:cnfStyle w:val="000010000000" w:firstRow="0" w:lastRow="0" w:firstColumn="0" w:lastColumn="0" w:oddVBand="1" w:evenVBand="0" w:oddHBand="0" w:evenHBand="0" w:firstRowFirstColumn="0" w:firstRowLastColumn="0" w:lastRowFirstColumn="0" w:lastRowLastColumn="0"/>
            <w:tcW w:w="968" w:type="dxa"/>
            <w:noWrap/>
          </w:tcPr>
          <w:p w:rsidR="008237BB" w:rsidRPr="00120C38" w:rsidRDefault="008237BB" w:rsidP="001D132F">
            <w:pPr>
              <w:pStyle w:val="Tabletextleft"/>
            </w:pPr>
            <w:r w:rsidRPr="00120C38">
              <w:t>Area 4</w:t>
            </w:r>
          </w:p>
        </w:tc>
        <w:tc>
          <w:tcPr>
            <w:tcW w:w="837"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3.38</w:t>
            </w:r>
          </w:p>
        </w:tc>
        <w:tc>
          <w:tcPr>
            <w:cnfStyle w:val="000010000000" w:firstRow="0" w:lastRow="0" w:firstColumn="0" w:lastColumn="0" w:oddVBand="1" w:evenVBand="0" w:oddHBand="0" w:evenHBand="0" w:firstRowFirstColumn="0" w:firstRowLastColumn="0" w:lastRowFirstColumn="0" w:lastRowLastColumn="0"/>
            <w:tcW w:w="837" w:type="dxa"/>
            <w:noWrap/>
          </w:tcPr>
          <w:p w:rsidR="008237BB" w:rsidRPr="00120C38" w:rsidRDefault="008237BB" w:rsidP="001D132F">
            <w:pPr>
              <w:pStyle w:val="Tabletextleft"/>
            </w:pPr>
            <w:r w:rsidRPr="00120C38">
              <w:t>3.48</w:t>
            </w:r>
          </w:p>
        </w:tc>
        <w:tc>
          <w:tcPr>
            <w:tcW w:w="837"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3.66</w:t>
            </w:r>
          </w:p>
        </w:tc>
        <w:tc>
          <w:tcPr>
            <w:cnfStyle w:val="000010000000" w:firstRow="0" w:lastRow="0" w:firstColumn="0" w:lastColumn="0" w:oddVBand="1" w:evenVBand="0" w:oddHBand="0" w:evenHBand="0" w:firstRowFirstColumn="0" w:firstRowLastColumn="0" w:lastRowFirstColumn="0" w:lastRowLastColumn="0"/>
            <w:tcW w:w="955" w:type="dxa"/>
            <w:noWrap/>
          </w:tcPr>
          <w:p w:rsidR="008237BB" w:rsidRPr="00120C38" w:rsidRDefault="008237BB" w:rsidP="001D132F">
            <w:pPr>
              <w:pStyle w:val="Tabletextleft"/>
            </w:pPr>
            <w:r w:rsidRPr="00120C38">
              <w:t>3.99</w:t>
            </w:r>
          </w:p>
        </w:tc>
        <w:tc>
          <w:tcPr>
            <w:tcW w:w="1094"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4.29</w:t>
            </w:r>
          </w:p>
        </w:tc>
      </w:tr>
      <w:tr w:rsidR="008237BB" w:rsidRPr="00C504FF" w:rsidTr="00F03F3F">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985" w:type="dxa"/>
            <w:shd w:val="clear" w:color="auto" w:fill="DADADA"/>
          </w:tcPr>
          <w:p w:rsidR="008237BB" w:rsidRPr="00120C38" w:rsidRDefault="00F03F3F" w:rsidP="001D132F">
            <w:pPr>
              <w:pStyle w:val="Tabletextleft"/>
            </w:pPr>
            <w:r w:rsidRPr="00120C38">
              <w:t>+ 0.8 m</w:t>
            </w:r>
            <w:r>
              <w:t xml:space="preserve"> </w:t>
            </w:r>
            <w:r w:rsidRPr="00120C38">
              <w:t>(QLD 2100)</w:t>
            </w:r>
          </w:p>
        </w:tc>
        <w:tc>
          <w:tcPr>
            <w:tcW w:w="1701" w:type="dxa"/>
            <w:shd w:val="clear" w:color="auto" w:fill="DADADA"/>
          </w:tcPr>
          <w:p w:rsidR="008237BB" w:rsidRPr="00120C38" w:rsidRDefault="00F03F3F" w:rsidP="001D132F">
            <w:pPr>
              <w:pStyle w:val="Tabletextleft"/>
              <w:cnfStyle w:val="000000010000" w:firstRow="0" w:lastRow="0" w:firstColumn="0" w:lastColumn="0" w:oddVBand="0" w:evenVBand="0" w:oddHBand="0" w:evenHBand="1" w:firstRowFirstColumn="0" w:firstRowLastColumn="0" w:lastRowFirstColumn="0" w:lastRowLastColumn="0"/>
            </w:pPr>
            <w:r w:rsidRPr="00120C38">
              <w:t>Tropical</w:t>
            </w:r>
          </w:p>
        </w:tc>
        <w:tc>
          <w:tcPr>
            <w:cnfStyle w:val="000010000000" w:firstRow="0" w:lastRow="0" w:firstColumn="0" w:lastColumn="0" w:oddVBand="1" w:evenVBand="0" w:oddHBand="0" w:evenHBand="0" w:firstRowFirstColumn="0" w:firstRowLastColumn="0" w:lastRowFirstColumn="0" w:lastRowLastColumn="0"/>
            <w:tcW w:w="968" w:type="dxa"/>
            <w:noWrap/>
          </w:tcPr>
          <w:p w:rsidR="008237BB" w:rsidRPr="00120C38" w:rsidRDefault="008237BB" w:rsidP="001D132F">
            <w:pPr>
              <w:pStyle w:val="Tabletextleft"/>
            </w:pPr>
            <w:r w:rsidRPr="00120C38">
              <w:t>Area 5</w:t>
            </w:r>
          </w:p>
        </w:tc>
        <w:tc>
          <w:tcPr>
            <w:tcW w:w="837"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3.29</w:t>
            </w:r>
          </w:p>
        </w:tc>
        <w:tc>
          <w:tcPr>
            <w:cnfStyle w:val="000010000000" w:firstRow="0" w:lastRow="0" w:firstColumn="0" w:lastColumn="0" w:oddVBand="1" w:evenVBand="0" w:oddHBand="0" w:evenHBand="0" w:firstRowFirstColumn="0" w:firstRowLastColumn="0" w:lastRowFirstColumn="0" w:lastRowLastColumn="0"/>
            <w:tcW w:w="837" w:type="dxa"/>
            <w:noWrap/>
          </w:tcPr>
          <w:p w:rsidR="008237BB" w:rsidRPr="00120C38" w:rsidRDefault="008237BB" w:rsidP="001D132F">
            <w:pPr>
              <w:pStyle w:val="Tabletextleft"/>
            </w:pPr>
            <w:r w:rsidRPr="00120C38">
              <w:t>3.42</w:t>
            </w:r>
          </w:p>
        </w:tc>
        <w:tc>
          <w:tcPr>
            <w:tcW w:w="837"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3.65</w:t>
            </w:r>
          </w:p>
        </w:tc>
        <w:tc>
          <w:tcPr>
            <w:cnfStyle w:val="000010000000" w:firstRow="0" w:lastRow="0" w:firstColumn="0" w:lastColumn="0" w:oddVBand="1" w:evenVBand="0" w:oddHBand="0" w:evenHBand="0" w:firstRowFirstColumn="0" w:firstRowLastColumn="0" w:lastRowFirstColumn="0" w:lastRowLastColumn="0"/>
            <w:tcW w:w="955" w:type="dxa"/>
            <w:noWrap/>
          </w:tcPr>
          <w:p w:rsidR="008237BB" w:rsidRPr="00120C38" w:rsidRDefault="008237BB" w:rsidP="001D132F">
            <w:pPr>
              <w:pStyle w:val="Tabletextleft"/>
            </w:pPr>
            <w:r w:rsidRPr="00120C38">
              <w:t>4.04</w:t>
            </w:r>
          </w:p>
        </w:tc>
        <w:tc>
          <w:tcPr>
            <w:tcW w:w="1094"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4.59</w:t>
            </w:r>
          </w:p>
        </w:tc>
      </w:tr>
      <w:tr w:rsidR="008237BB" w:rsidRPr="00C504FF" w:rsidTr="00F03F3F">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985" w:type="dxa"/>
            <w:noWrap/>
          </w:tcPr>
          <w:p w:rsidR="008237BB" w:rsidRPr="00120C38" w:rsidRDefault="008237BB" w:rsidP="001D132F">
            <w:pPr>
              <w:pStyle w:val="Tabletextleft"/>
            </w:pPr>
            <w:r w:rsidRPr="00120C38">
              <w:t>+ 1.1 m</w:t>
            </w:r>
            <w:r w:rsidR="00F03F3F">
              <w:t xml:space="preserve"> </w:t>
            </w:r>
            <w:r w:rsidRPr="00120C38">
              <w:t>(FED 2100)</w:t>
            </w:r>
          </w:p>
        </w:tc>
        <w:tc>
          <w:tcPr>
            <w:tcW w:w="1701"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Extra-Tropical</w:t>
            </w:r>
          </w:p>
        </w:tc>
        <w:tc>
          <w:tcPr>
            <w:cnfStyle w:val="000010000000" w:firstRow="0" w:lastRow="0" w:firstColumn="0" w:lastColumn="0" w:oddVBand="1" w:evenVBand="0" w:oddHBand="0" w:evenHBand="0" w:firstRowFirstColumn="0" w:firstRowLastColumn="0" w:lastRowFirstColumn="0" w:lastRowLastColumn="0"/>
            <w:tcW w:w="968" w:type="dxa"/>
            <w:noWrap/>
          </w:tcPr>
          <w:p w:rsidR="008237BB" w:rsidRPr="00120C38" w:rsidRDefault="008237BB" w:rsidP="001D132F">
            <w:pPr>
              <w:pStyle w:val="Tabletextleft"/>
            </w:pPr>
            <w:r w:rsidRPr="00120C38">
              <w:t>Area 4</w:t>
            </w:r>
          </w:p>
        </w:tc>
        <w:tc>
          <w:tcPr>
            <w:tcW w:w="837"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4.03</w:t>
            </w:r>
          </w:p>
        </w:tc>
        <w:tc>
          <w:tcPr>
            <w:cnfStyle w:val="000010000000" w:firstRow="0" w:lastRow="0" w:firstColumn="0" w:lastColumn="0" w:oddVBand="1" w:evenVBand="0" w:oddHBand="0" w:evenHBand="0" w:firstRowFirstColumn="0" w:firstRowLastColumn="0" w:lastRowFirstColumn="0" w:lastRowLastColumn="0"/>
            <w:tcW w:w="837" w:type="dxa"/>
            <w:noWrap/>
          </w:tcPr>
          <w:p w:rsidR="008237BB" w:rsidRPr="00120C38" w:rsidRDefault="008237BB" w:rsidP="001D132F">
            <w:pPr>
              <w:pStyle w:val="Tabletextleft"/>
            </w:pPr>
            <w:r w:rsidRPr="00120C38">
              <w:t>4.09</w:t>
            </w:r>
          </w:p>
        </w:tc>
        <w:tc>
          <w:tcPr>
            <w:tcW w:w="837"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4.17</w:t>
            </w:r>
          </w:p>
        </w:tc>
        <w:tc>
          <w:tcPr>
            <w:cnfStyle w:val="000010000000" w:firstRow="0" w:lastRow="0" w:firstColumn="0" w:lastColumn="0" w:oddVBand="1" w:evenVBand="0" w:oddHBand="0" w:evenHBand="0" w:firstRowFirstColumn="0" w:firstRowLastColumn="0" w:lastRowFirstColumn="0" w:lastRowLastColumn="0"/>
            <w:tcW w:w="955" w:type="dxa"/>
            <w:noWrap/>
          </w:tcPr>
          <w:p w:rsidR="008237BB" w:rsidRPr="00120C38" w:rsidRDefault="008237BB" w:rsidP="001D132F">
            <w:pPr>
              <w:pStyle w:val="Tabletextleft"/>
            </w:pPr>
            <w:r w:rsidRPr="00120C38">
              <w:t>4.28</w:t>
            </w:r>
          </w:p>
        </w:tc>
        <w:tc>
          <w:tcPr>
            <w:tcW w:w="1094"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4.46</w:t>
            </w:r>
          </w:p>
        </w:tc>
      </w:tr>
      <w:tr w:rsidR="008237BB" w:rsidRPr="00C504FF" w:rsidTr="00F03F3F">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985" w:type="dxa"/>
            <w:shd w:val="clear" w:color="auto" w:fill="DADADA"/>
          </w:tcPr>
          <w:p w:rsidR="008237BB" w:rsidRPr="00120C38" w:rsidRDefault="00F03F3F" w:rsidP="001D132F">
            <w:pPr>
              <w:pStyle w:val="Tabletextleft"/>
            </w:pPr>
            <w:r w:rsidRPr="00120C38">
              <w:t>+ 1.1 m</w:t>
            </w:r>
            <w:r>
              <w:t xml:space="preserve"> </w:t>
            </w:r>
            <w:r w:rsidRPr="00120C38">
              <w:t>(FED 2100)</w:t>
            </w:r>
          </w:p>
        </w:tc>
        <w:tc>
          <w:tcPr>
            <w:tcW w:w="1701" w:type="dxa"/>
            <w:shd w:val="clear" w:color="auto" w:fill="DADADA"/>
          </w:tcPr>
          <w:p w:rsidR="008237BB" w:rsidRPr="00120C38" w:rsidRDefault="00F03F3F" w:rsidP="001D132F">
            <w:pPr>
              <w:pStyle w:val="Tabletextleft"/>
              <w:cnfStyle w:val="000000010000" w:firstRow="0" w:lastRow="0" w:firstColumn="0" w:lastColumn="0" w:oddVBand="0" w:evenVBand="0" w:oddHBand="0" w:evenHBand="1" w:firstRowFirstColumn="0" w:firstRowLastColumn="0" w:lastRowFirstColumn="0" w:lastRowLastColumn="0"/>
            </w:pPr>
            <w:r w:rsidRPr="00120C38">
              <w:t>Extra-Tropical</w:t>
            </w:r>
          </w:p>
        </w:tc>
        <w:tc>
          <w:tcPr>
            <w:cnfStyle w:val="000010000000" w:firstRow="0" w:lastRow="0" w:firstColumn="0" w:lastColumn="0" w:oddVBand="1" w:evenVBand="0" w:oddHBand="0" w:evenHBand="0" w:firstRowFirstColumn="0" w:firstRowLastColumn="0" w:lastRowFirstColumn="0" w:lastRowLastColumn="0"/>
            <w:tcW w:w="968" w:type="dxa"/>
            <w:noWrap/>
          </w:tcPr>
          <w:p w:rsidR="008237BB" w:rsidRPr="00120C38" w:rsidRDefault="008237BB" w:rsidP="001D132F">
            <w:pPr>
              <w:pStyle w:val="Tabletextleft"/>
            </w:pPr>
            <w:r w:rsidRPr="00120C38">
              <w:t>Area 5</w:t>
            </w:r>
          </w:p>
        </w:tc>
        <w:tc>
          <w:tcPr>
            <w:tcW w:w="837"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3.80</w:t>
            </w:r>
          </w:p>
        </w:tc>
        <w:tc>
          <w:tcPr>
            <w:cnfStyle w:val="000010000000" w:firstRow="0" w:lastRow="0" w:firstColumn="0" w:lastColumn="0" w:oddVBand="1" w:evenVBand="0" w:oddHBand="0" w:evenHBand="0" w:firstRowFirstColumn="0" w:firstRowLastColumn="0" w:lastRowFirstColumn="0" w:lastRowLastColumn="0"/>
            <w:tcW w:w="837" w:type="dxa"/>
            <w:noWrap/>
          </w:tcPr>
          <w:p w:rsidR="008237BB" w:rsidRPr="00120C38" w:rsidRDefault="008237BB" w:rsidP="001D132F">
            <w:pPr>
              <w:pStyle w:val="Tabletextleft"/>
            </w:pPr>
            <w:r w:rsidRPr="00120C38">
              <w:t>3.84</w:t>
            </w:r>
          </w:p>
        </w:tc>
        <w:tc>
          <w:tcPr>
            <w:tcW w:w="837"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3.89</w:t>
            </w:r>
          </w:p>
        </w:tc>
        <w:tc>
          <w:tcPr>
            <w:cnfStyle w:val="000010000000" w:firstRow="0" w:lastRow="0" w:firstColumn="0" w:lastColumn="0" w:oddVBand="1" w:evenVBand="0" w:oddHBand="0" w:evenHBand="0" w:firstRowFirstColumn="0" w:firstRowLastColumn="0" w:lastRowFirstColumn="0" w:lastRowLastColumn="0"/>
            <w:tcW w:w="955" w:type="dxa"/>
            <w:noWrap/>
          </w:tcPr>
          <w:p w:rsidR="008237BB" w:rsidRPr="00120C38" w:rsidRDefault="008237BB" w:rsidP="001D132F">
            <w:pPr>
              <w:pStyle w:val="Tabletextleft"/>
            </w:pPr>
            <w:r w:rsidRPr="00120C38">
              <w:t>3.97</w:t>
            </w:r>
          </w:p>
        </w:tc>
        <w:tc>
          <w:tcPr>
            <w:tcW w:w="1094"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4.10</w:t>
            </w:r>
          </w:p>
        </w:tc>
      </w:tr>
      <w:tr w:rsidR="008237BB" w:rsidRPr="00C504FF" w:rsidTr="00F03F3F">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985" w:type="dxa"/>
          </w:tcPr>
          <w:p w:rsidR="008237BB" w:rsidRPr="00120C38" w:rsidRDefault="00F03F3F" w:rsidP="001D132F">
            <w:pPr>
              <w:pStyle w:val="Tabletextleft"/>
            </w:pPr>
            <w:r w:rsidRPr="00120C38">
              <w:t>+ 1.1 m</w:t>
            </w:r>
            <w:r>
              <w:t xml:space="preserve"> </w:t>
            </w:r>
            <w:r w:rsidRPr="00120C38">
              <w:t>(FED 2100)</w:t>
            </w:r>
          </w:p>
        </w:tc>
        <w:tc>
          <w:tcPr>
            <w:tcW w:w="1701"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Tropical</w:t>
            </w:r>
          </w:p>
        </w:tc>
        <w:tc>
          <w:tcPr>
            <w:cnfStyle w:val="000010000000" w:firstRow="0" w:lastRow="0" w:firstColumn="0" w:lastColumn="0" w:oddVBand="1" w:evenVBand="0" w:oddHBand="0" w:evenHBand="0" w:firstRowFirstColumn="0" w:firstRowLastColumn="0" w:lastRowFirstColumn="0" w:lastRowLastColumn="0"/>
            <w:tcW w:w="968" w:type="dxa"/>
            <w:noWrap/>
          </w:tcPr>
          <w:p w:rsidR="008237BB" w:rsidRPr="00120C38" w:rsidRDefault="008237BB" w:rsidP="001D132F">
            <w:pPr>
              <w:pStyle w:val="Tabletextleft"/>
            </w:pPr>
            <w:r w:rsidRPr="00120C38">
              <w:t>Area 4</w:t>
            </w:r>
          </w:p>
        </w:tc>
        <w:tc>
          <w:tcPr>
            <w:tcW w:w="837"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3.68</w:t>
            </w:r>
          </w:p>
        </w:tc>
        <w:tc>
          <w:tcPr>
            <w:cnfStyle w:val="000010000000" w:firstRow="0" w:lastRow="0" w:firstColumn="0" w:lastColumn="0" w:oddVBand="1" w:evenVBand="0" w:oddHBand="0" w:evenHBand="0" w:firstRowFirstColumn="0" w:firstRowLastColumn="0" w:lastRowFirstColumn="0" w:lastRowLastColumn="0"/>
            <w:tcW w:w="837" w:type="dxa"/>
            <w:noWrap/>
          </w:tcPr>
          <w:p w:rsidR="008237BB" w:rsidRPr="00120C38" w:rsidRDefault="008237BB" w:rsidP="001D132F">
            <w:pPr>
              <w:pStyle w:val="Tabletextleft"/>
            </w:pPr>
            <w:r w:rsidRPr="00120C38">
              <w:t>3.78</w:t>
            </w:r>
          </w:p>
        </w:tc>
        <w:tc>
          <w:tcPr>
            <w:tcW w:w="837"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3.96</w:t>
            </w:r>
          </w:p>
        </w:tc>
        <w:tc>
          <w:tcPr>
            <w:cnfStyle w:val="000010000000" w:firstRow="0" w:lastRow="0" w:firstColumn="0" w:lastColumn="0" w:oddVBand="1" w:evenVBand="0" w:oddHBand="0" w:evenHBand="0" w:firstRowFirstColumn="0" w:firstRowLastColumn="0" w:lastRowFirstColumn="0" w:lastRowLastColumn="0"/>
            <w:tcW w:w="955" w:type="dxa"/>
            <w:noWrap/>
          </w:tcPr>
          <w:p w:rsidR="008237BB" w:rsidRPr="00120C38" w:rsidRDefault="008237BB" w:rsidP="001D132F">
            <w:pPr>
              <w:pStyle w:val="Tabletextleft"/>
            </w:pPr>
            <w:r w:rsidRPr="00120C38">
              <w:t>4.29</w:t>
            </w:r>
          </w:p>
        </w:tc>
        <w:tc>
          <w:tcPr>
            <w:tcW w:w="1094" w:type="dxa"/>
            <w:noWrap/>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4.59</w:t>
            </w:r>
          </w:p>
        </w:tc>
      </w:tr>
      <w:tr w:rsidR="008237BB" w:rsidRPr="00C504FF" w:rsidTr="00F03F3F">
        <w:trPr>
          <w:cnfStyle w:val="000000010000" w:firstRow="0" w:lastRow="0" w:firstColumn="0" w:lastColumn="0" w:oddVBand="0" w:evenVBand="0" w:oddHBand="0" w:evenHBand="1" w:firstRowFirstColumn="0" w:firstRowLastColumn="0" w:lastRowFirstColumn="0" w:lastRowLastColumn="0"/>
          <w:trHeight w:val="270"/>
        </w:trPr>
        <w:tc>
          <w:tcPr>
            <w:cnfStyle w:val="000010000000" w:firstRow="0" w:lastRow="0" w:firstColumn="0" w:lastColumn="0" w:oddVBand="1" w:evenVBand="0" w:oddHBand="0" w:evenHBand="0" w:firstRowFirstColumn="0" w:firstRowLastColumn="0" w:lastRowFirstColumn="0" w:lastRowLastColumn="0"/>
            <w:tcW w:w="1985" w:type="dxa"/>
            <w:shd w:val="clear" w:color="auto" w:fill="DADADA"/>
          </w:tcPr>
          <w:p w:rsidR="008237BB" w:rsidRPr="00120C38" w:rsidRDefault="00F03F3F" w:rsidP="001D132F">
            <w:pPr>
              <w:pStyle w:val="Tabletextleft"/>
            </w:pPr>
            <w:r w:rsidRPr="00120C38">
              <w:t>+ 1.1 m</w:t>
            </w:r>
            <w:r>
              <w:t xml:space="preserve"> </w:t>
            </w:r>
            <w:r w:rsidRPr="00120C38">
              <w:t>(FED 2100)</w:t>
            </w:r>
          </w:p>
        </w:tc>
        <w:tc>
          <w:tcPr>
            <w:tcW w:w="1701" w:type="dxa"/>
            <w:shd w:val="clear" w:color="auto" w:fill="DADADA"/>
          </w:tcPr>
          <w:p w:rsidR="008237BB" w:rsidRPr="00120C38" w:rsidRDefault="00F03F3F" w:rsidP="001D132F">
            <w:pPr>
              <w:pStyle w:val="Tabletextleft"/>
              <w:cnfStyle w:val="000000010000" w:firstRow="0" w:lastRow="0" w:firstColumn="0" w:lastColumn="0" w:oddVBand="0" w:evenVBand="0" w:oddHBand="0" w:evenHBand="1" w:firstRowFirstColumn="0" w:firstRowLastColumn="0" w:lastRowFirstColumn="0" w:lastRowLastColumn="0"/>
            </w:pPr>
            <w:r w:rsidRPr="00120C38">
              <w:t>Tropical</w:t>
            </w:r>
          </w:p>
        </w:tc>
        <w:tc>
          <w:tcPr>
            <w:cnfStyle w:val="000010000000" w:firstRow="0" w:lastRow="0" w:firstColumn="0" w:lastColumn="0" w:oddVBand="1" w:evenVBand="0" w:oddHBand="0" w:evenHBand="0" w:firstRowFirstColumn="0" w:firstRowLastColumn="0" w:lastRowFirstColumn="0" w:lastRowLastColumn="0"/>
            <w:tcW w:w="968" w:type="dxa"/>
            <w:noWrap/>
          </w:tcPr>
          <w:p w:rsidR="008237BB" w:rsidRPr="00120C38" w:rsidRDefault="008237BB" w:rsidP="001D132F">
            <w:pPr>
              <w:pStyle w:val="Tabletextleft"/>
            </w:pPr>
            <w:r w:rsidRPr="00120C38">
              <w:t>Area 5</w:t>
            </w:r>
          </w:p>
        </w:tc>
        <w:tc>
          <w:tcPr>
            <w:tcW w:w="837"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3.59</w:t>
            </w:r>
          </w:p>
        </w:tc>
        <w:tc>
          <w:tcPr>
            <w:cnfStyle w:val="000010000000" w:firstRow="0" w:lastRow="0" w:firstColumn="0" w:lastColumn="0" w:oddVBand="1" w:evenVBand="0" w:oddHBand="0" w:evenHBand="0" w:firstRowFirstColumn="0" w:firstRowLastColumn="0" w:lastRowFirstColumn="0" w:lastRowLastColumn="0"/>
            <w:tcW w:w="837" w:type="dxa"/>
            <w:noWrap/>
          </w:tcPr>
          <w:p w:rsidR="008237BB" w:rsidRPr="00120C38" w:rsidRDefault="008237BB" w:rsidP="001D132F">
            <w:pPr>
              <w:pStyle w:val="Tabletextleft"/>
            </w:pPr>
            <w:r w:rsidRPr="00120C38">
              <w:t>3.72</w:t>
            </w:r>
          </w:p>
        </w:tc>
        <w:tc>
          <w:tcPr>
            <w:tcW w:w="837"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3.95</w:t>
            </w:r>
          </w:p>
        </w:tc>
        <w:tc>
          <w:tcPr>
            <w:cnfStyle w:val="000010000000" w:firstRow="0" w:lastRow="0" w:firstColumn="0" w:lastColumn="0" w:oddVBand="1" w:evenVBand="0" w:oddHBand="0" w:evenHBand="0" w:firstRowFirstColumn="0" w:firstRowLastColumn="0" w:lastRowFirstColumn="0" w:lastRowLastColumn="0"/>
            <w:tcW w:w="955" w:type="dxa"/>
            <w:noWrap/>
          </w:tcPr>
          <w:p w:rsidR="008237BB" w:rsidRPr="00120C38" w:rsidRDefault="008237BB" w:rsidP="001D132F">
            <w:pPr>
              <w:pStyle w:val="Tabletextleft"/>
            </w:pPr>
            <w:r w:rsidRPr="00120C38">
              <w:t>4.34</w:t>
            </w:r>
          </w:p>
        </w:tc>
        <w:tc>
          <w:tcPr>
            <w:tcW w:w="1094" w:type="dxa"/>
            <w:noWrap/>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4.89</w:t>
            </w:r>
          </w:p>
        </w:tc>
      </w:tr>
    </w:tbl>
    <w:p w:rsidR="008237BB" w:rsidRDefault="008237BB" w:rsidP="008237BB">
      <w:pPr>
        <w:pStyle w:val="BodyText"/>
      </w:pPr>
    </w:p>
    <w:p w:rsidR="008237BB" w:rsidRDefault="008237BB" w:rsidP="006B24B4">
      <w:pPr>
        <w:pStyle w:val="Headingappendix2"/>
      </w:pPr>
      <w:bookmarkStart w:id="4181" w:name="_Toc341445290"/>
      <w:bookmarkStart w:id="4182" w:name="_Toc342638520"/>
      <w:bookmarkStart w:id="4183" w:name="_Toc346261020"/>
      <w:bookmarkStart w:id="4184" w:name="_Toc346632582"/>
      <w:bookmarkStart w:id="4185" w:name="_Toc346632797"/>
      <w:bookmarkStart w:id="4186" w:name="_Toc346632909"/>
      <w:bookmarkStart w:id="4187" w:name="_Toc346633133"/>
      <w:bookmarkStart w:id="4188" w:name="_Toc346633245"/>
      <w:bookmarkStart w:id="4189" w:name="_Toc347401678"/>
      <w:bookmarkStart w:id="4190" w:name="_Toc347401790"/>
      <w:bookmarkStart w:id="4191" w:name="_Toc347402014"/>
      <w:bookmarkStart w:id="4192" w:name="_Toc347402126"/>
      <w:bookmarkStart w:id="4193" w:name="_Toc347402517"/>
      <w:bookmarkStart w:id="4194" w:name="_Toc349055089"/>
      <w:bookmarkStart w:id="4195" w:name="_Toc349055306"/>
      <w:bookmarkStart w:id="4196" w:name="_Toc349055419"/>
      <w:bookmarkStart w:id="4197" w:name="_Toc349055645"/>
      <w:bookmarkStart w:id="4198" w:name="_Toc349055758"/>
      <w:bookmarkStart w:id="4199" w:name="_Toc349116996"/>
      <w:bookmarkStart w:id="4200" w:name="_Toc350330081"/>
      <w:bookmarkStart w:id="4201" w:name="_Toc350344060"/>
      <w:bookmarkStart w:id="4202" w:name="_Toc354402051"/>
      <w:bookmarkStart w:id="4203" w:name="_Toc354404077"/>
      <w:bookmarkStart w:id="4204" w:name="_Toc354476548"/>
      <w:bookmarkStart w:id="4205" w:name="_Toc354492777"/>
      <w:bookmarkStart w:id="4206" w:name="_Toc354492903"/>
      <w:bookmarkStart w:id="4207" w:name="_Toc354493024"/>
      <w:bookmarkStart w:id="4208" w:name="_Toc354493155"/>
      <w:bookmarkStart w:id="4209" w:name="_Toc354493316"/>
      <w:bookmarkStart w:id="4210" w:name="_Toc354494525"/>
      <w:bookmarkStart w:id="4211" w:name="_Toc354494736"/>
      <w:bookmarkStart w:id="4212" w:name="_Toc354495030"/>
      <w:bookmarkStart w:id="4213" w:name="_Toc354497912"/>
      <w:bookmarkStart w:id="4214" w:name="_Toc354561325"/>
      <w:bookmarkStart w:id="4215" w:name="_Toc355164238"/>
      <w:bookmarkStart w:id="4216" w:name="_Toc355249666"/>
      <w:r>
        <w:lastRenderedPageBreak/>
        <w:t>Results</w:t>
      </w:r>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p>
    <w:p w:rsidR="008237BB" w:rsidRDefault="008237BB" w:rsidP="000871C1">
      <w:pPr>
        <w:pStyle w:val="Headingappendix3"/>
      </w:pPr>
      <w:bookmarkStart w:id="4217" w:name="_Toc341445291"/>
      <w:bookmarkStart w:id="4218" w:name="_Toc342638521"/>
      <w:bookmarkStart w:id="4219" w:name="_Toc346261021"/>
      <w:bookmarkStart w:id="4220" w:name="_Toc346632583"/>
      <w:bookmarkStart w:id="4221" w:name="_Toc346632798"/>
      <w:bookmarkStart w:id="4222" w:name="_Toc346632910"/>
      <w:bookmarkStart w:id="4223" w:name="_Toc346633134"/>
      <w:bookmarkStart w:id="4224" w:name="_Toc346633246"/>
      <w:bookmarkStart w:id="4225" w:name="_Toc347401679"/>
      <w:bookmarkStart w:id="4226" w:name="_Toc347401791"/>
      <w:bookmarkStart w:id="4227" w:name="_Toc347402015"/>
      <w:bookmarkStart w:id="4228" w:name="_Toc347402127"/>
      <w:bookmarkStart w:id="4229" w:name="_Toc347402518"/>
      <w:bookmarkStart w:id="4230" w:name="_Toc349055090"/>
      <w:bookmarkStart w:id="4231" w:name="_Toc349055307"/>
      <w:bookmarkStart w:id="4232" w:name="_Toc349055420"/>
      <w:bookmarkStart w:id="4233" w:name="_Toc349055646"/>
      <w:bookmarkStart w:id="4234" w:name="_Toc349055759"/>
      <w:bookmarkStart w:id="4235" w:name="_Toc349116997"/>
      <w:bookmarkStart w:id="4236" w:name="_Toc350330082"/>
      <w:bookmarkStart w:id="4237" w:name="_Toc350344061"/>
      <w:bookmarkStart w:id="4238" w:name="_Toc354402052"/>
      <w:bookmarkStart w:id="4239" w:name="_Toc354476549"/>
      <w:bookmarkStart w:id="4240" w:name="_Toc354492778"/>
      <w:bookmarkStart w:id="4241" w:name="_Toc354493025"/>
      <w:bookmarkStart w:id="4242" w:name="_Toc354493156"/>
      <w:bookmarkStart w:id="4243" w:name="_Toc354493317"/>
      <w:bookmarkStart w:id="4244" w:name="_Toc354561326"/>
      <w:bookmarkStart w:id="4245" w:name="_Toc355164239"/>
      <w:bookmarkStart w:id="4246" w:name="_Toc355249667"/>
      <w:r>
        <w:t>Current Climate</w:t>
      </w:r>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p>
    <w:p w:rsidR="00DF77DB" w:rsidRDefault="008237BB" w:rsidP="00253307">
      <w:pPr>
        <w:pStyle w:val="Figuresandimagesleft"/>
      </w:pPr>
      <w:r>
        <w:rPr>
          <w:noProof/>
        </w:rPr>
        <w:drawing>
          <wp:inline distT="0" distB="0" distL="0" distR="0" wp14:anchorId="69852435" wp14:editId="33CAF679">
            <wp:extent cx="5184000" cy="3456000"/>
            <wp:effectExtent l="0" t="0" r="0" b="0"/>
            <wp:docPr id="28" name="Picture 28" descr="This figure shows the current climate extra-tropical storm tide inundation extents for the study area (Area 4 and Area 5) for the 50, 100, 250 and 1000 year ARI. The extents have been clipped to within 4 km of the coastline. In both Area 4 and 5 the ARI 50 event is only narrowly extended by the rarer ARI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This figure shows the current climate extra-tropical storm tide inundation extents for the study area (Area 4 and Area 5) for the 50, 100, 250 and 1000 year ARI. The extents have been clipped to within 4 km of the coastline. In both Area 4 and 5 the ARI 50 event is only narrowly extended by the rarer ARI events."/>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184000" cy="3456000"/>
                    </a:xfrm>
                    <a:prstGeom prst="rect">
                      <a:avLst/>
                    </a:prstGeom>
                    <a:noFill/>
                    <a:ln>
                      <a:noFill/>
                    </a:ln>
                  </pic:spPr>
                </pic:pic>
              </a:graphicData>
            </a:graphic>
          </wp:inline>
        </w:drawing>
      </w:r>
    </w:p>
    <w:p w:rsidR="008237BB" w:rsidRDefault="00DF77DB" w:rsidP="00DF77DB">
      <w:pPr>
        <w:pStyle w:val="Caption"/>
      </w:pPr>
      <w:bookmarkStart w:id="4247" w:name="_Toc354561225"/>
      <w:bookmarkStart w:id="4248" w:name="_Toc354561409"/>
      <w:bookmarkStart w:id="4249" w:name="_Toc354561481"/>
      <w:bookmarkStart w:id="4250" w:name="_Toc354561553"/>
      <w:r>
        <w:t xml:space="preserve">Appendix Figure </w:t>
      </w:r>
      <w:r w:rsidR="007F11CF">
        <w:fldChar w:fldCharType="begin"/>
      </w:r>
      <w:r w:rsidR="007F11CF">
        <w:instrText xml:space="preserve"> STYLEREF 9 \s </w:instrText>
      </w:r>
      <w:r w:rsidR="007F11CF">
        <w:fldChar w:fldCharType="separate"/>
      </w:r>
      <w:r w:rsidR="00413858">
        <w:rPr>
          <w:noProof/>
        </w:rPr>
        <w:t>C</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8</w:t>
      </w:r>
      <w:r w:rsidR="007F11CF">
        <w:rPr>
          <w:noProof/>
        </w:rPr>
        <w:fldChar w:fldCharType="end"/>
      </w:r>
      <w:r>
        <w:t>. Extra-tropical storm tide inundation.</w:t>
      </w:r>
      <w:bookmarkEnd w:id="4247"/>
      <w:bookmarkEnd w:id="4248"/>
      <w:bookmarkEnd w:id="4249"/>
      <w:bookmarkEnd w:id="4250"/>
    </w:p>
    <w:p w:rsidR="008237BB" w:rsidRDefault="008237BB" w:rsidP="00253307">
      <w:pPr>
        <w:pStyle w:val="Figuresandimagesleft"/>
      </w:pPr>
      <w:r>
        <w:rPr>
          <w:noProof/>
        </w:rPr>
        <w:drawing>
          <wp:inline distT="0" distB="0" distL="0" distR="0" wp14:anchorId="0C5E450B" wp14:editId="178B7C9B">
            <wp:extent cx="5184000" cy="3456000"/>
            <wp:effectExtent l="0" t="0" r="0" b="0"/>
            <wp:docPr id="27" name="Picture 27" descr="This figure shows the current climate tropical cyclone storm tide inundation extents for the study area (Area 4 and Area 5) for the 50, 100, 250 and 1000 year ARI. The extents have been clipped to within 4 km of the coastline. In both Area 4 and 5 the ARI 50 event is only narrowly extended by the rarer ARI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This figure shows the current climate tropical cyclone storm tide inundation extents for the study area (Area 4 and Area 5) for the 50, 100, 250 and 1000 year ARI. The extents have been clipped to within 4 km of the coastline. In both Area 4 and 5 the ARI 50 event is only narrowly extended by the rarer ARI event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84000" cy="3456000"/>
                    </a:xfrm>
                    <a:prstGeom prst="rect">
                      <a:avLst/>
                    </a:prstGeom>
                    <a:noFill/>
                    <a:ln>
                      <a:noFill/>
                    </a:ln>
                  </pic:spPr>
                </pic:pic>
              </a:graphicData>
            </a:graphic>
          </wp:inline>
        </w:drawing>
      </w:r>
    </w:p>
    <w:p w:rsidR="008237BB" w:rsidRDefault="00414D8E" w:rsidP="00797F73">
      <w:pPr>
        <w:pStyle w:val="Caption"/>
      </w:pPr>
      <w:bookmarkStart w:id="4251" w:name="_Toc342638674"/>
      <w:bookmarkStart w:id="4252" w:name="_Toc349055202"/>
      <w:bookmarkStart w:id="4253" w:name="_Toc349055865"/>
      <w:bookmarkStart w:id="4254" w:name="_Toc349115041"/>
      <w:bookmarkStart w:id="4255" w:name="_Toc349115180"/>
      <w:bookmarkStart w:id="4256" w:name="_Toc349115573"/>
      <w:bookmarkStart w:id="4257" w:name="_Toc349115757"/>
      <w:bookmarkStart w:id="4258" w:name="_Toc350325338"/>
      <w:bookmarkStart w:id="4259" w:name="_Toc350327037"/>
      <w:bookmarkStart w:id="4260" w:name="_Toc350327183"/>
      <w:bookmarkStart w:id="4261" w:name="_Toc350330262"/>
      <w:bookmarkStart w:id="4262" w:name="_Toc350339844"/>
      <w:bookmarkStart w:id="4263" w:name="_Toc350341517"/>
      <w:bookmarkStart w:id="4264" w:name="_Toc351449956"/>
      <w:bookmarkStart w:id="4265" w:name="_Toc351450037"/>
      <w:bookmarkStart w:id="4266" w:name="_Toc352242339"/>
      <w:bookmarkStart w:id="4267" w:name="_Toc352243767"/>
      <w:bookmarkStart w:id="4268" w:name="_Toc352244443"/>
      <w:bookmarkStart w:id="4269" w:name="_Toc352244538"/>
      <w:bookmarkStart w:id="4270" w:name="_Toc354403644"/>
      <w:bookmarkStart w:id="4271" w:name="_Toc354476649"/>
      <w:bookmarkStart w:id="4272" w:name="_Toc354493406"/>
      <w:bookmarkStart w:id="4273" w:name="_Toc354493535"/>
      <w:bookmarkStart w:id="4274" w:name="_Toc354494629"/>
      <w:bookmarkStart w:id="4275" w:name="_Toc354494819"/>
      <w:bookmarkStart w:id="4276" w:name="_Toc354497563"/>
      <w:bookmarkStart w:id="4277" w:name="_Toc354497635"/>
      <w:bookmarkStart w:id="4278" w:name="_Toc354561226"/>
      <w:bookmarkStart w:id="4279" w:name="_Toc354561410"/>
      <w:bookmarkStart w:id="4280" w:name="_Toc354561482"/>
      <w:bookmarkStart w:id="4281" w:name="_Toc354561554"/>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C</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9</w:t>
      </w:r>
      <w:r w:rsidR="007F11CF">
        <w:rPr>
          <w:noProof/>
        </w:rPr>
        <w:fldChar w:fldCharType="end"/>
      </w:r>
      <w:r w:rsidR="008237BB">
        <w:t>. Tropical cyclone storm tide inundation.</w:t>
      </w:r>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p>
    <w:p w:rsidR="008237BB" w:rsidRDefault="008237BB" w:rsidP="000871C1">
      <w:pPr>
        <w:pStyle w:val="Headingappendix3"/>
      </w:pPr>
      <w:bookmarkStart w:id="4282" w:name="_Toc341445292"/>
      <w:bookmarkStart w:id="4283" w:name="_Toc342638522"/>
      <w:bookmarkStart w:id="4284" w:name="_Toc346261022"/>
      <w:bookmarkStart w:id="4285" w:name="_Toc346632584"/>
      <w:bookmarkStart w:id="4286" w:name="_Toc346632799"/>
      <w:bookmarkStart w:id="4287" w:name="_Toc346632911"/>
      <w:bookmarkStart w:id="4288" w:name="_Toc346633135"/>
      <w:bookmarkStart w:id="4289" w:name="_Toc346633247"/>
      <w:bookmarkStart w:id="4290" w:name="_Toc347401680"/>
      <w:bookmarkStart w:id="4291" w:name="_Toc347401792"/>
      <w:bookmarkStart w:id="4292" w:name="_Toc347402016"/>
      <w:bookmarkStart w:id="4293" w:name="_Toc347402128"/>
      <w:bookmarkStart w:id="4294" w:name="_Toc347402519"/>
      <w:bookmarkStart w:id="4295" w:name="_Toc349055091"/>
      <w:bookmarkStart w:id="4296" w:name="_Toc349055308"/>
      <w:bookmarkStart w:id="4297" w:name="_Toc349055421"/>
      <w:bookmarkStart w:id="4298" w:name="_Toc349055647"/>
      <w:bookmarkStart w:id="4299" w:name="_Toc349055760"/>
      <w:bookmarkStart w:id="4300" w:name="_Toc349116998"/>
      <w:bookmarkStart w:id="4301" w:name="_Toc350330083"/>
      <w:bookmarkStart w:id="4302" w:name="_Toc350344062"/>
      <w:bookmarkStart w:id="4303" w:name="_Toc354402053"/>
      <w:bookmarkStart w:id="4304" w:name="_Toc354476550"/>
      <w:bookmarkStart w:id="4305" w:name="_Toc354492779"/>
      <w:bookmarkStart w:id="4306" w:name="_Toc354493026"/>
      <w:bookmarkStart w:id="4307" w:name="_Toc354493157"/>
      <w:bookmarkStart w:id="4308" w:name="_Toc354493318"/>
      <w:bookmarkStart w:id="4309" w:name="_Toc354561327"/>
      <w:bookmarkStart w:id="4310" w:name="_Toc355164240"/>
      <w:bookmarkStart w:id="4311" w:name="_Toc355249668"/>
      <w:r>
        <w:lastRenderedPageBreak/>
        <w:t>Future Climate</w:t>
      </w:r>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p>
    <w:p w:rsidR="00DF77DB" w:rsidRDefault="008237BB" w:rsidP="00253307">
      <w:pPr>
        <w:pStyle w:val="Figuresandimagesleft"/>
      </w:pPr>
      <w:r>
        <w:rPr>
          <w:noProof/>
        </w:rPr>
        <w:drawing>
          <wp:inline distT="0" distB="0" distL="0" distR="0" wp14:anchorId="5D381655" wp14:editId="4BBD946B">
            <wp:extent cx="5400675" cy="3600450"/>
            <wp:effectExtent l="0" t="0" r="9525" b="0"/>
            <wp:docPr id="26" name="Picture 26" descr="This figure shows the 2050 (SLR +0.3 m) future climate extra-tropical storm tide inundation extents for the study area (Area 4 and Area 5) for the 50, 100, 250 and 1000 year ARI. The extents have been clipped to within 4 km of the coastline. In both Area 4 and 5 the ARI 50 event is only narrowly extended by the rarer ARI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This figure shows the 2050 (SLR +0.3 m) future climate extra-tropical storm tide inundation extents for the study area (Area 4 and Area 5) for the 50, 100, 250 and 1000 year ARI. The extents have been clipped to within 4 km of the coastline. In both Area 4 and 5 the ARI 50 event is only narrowly extended by the rarer ARI events."/>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DF77DB" w:rsidP="00DF77DB">
      <w:pPr>
        <w:pStyle w:val="Caption"/>
      </w:pPr>
      <w:bookmarkStart w:id="4312" w:name="_Toc354561227"/>
      <w:bookmarkStart w:id="4313" w:name="_Toc354561411"/>
      <w:bookmarkStart w:id="4314" w:name="_Toc354561483"/>
      <w:bookmarkStart w:id="4315" w:name="_Toc354561555"/>
      <w:r>
        <w:t xml:space="preserve">Appendix Figure </w:t>
      </w:r>
      <w:r w:rsidR="007F11CF">
        <w:fldChar w:fldCharType="begin"/>
      </w:r>
      <w:r w:rsidR="007F11CF">
        <w:instrText xml:space="preserve"> STYLEREF 9 \s </w:instrText>
      </w:r>
      <w:r w:rsidR="007F11CF">
        <w:fldChar w:fldCharType="separate"/>
      </w:r>
      <w:r w:rsidR="00413858">
        <w:rPr>
          <w:noProof/>
        </w:rPr>
        <w:t>C</w:t>
      </w:r>
      <w:r w:rsidR="007F11CF">
        <w:rPr>
          <w:noProof/>
        </w:rPr>
        <w:fldChar w:fldCharType="end"/>
      </w:r>
      <w:r w:rsidR="00162079">
        <w:t>.</w:t>
      </w:r>
      <w:r w:rsidR="007F11CF">
        <w:fldChar w:fldCharType="begin"/>
      </w:r>
      <w:r w:rsidR="007F11CF">
        <w:instrText xml:space="preserve"> SE</w:instrText>
      </w:r>
      <w:r w:rsidR="007F11CF">
        <w:instrText xml:space="preserve">Q Appendix_Figure \* ARABIC \s 9 </w:instrText>
      </w:r>
      <w:r w:rsidR="007F11CF">
        <w:fldChar w:fldCharType="separate"/>
      </w:r>
      <w:r w:rsidR="00413858">
        <w:rPr>
          <w:noProof/>
        </w:rPr>
        <w:t>10</w:t>
      </w:r>
      <w:r w:rsidR="007F11CF">
        <w:rPr>
          <w:noProof/>
        </w:rPr>
        <w:fldChar w:fldCharType="end"/>
      </w:r>
      <w:r>
        <w:t>. 2050 sea-level rise (+0.3 m) combined with extra-tropical storm tide inundation.</w:t>
      </w:r>
      <w:bookmarkEnd w:id="4312"/>
      <w:bookmarkEnd w:id="4313"/>
      <w:bookmarkEnd w:id="4314"/>
      <w:bookmarkEnd w:id="4315"/>
    </w:p>
    <w:p w:rsidR="008237BB" w:rsidRDefault="008237BB" w:rsidP="00253307">
      <w:pPr>
        <w:pStyle w:val="Figuresandimagesleft"/>
      </w:pPr>
      <w:r>
        <w:rPr>
          <w:noProof/>
        </w:rPr>
        <w:drawing>
          <wp:inline distT="0" distB="0" distL="0" distR="0" wp14:anchorId="42F3A908" wp14:editId="18A881C8">
            <wp:extent cx="5400675" cy="3600450"/>
            <wp:effectExtent l="0" t="0" r="9525" b="0"/>
            <wp:docPr id="25" name="Picture 25" descr="This figure shows the 2050 (SLR +0.3 m) future climate tropical storm tide inundation extents for the study area (Area 4 and Area 5) for the 50, 100, 250 and 1000 year ARI. The extents have been clipped to within 4 km of the coastline. In both Area 4 and 5 the ARI 50 event is only narrowly extended by the rarer ARI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his figure shows the 2050 (SLR +0.3 m) future climate tropical storm tide inundation extents for the study area (Area 4 and Area 5) for the 50, 100, 250 and 1000 year ARI. The extents have been clipped to within 4 km of the coastline. In both Area 4 and 5 the ARI 50 event is only narrowly extended by the rarer ARI events."/>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414D8E" w:rsidP="00797F73">
      <w:pPr>
        <w:pStyle w:val="Caption"/>
      </w:pPr>
      <w:bookmarkStart w:id="4316" w:name="_Toc342638676"/>
      <w:bookmarkStart w:id="4317" w:name="_Toc349055204"/>
      <w:bookmarkStart w:id="4318" w:name="_Toc349055867"/>
      <w:bookmarkStart w:id="4319" w:name="_Toc349115043"/>
      <w:bookmarkStart w:id="4320" w:name="_Toc349115182"/>
      <w:bookmarkStart w:id="4321" w:name="_Toc349115575"/>
      <w:bookmarkStart w:id="4322" w:name="_Toc349115759"/>
      <w:bookmarkStart w:id="4323" w:name="_Toc350325340"/>
      <w:bookmarkStart w:id="4324" w:name="_Toc350325615"/>
      <w:bookmarkStart w:id="4325" w:name="_Toc350327039"/>
      <w:bookmarkStart w:id="4326" w:name="_Toc350327185"/>
      <w:bookmarkStart w:id="4327" w:name="_Toc350330264"/>
      <w:bookmarkStart w:id="4328" w:name="_Toc350339846"/>
      <w:bookmarkStart w:id="4329" w:name="_Toc350341519"/>
      <w:bookmarkStart w:id="4330" w:name="_Toc351449958"/>
      <w:bookmarkStart w:id="4331" w:name="_Toc351450039"/>
      <w:bookmarkStart w:id="4332" w:name="_Toc352242341"/>
      <w:bookmarkStart w:id="4333" w:name="_Toc352243769"/>
      <w:bookmarkStart w:id="4334" w:name="_Toc352244445"/>
      <w:bookmarkStart w:id="4335" w:name="_Toc352244540"/>
      <w:bookmarkStart w:id="4336" w:name="_Toc354403646"/>
      <w:bookmarkStart w:id="4337" w:name="_Toc354476651"/>
      <w:bookmarkStart w:id="4338" w:name="_Toc354493408"/>
      <w:bookmarkStart w:id="4339" w:name="_Toc354493537"/>
      <w:bookmarkStart w:id="4340" w:name="_Toc354494631"/>
      <w:bookmarkStart w:id="4341" w:name="_Toc354494821"/>
      <w:bookmarkStart w:id="4342" w:name="_Toc354497565"/>
      <w:bookmarkStart w:id="4343" w:name="_Toc354497637"/>
      <w:bookmarkStart w:id="4344" w:name="_Toc354561228"/>
      <w:bookmarkStart w:id="4345" w:name="_Toc354561412"/>
      <w:bookmarkStart w:id="4346" w:name="_Toc354561484"/>
      <w:bookmarkStart w:id="4347" w:name="_Toc354561556"/>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C</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11</w:t>
      </w:r>
      <w:r w:rsidR="007F11CF">
        <w:rPr>
          <w:noProof/>
        </w:rPr>
        <w:fldChar w:fldCharType="end"/>
      </w:r>
      <w:r w:rsidR="008237BB">
        <w:t>. 2050 sea-level rise (+0.3 m) combined with</w:t>
      </w:r>
      <w:r w:rsidR="008237BB" w:rsidRPr="00A30BAA">
        <w:t xml:space="preserve"> </w:t>
      </w:r>
      <w:r w:rsidR="008237BB">
        <w:t>tropical storm tide inundation.</w:t>
      </w:r>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p>
    <w:p w:rsidR="00DF77DB" w:rsidRDefault="008237BB" w:rsidP="00253307">
      <w:pPr>
        <w:pStyle w:val="Figuresandimagesleft"/>
      </w:pPr>
      <w:r>
        <w:rPr>
          <w:noProof/>
        </w:rPr>
        <w:lastRenderedPageBreak/>
        <w:drawing>
          <wp:inline distT="0" distB="0" distL="0" distR="0" wp14:anchorId="1387A263" wp14:editId="556D6371">
            <wp:extent cx="5400675" cy="3600450"/>
            <wp:effectExtent l="0" t="0" r="9525" b="0"/>
            <wp:docPr id="24" name="Picture 24" descr="This figure shows the 2070 (SLR +0.5 m) future climate extra-tropical storm tide inundation extents for the study area (Area 4 and Area 5) for the 50, 100, 250 and 1000 year ARI. The extents have been clipped to within 4 km of the coastline. In both Area 4 and 5 the ARI 50 event is only narrowly extended by the rarer ARI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This figure shows the 2070 (SLR +0.5 m) future climate extra-tropical storm tide inundation extents for the study area (Area 4 and Area 5) for the 50, 100, 250 and 1000 year ARI. The extents have been clipped to within 4 km of the coastline. In both Area 4 and 5 the ARI 50 event is only narrowly extended by the rarer ARI event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DF77DB" w:rsidP="00DF77DB">
      <w:pPr>
        <w:pStyle w:val="Caption"/>
      </w:pPr>
      <w:bookmarkStart w:id="4348" w:name="_Toc354561229"/>
      <w:bookmarkStart w:id="4349" w:name="_Toc354561413"/>
      <w:bookmarkStart w:id="4350" w:name="_Toc354561485"/>
      <w:bookmarkStart w:id="4351" w:name="_Toc354561557"/>
      <w:r>
        <w:t xml:space="preserve">Appendix Figure </w:t>
      </w:r>
      <w:r w:rsidR="007F11CF">
        <w:fldChar w:fldCharType="begin"/>
      </w:r>
      <w:r w:rsidR="007F11CF">
        <w:instrText xml:space="preserve"> STYLEREF 9 \s </w:instrText>
      </w:r>
      <w:r w:rsidR="007F11CF">
        <w:fldChar w:fldCharType="separate"/>
      </w:r>
      <w:r w:rsidR="00413858">
        <w:rPr>
          <w:noProof/>
        </w:rPr>
        <w:t>C</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12</w:t>
      </w:r>
      <w:r w:rsidR="007F11CF">
        <w:rPr>
          <w:noProof/>
        </w:rPr>
        <w:fldChar w:fldCharType="end"/>
      </w:r>
      <w:r>
        <w:t>. 2070 sea-level rise (+0.5 m) combined with extra-tropical storm tide inundation.</w:t>
      </w:r>
      <w:bookmarkEnd w:id="4348"/>
      <w:bookmarkEnd w:id="4349"/>
      <w:bookmarkEnd w:id="4350"/>
      <w:bookmarkEnd w:id="4351"/>
    </w:p>
    <w:p w:rsidR="008237BB" w:rsidRDefault="008237BB" w:rsidP="00253307">
      <w:pPr>
        <w:pStyle w:val="Figuresandimagesleft"/>
      </w:pPr>
      <w:r>
        <w:rPr>
          <w:noProof/>
        </w:rPr>
        <w:drawing>
          <wp:inline distT="0" distB="0" distL="0" distR="0" wp14:anchorId="608CB7B9" wp14:editId="11710D9A">
            <wp:extent cx="5400675" cy="3600450"/>
            <wp:effectExtent l="0" t="0" r="9525" b="0"/>
            <wp:docPr id="23" name="Picture 23" descr="This figure shows the 2070 (SLR +0.5 m) future climate tropical cyclone storm tide inundation extents for the study area (Area 4 and Area 5) for the 50, 100, 250 and 1000 year ARI. The extents have been clipped to within 4 km of the coastline. In both Area 4 and 5 the ARI 50 event is only narrowly extended by the rarer ARI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his figure shows the 2070 (SLR +0.5 m) future climate tropical cyclone storm tide inundation extents for the study area (Area 4 and Area 5) for the 50, 100, 250 and 1000 year ARI. The extents have been clipped to within 4 km of the coastline. In both Area 4 and 5 the ARI 50 event is only narrowly extended by the rarer ARI event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414D8E" w:rsidP="00797F73">
      <w:pPr>
        <w:pStyle w:val="Caption"/>
      </w:pPr>
      <w:bookmarkStart w:id="4352" w:name="_Toc342638678"/>
      <w:bookmarkStart w:id="4353" w:name="_Toc349055206"/>
      <w:bookmarkStart w:id="4354" w:name="_Toc349055869"/>
      <w:bookmarkStart w:id="4355" w:name="_Toc349115045"/>
      <w:bookmarkStart w:id="4356" w:name="_Toc349115184"/>
      <w:bookmarkStart w:id="4357" w:name="_Toc349115577"/>
      <w:bookmarkStart w:id="4358" w:name="_Toc349115761"/>
      <w:bookmarkStart w:id="4359" w:name="_Toc350325342"/>
      <w:bookmarkStart w:id="4360" w:name="_Toc350325617"/>
      <w:bookmarkStart w:id="4361" w:name="_Toc350327041"/>
      <w:bookmarkStart w:id="4362" w:name="_Toc350327187"/>
      <w:bookmarkStart w:id="4363" w:name="_Toc350330266"/>
      <w:bookmarkStart w:id="4364" w:name="_Toc350339848"/>
      <w:bookmarkStart w:id="4365" w:name="_Toc350341521"/>
      <w:bookmarkStart w:id="4366" w:name="_Toc351449960"/>
      <w:bookmarkStart w:id="4367" w:name="_Toc351450041"/>
      <w:bookmarkStart w:id="4368" w:name="_Toc352242343"/>
      <w:bookmarkStart w:id="4369" w:name="_Toc352243771"/>
      <w:bookmarkStart w:id="4370" w:name="_Toc352244447"/>
      <w:bookmarkStart w:id="4371" w:name="_Toc352244542"/>
      <w:bookmarkStart w:id="4372" w:name="_Toc354403648"/>
      <w:bookmarkStart w:id="4373" w:name="_Toc354476653"/>
      <w:bookmarkStart w:id="4374" w:name="_Toc354493410"/>
      <w:bookmarkStart w:id="4375" w:name="_Toc354493539"/>
      <w:bookmarkStart w:id="4376" w:name="_Toc354494633"/>
      <w:bookmarkStart w:id="4377" w:name="_Toc354494823"/>
      <w:bookmarkStart w:id="4378" w:name="_Toc354497567"/>
      <w:bookmarkStart w:id="4379" w:name="_Toc354497639"/>
      <w:bookmarkStart w:id="4380" w:name="_Toc354561230"/>
      <w:bookmarkStart w:id="4381" w:name="_Toc354561414"/>
      <w:bookmarkStart w:id="4382" w:name="_Toc354561486"/>
      <w:bookmarkStart w:id="4383" w:name="_Toc354561558"/>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C</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13</w:t>
      </w:r>
      <w:r w:rsidR="007F11CF">
        <w:rPr>
          <w:noProof/>
        </w:rPr>
        <w:fldChar w:fldCharType="end"/>
      </w:r>
      <w:r w:rsidR="008237BB">
        <w:t>. 2070 sea-level rise (+0.5 m) combined with tropical storm tide inundation.</w:t>
      </w:r>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p>
    <w:p w:rsidR="00DF77DB" w:rsidRDefault="008237BB" w:rsidP="00253307">
      <w:pPr>
        <w:pStyle w:val="Figuresandimagesleft"/>
      </w:pPr>
      <w:r>
        <w:rPr>
          <w:noProof/>
        </w:rPr>
        <w:lastRenderedPageBreak/>
        <w:drawing>
          <wp:inline distT="0" distB="0" distL="0" distR="0" wp14:anchorId="392374CF" wp14:editId="2044F4F4">
            <wp:extent cx="5400675" cy="3600450"/>
            <wp:effectExtent l="0" t="0" r="9525" b="0"/>
            <wp:docPr id="22" name="Picture 22" descr="This figure shows the 2100 (SLR +0.8 m) future climate extra-tropical storm tide inundation extents for the study area (Area 4 and Area 5) for the 50, 100, 250 and 1000 year ARI. The extents have been clipped to within 4 km of the coastline. In both Area 4 and 5 the ARI 50 event is only narrowly extended by the rarer ARI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This figure shows the 2100 (SLR +0.8 m) future climate extra-tropical storm tide inundation extents for the study area (Area 4 and Area 5) for the 50, 100, 250 and 1000 year ARI. The extents have been clipped to within 4 km of the coastline. In both Area 4 and 5 the ARI 50 event is only narrowly extended by the rarer ARI event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DF77DB" w:rsidP="00DF77DB">
      <w:pPr>
        <w:pStyle w:val="Caption"/>
      </w:pPr>
      <w:bookmarkStart w:id="4384" w:name="_Toc354561231"/>
      <w:bookmarkStart w:id="4385" w:name="_Toc354561415"/>
      <w:bookmarkStart w:id="4386" w:name="_Toc354561487"/>
      <w:bookmarkStart w:id="4387" w:name="_Toc354561559"/>
      <w:r>
        <w:t xml:space="preserve">Appendix Figure </w:t>
      </w:r>
      <w:r w:rsidR="007F11CF">
        <w:fldChar w:fldCharType="begin"/>
      </w:r>
      <w:r w:rsidR="007F11CF">
        <w:instrText xml:space="preserve"> STYLEREF 9 \s </w:instrText>
      </w:r>
      <w:r w:rsidR="007F11CF">
        <w:fldChar w:fldCharType="separate"/>
      </w:r>
      <w:r w:rsidR="00413858">
        <w:rPr>
          <w:noProof/>
        </w:rPr>
        <w:t>C</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14</w:t>
      </w:r>
      <w:r w:rsidR="007F11CF">
        <w:rPr>
          <w:noProof/>
        </w:rPr>
        <w:fldChar w:fldCharType="end"/>
      </w:r>
      <w:r>
        <w:t>. 2100 sea-level rise (+0.8 m) combined with extra-tropical storm tide inundation.</w:t>
      </w:r>
      <w:bookmarkEnd w:id="4384"/>
      <w:bookmarkEnd w:id="4385"/>
      <w:bookmarkEnd w:id="4386"/>
      <w:bookmarkEnd w:id="4387"/>
    </w:p>
    <w:p w:rsidR="008237BB" w:rsidRDefault="008237BB" w:rsidP="00253307">
      <w:pPr>
        <w:pStyle w:val="Figuresandimagesleft"/>
      </w:pPr>
      <w:r>
        <w:rPr>
          <w:noProof/>
        </w:rPr>
        <w:drawing>
          <wp:inline distT="0" distB="0" distL="0" distR="0" wp14:anchorId="1076009F" wp14:editId="1A028E49">
            <wp:extent cx="5400675" cy="3600450"/>
            <wp:effectExtent l="0" t="0" r="9525" b="0"/>
            <wp:docPr id="21" name="Picture 21" descr="This figure shows the 2100 (SLR +0.8 m) future climate tropical cyclone storm tide inundation extents for the study area (Area 4 and Area 5) for the 50, 100, 250 and 1000 year ARI. The extents have been clipped to within 4 km of the coastline. In both Area 4 and 5 the ARI 50 event is only narrowly extended by the rarer ARI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his figure shows the 2100 (SLR +0.8 m) future climate tropical cyclone storm tide inundation extents for the study area (Area 4 and Area 5) for the 50, 100, 250 and 1000 year ARI. The extents have been clipped to within 4 km of the coastline. In both Area 4 and 5 the ARI 50 event is only narrowly extended by the rarer ARI events."/>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414D8E" w:rsidP="00797F73">
      <w:pPr>
        <w:pStyle w:val="Caption"/>
      </w:pPr>
      <w:bookmarkStart w:id="4388" w:name="_Toc342638680"/>
      <w:bookmarkStart w:id="4389" w:name="_Toc349055208"/>
      <w:bookmarkStart w:id="4390" w:name="_Toc349055871"/>
      <w:bookmarkStart w:id="4391" w:name="_Toc349115047"/>
      <w:bookmarkStart w:id="4392" w:name="_Toc349115186"/>
      <w:bookmarkStart w:id="4393" w:name="_Toc349115579"/>
      <w:bookmarkStart w:id="4394" w:name="_Toc349115763"/>
      <w:bookmarkStart w:id="4395" w:name="_Toc350325344"/>
      <w:bookmarkStart w:id="4396" w:name="_Toc350325619"/>
      <w:bookmarkStart w:id="4397" w:name="_Toc350327043"/>
      <w:bookmarkStart w:id="4398" w:name="_Toc350327189"/>
      <w:bookmarkStart w:id="4399" w:name="_Toc350330268"/>
      <w:bookmarkStart w:id="4400" w:name="_Toc350339850"/>
      <w:bookmarkStart w:id="4401" w:name="_Toc350341523"/>
      <w:bookmarkStart w:id="4402" w:name="_Toc351449962"/>
      <w:bookmarkStart w:id="4403" w:name="_Toc351450043"/>
      <w:bookmarkStart w:id="4404" w:name="_Toc352242345"/>
      <w:bookmarkStart w:id="4405" w:name="_Toc352243773"/>
      <w:bookmarkStart w:id="4406" w:name="_Toc352244449"/>
      <w:bookmarkStart w:id="4407" w:name="_Toc352244544"/>
      <w:bookmarkStart w:id="4408" w:name="_Toc354403650"/>
      <w:bookmarkStart w:id="4409" w:name="_Toc354476655"/>
      <w:bookmarkStart w:id="4410" w:name="_Toc354493412"/>
      <w:bookmarkStart w:id="4411" w:name="_Toc354493541"/>
      <w:bookmarkStart w:id="4412" w:name="_Toc354494635"/>
      <w:bookmarkStart w:id="4413" w:name="_Toc354494825"/>
      <w:bookmarkStart w:id="4414" w:name="_Toc354497569"/>
      <w:bookmarkStart w:id="4415" w:name="_Toc354497641"/>
      <w:bookmarkStart w:id="4416" w:name="_Toc354561232"/>
      <w:bookmarkStart w:id="4417" w:name="_Toc354561416"/>
      <w:bookmarkStart w:id="4418" w:name="_Toc354561488"/>
      <w:bookmarkStart w:id="4419" w:name="_Toc354561560"/>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C</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15</w:t>
      </w:r>
      <w:r w:rsidR="007F11CF">
        <w:rPr>
          <w:noProof/>
        </w:rPr>
        <w:fldChar w:fldCharType="end"/>
      </w:r>
      <w:r w:rsidR="008237BB">
        <w:t>. 2100 sea-level rise (+0.8 m) combined with tropical storm tide inundation.</w:t>
      </w:r>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p>
    <w:p w:rsidR="00DF77DB" w:rsidRDefault="008237BB" w:rsidP="00253307">
      <w:pPr>
        <w:pStyle w:val="Figuresandimagesleft"/>
      </w:pPr>
      <w:r>
        <w:rPr>
          <w:noProof/>
        </w:rPr>
        <w:lastRenderedPageBreak/>
        <w:drawing>
          <wp:inline distT="0" distB="0" distL="0" distR="0" wp14:anchorId="6F1934AC" wp14:editId="3506A67E">
            <wp:extent cx="5400675" cy="3600450"/>
            <wp:effectExtent l="0" t="0" r="9525" b="0"/>
            <wp:docPr id="20" name="Picture 20" descr="This figure shows the 2100 (SLR +1.1 m) future climate extra-tropical storm tide inundation extents for the study area (Area 4 and Area 5) for the 50, 100, 250 and 1000 year ARI. The extents have been clipped to within 4 km of the coastline. In both Area 4 and 5 the ARI 50 event is only narrowly extended by the rarer ARI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his figure shows the 2100 (SLR +1.1 m) future climate extra-tropical storm tide inundation extents for the study area (Area 4 and Area 5) for the 50, 100, 250 and 1000 year ARI. The extents have been clipped to within 4 km of the coastline. In both Area 4 and 5 the ARI 50 event is only narrowly extended by the rarer ARI events."/>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DF77DB" w:rsidP="00DF77DB">
      <w:pPr>
        <w:pStyle w:val="Caption"/>
      </w:pPr>
      <w:bookmarkStart w:id="4420" w:name="_Toc354561233"/>
      <w:bookmarkStart w:id="4421" w:name="_Toc354561417"/>
      <w:bookmarkStart w:id="4422" w:name="_Toc354561489"/>
      <w:bookmarkStart w:id="4423" w:name="_Toc354561561"/>
      <w:r>
        <w:t xml:space="preserve">Appendix Figure </w:t>
      </w:r>
      <w:r w:rsidR="007F11CF">
        <w:fldChar w:fldCharType="begin"/>
      </w:r>
      <w:r w:rsidR="007F11CF">
        <w:instrText xml:space="preserve"> STYLEREF 9 \s </w:instrText>
      </w:r>
      <w:r w:rsidR="007F11CF">
        <w:fldChar w:fldCharType="separate"/>
      </w:r>
      <w:r w:rsidR="00413858">
        <w:rPr>
          <w:noProof/>
        </w:rPr>
        <w:t>C</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16</w:t>
      </w:r>
      <w:r w:rsidR="007F11CF">
        <w:rPr>
          <w:noProof/>
        </w:rPr>
        <w:fldChar w:fldCharType="end"/>
      </w:r>
      <w:r>
        <w:t>. 2100 sea-level rise (+1.1 m) combined with extra-tropical storm tide inundation.</w:t>
      </w:r>
      <w:bookmarkEnd w:id="4420"/>
      <w:bookmarkEnd w:id="4421"/>
      <w:bookmarkEnd w:id="4422"/>
      <w:bookmarkEnd w:id="4423"/>
    </w:p>
    <w:p w:rsidR="008237BB" w:rsidRDefault="008237BB" w:rsidP="00253307">
      <w:pPr>
        <w:pStyle w:val="Figuresandimagesleft"/>
      </w:pPr>
      <w:r>
        <w:rPr>
          <w:noProof/>
        </w:rPr>
        <w:drawing>
          <wp:inline distT="0" distB="0" distL="0" distR="0" wp14:anchorId="5B2DFAED" wp14:editId="0E00370F">
            <wp:extent cx="5400675" cy="3600450"/>
            <wp:effectExtent l="0" t="0" r="9525" b="0"/>
            <wp:docPr id="19" name="Picture 19" descr="This figure shows the 2100 (SLR +1.1 m) future climate tropical cylone storm tide inundation extents for the study area (Area 4 and Area 5) for the 50, 100, 250 and 1000 year ARI. The extents have been clipped to within 4 km of the coastline. In both Area 4 and 5 the ARI 50 event is only narrowly extended by the rarer ARI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his figure shows the 2100 (SLR +1.1 m) future climate tropical cylone storm tide inundation extents for the study area (Area 4 and Area 5) for the 50, 100, 250 and 1000 year ARI. The extents have been clipped to within 4 km of the coastline. In both Area 4 and 5 the ARI 50 event is only narrowly extended by the rarer ARI events."/>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bookmarkStart w:id="4424" w:name="_Toc342638682"/>
      <w:bookmarkStart w:id="4425" w:name="_Toc349055210"/>
      <w:bookmarkStart w:id="4426" w:name="_Toc349055873"/>
      <w:bookmarkStart w:id="4427" w:name="_Toc349115049"/>
      <w:bookmarkStart w:id="4428" w:name="_Toc349115188"/>
      <w:bookmarkStart w:id="4429" w:name="_Toc349115581"/>
      <w:bookmarkStart w:id="4430" w:name="_Toc349115765"/>
      <w:bookmarkStart w:id="4431" w:name="_Toc350325346"/>
      <w:bookmarkStart w:id="4432" w:name="_Toc350325621"/>
    </w:p>
    <w:p w:rsidR="008237BB" w:rsidRDefault="00414D8E" w:rsidP="00797F73">
      <w:pPr>
        <w:pStyle w:val="Caption"/>
      </w:pPr>
      <w:bookmarkStart w:id="4433" w:name="_Toc350327045"/>
      <w:bookmarkStart w:id="4434" w:name="_Toc350327191"/>
      <w:bookmarkStart w:id="4435" w:name="_Toc350330270"/>
      <w:bookmarkStart w:id="4436" w:name="_Toc350339852"/>
      <w:bookmarkStart w:id="4437" w:name="_Toc350341525"/>
      <w:bookmarkStart w:id="4438" w:name="_Toc351449964"/>
      <w:bookmarkStart w:id="4439" w:name="_Toc351450045"/>
      <w:bookmarkStart w:id="4440" w:name="_Toc352242347"/>
      <w:bookmarkStart w:id="4441" w:name="_Toc352243775"/>
      <w:bookmarkStart w:id="4442" w:name="_Toc352244451"/>
      <w:bookmarkStart w:id="4443" w:name="_Toc352244546"/>
      <w:bookmarkStart w:id="4444" w:name="_Toc354403652"/>
      <w:bookmarkStart w:id="4445" w:name="_Toc354476657"/>
      <w:bookmarkStart w:id="4446" w:name="_Toc354493414"/>
      <w:bookmarkStart w:id="4447" w:name="_Toc354493543"/>
      <w:bookmarkStart w:id="4448" w:name="_Toc354494637"/>
      <w:bookmarkStart w:id="4449" w:name="_Toc354494827"/>
      <w:bookmarkStart w:id="4450" w:name="_Toc354497571"/>
      <w:bookmarkStart w:id="4451" w:name="_Toc354497643"/>
      <w:bookmarkStart w:id="4452" w:name="_Toc354561234"/>
      <w:bookmarkStart w:id="4453" w:name="_Toc354561418"/>
      <w:bookmarkStart w:id="4454" w:name="_Toc354561490"/>
      <w:bookmarkStart w:id="4455" w:name="_Toc354561562"/>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C</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17</w:t>
      </w:r>
      <w:r w:rsidR="007F11CF">
        <w:rPr>
          <w:noProof/>
        </w:rPr>
        <w:fldChar w:fldCharType="end"/>
      </w:r>
      <w:r w:rsidR="008237BB">
        <w:t>. 2100 sea-level rise (+1.1 m) combined with tropical storm tide inundation.</w:t>
      </w:r>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p>
    <w:p w:rsidR="008237BB" w:rsidRDefault="008237BB" w:rsidP="006B24B4">
      <w:pPr>
        <w:pStyle w:val="Headingappendix2"/>
      </w:pPr>
      <w:bookmarkStart w:id="4456" w:name="_Toc341445293"/>
      <w:bookmarkStart w:id="4457" w:name="_Toc342638523"/>
      <w:bookmarkStart w:id="4458" w:name="_Toc346261023"/>
      <w:bookmarkStart w:id="4459" w:name="_Toc346632585"/>
      <w:bookmarkStart w:id="4460" w:name="_Toc346632800"/>
      <w:bookmarkStart w:id="4461" w:name="_Toc346632912"/>
      <w:bookmarkStart w:id="4462" w:name="_Toc346633136"/>
      <w:bookmarkStart w:id="4463" w:name="_Toc346633248"/>
      <w:bookmarkStart w:id="4464" w:name="_Toc347401681"/>
      <w:bookmarkStart w:id="4465" w:name="_Toc347401793"/>
      <w:bookmarkStart w:id="4466" w:name="_Toc347402017"/>
      <w:bookmarkStart w:id="4467" w:name="_Toc347402129"/>
      <w:bookmarkStart w:id="4468" w:name="_Toc347402520"/>
      <w:bookmarkStart w:id="4469" w:name="_Toc349055092"/>
      <w:bookmarkStart w:id="4470" w:name="_Toc349055309"/>
      <w:bookmarkStart w:id="4471" w:name="_Toc349055422"/>
      <w:bookmarkStart w:id="4472" w:name="_Toc349055648"/>
      <w:bookmarkStart w:id="4473" w:name="_Toc349055761"/>
      <w:bookmarkStart w:id="4474" w:name="_Toc349116999"/>
      <w:bookmarkStart w:id="4475" w:name="_Toc350330084"/>
      <w:bookmarkStart w:id="4476" w:name="_Toc350344063"/>
      <w:bookmarkStart w:id="4477" w:name="_Toc354402054"/>
      <w:bookmarkStart w:id="4478" w:name="_Toc354404078"/>
      <w:bookmarkStart w:id="4479" w:name="_Toc354476551"/>
      <w:bookmarkStart w:id="4480" w:name="_Toc354492780"/>
      <w:bookmarkStart w:id="4481" w:name="_Toc354492904"/>
      <w:bookmarkStart w:id="4482" w:name="_Toc354493027"/>
      <w:bookmarkStart w:id="4483" w:name="_Toc354493158"/>
      <w:bookmarkStart w:id="4484" w:name="_Toc354493319"/>
      <w:bookmarkStart w:id="4485" w:name="_Toc354494526"/>
      <w:bookmarkStart w:id="4486" w:name="_Toc354494737"/>
      <w:bookmarkStart w:id="4487" w:name="_Toc354495031"/>
      <w:bookmarkStart w:id="4488" w:name="_Toc354497913"/>
      <w:bookmarkStart w:id="4489" w:name="_Toc354561328"/>
      <w:bookmarkStart w:id="4490" w:name="_Toc355164241"/>
      <w:bookmarkStart w:id="4491" w:name="_Toc355249669"/>
      <w:r>
        <w:lastRenderedPageBreak/>
        <w:t>Discussion</w:t>
      </w:r>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p>
    <w:p w:rsidR="008237BB" w:rsidRPr="006168F7" w:rsidRDefault="008237BB" w:rsidP="00935848">
      <w:pPr>
        <w:pStyle w:val="Headingappendix3"/>
      </w:pPr>
      <w:bookmarkStart w:id="4492" w:name="_Toc341445294"/>
      <w:bookmarkStart w:id="4493" w:name="_Toc342638524"/>
      <w:bookmarkStart w:id="4494" w:name="_Toc346261024"/>
      <w:bookmarkStart w:id="4495" w:name="_Toc346632586"/>
      <w:bookmarkStart w:id="4496" w:name="_Toc346632801"/>
      <w:bookmarkStart w:id="4497" w:name="_Toc346632913"/>
      <w:bookmarkStart w:id="4498" w:name="_Toc346633137"/>
      <w:bookmarkStart w:id="4499" w:name="_Toc346633249"/>
      <w:bookmarkStart w:id="4500" w:name="_Toc347401682"/>
      <w:bookmarkStart w:id="4501" w:name="_Toc347401794"/>
      <w:bookmarkStart w:id="4502" w:name="_Toc347402018"/>
      <w:bookmarkStart w:id="4503" w:name="_Toc347402130"/>
      <w:bookmarkStart w:id="4504" w:name="_Toc347402521"/>
      <w:bookmarkStart w:id="4505" w:name="_Toc349055093"/>
      <w:bookmarkStart w:id="4506" w:name="_Toc349055310"/>
      <w:bookmarkStart w:id="4507" w:name="_Toc349055423"/>
      <w:bookmarkStart w:id="4508" w:name="_Toc349055649"/>
      <w:bookmarkStart w:id="4509" w:name="_Toc349055762"/>
      <w:bookmarkStart w:id="4510" w:name="_Toc349117000"/>
      <w:bookmarkStart w:id="4511" w:name="_Toc350330085"/>
      <w:bookmarkStart w:id="4512" w:name="_Toc350344064"/>
      <w:bookmarkStart w:id="4513" w:name="_Toc354402055"/>
      <w:bookmarkStart w:id="4514" w:name="_Toc354476552"/>
      <w:bookmarkStart w:id="4515" w:name="_Toc354492781"/>
      <w:bookmarkStart w:id="4516" w:name="_Toc354492905"/>
      <w:bookmarkStart w:id="4517" w:name="_Toc354493028"/>
      <w:bookmarkStart w:id="4518" w:name="_Toc354493159"/>
      <w:bookmarkStart w:id="4519" w:name="_Toc354493320"/>
      <w:bookmarkStart w:id="4520" w:name="_Toc354494527"/>
      <w:bookmarkStart w:id="4521" w:name="_Toc354494738"/>
      <w:bookmarkStart w:id="4522" w:name="_Toc354495032"/>
      <w:bookmarkStart w:id="4523" w:name="_Toc354497914"/>
      <w:bookmarkStart w:id="4524" w:name="_Toc354561329"/>
      <w:bookmarkStart w:id="4525" w:name="_Toc355164242"/>
      <w:bookmarkStart w:id="4526" w:name="_Toc355249670"/>
      <w:r>
        <w:t>Current Climate</w:t>
      </w:r>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p>
    <w:p w:rsidR="002F691C" w:rsidRDefault="008237BB" w:rsidP="008237BB">
      <w:pPr>
        <w:pStyle w:val="BodyText"/>
      </w:pPr>
      <w:r>
        <w:t>Analysis of the current-climate area inundated revealed that there is only a relatively small increase in extent (+1% to +3%) with increasing inundation heights with ARI for the extra-tropical storm tide. There is a larger extent increase (+5% to +6%) for tropical storm tide in Area 4. The impact is largest for tropical cyclone storm tide for Area 5 with a range of +13% to +50%. This is caused by:</w:t>
      </w:r>
    </w:p>
    <w:p w:rsidR="008237BB" w:rsidRPr="008415D0" w:rsidRDefault="008237BB" w:rsidP="004B379B">
      <w:pPr>
        <w:pStyle w:val="Bulletlevel1"/>
      </w:pPr>
      <w:r w:rsidRPr="008415D0">
        <w:t>the relatively low height of the ARI 50 event (2.49 m) for Area 5 tropical cyclone storm tide inundation</w:t>
      </w:r>
    </w:p>
    <w:p w:rsidR="008237BB" w:rsidRPr="008415D0" w:rsidRDefault="008237BB" w:rsidP="004B379B">
      <w:pPr>
        <w:pStyle w:val="Bulletlevel1"/>
      </w:pPr>
      <w:r w:rsidRPr="008415D0">
        <w:t xml:space="preserve">the topography is relatively flat in Area 5, as compared with Area 4, due to the mouth </w:t>
      </w:r>
      <w:r w:rsidR="008D3BBC">
        <w:t xml:space="preserve">and floodplain </w:t>
      </w:r>
      <w:r w:rsidRPr="008415D0">
        <w:t>of the Fitzroy River</w:t>
      </w:r>
    </w:p>
    <w:p w:rsidR="008237BB" w:rsidRDefault="008237BB" w:rsidP="004B379B">
      <w:pPr>
        <w:pStyle w:val="Bulletlevel1"/>
      </w:pPr>
      <w:r w:rsidRPr="008415D0">
        <w:t>the inundation height increment between adjacent ARIs is larger for tropical cyclone storm tide (+0.1 to +0.39 m) as compared with extra-tropical storm tide (+0.06 to +0.11 m).</w:t>
      </w:r>
    </w:p>
    <w:p w:rsidR="008237BB" w:rsidRDefault="008237BB" w:rsidP="008237BB">
      <w:pPr>
        <w:pStyle w:val="BodyText"/>
      </w:pPr>
      <w:r>
        <w:t xml:space="preserve">The comparison is shown graphically in </w:t>
      </w:r>
      <w:r>
        <w:fldChar w:fldCharType="begin"/>
      </w:r>
      <w:r>
        <w:instrText xml:space="preserve"> REF _Ref350339431 \h </w:instrText>
      </w:r>
      <w:r>
        <w:fldChar w:fldCharType="separate"/>
      </w:r>
      <w:r w:rsidR="00413858">
        <w:t xml:space="preserve">Appendix Figure </w:t>
      </w:r>
      <w:r w:rsidR="00413858">
        <w:rPr>
          <w:noProof/>
        </w:rPr>
        <w:t>C</w:t>
      </w:r>
      <w:r w:rsidR="00413858">
        <w:t>.</w:t>
      </w:r>
      <w:r w:rsidR="00413858">
        <w:rPr>
          <w:noProof/>
        </w:rPr>
        <w:t>18</w:t>
      </w:r>
      <w:r>
        <w:fldChar w:fldCharType="end"/>
      </w:r>
      <w:r>
        <w:t xml:space="preserve">. Only with </w:t>
      </w:r>
      <w:r w:rsidR="008D3BBC">
        <w:t>the recent availability of high</w:t>
      </w:r>
      <w:r w:rsidR="008D3BBC">
        <w:noBreakHyphen/>
      </w:r>
      <w:r>
        <w:t>resolution DEMs, derived from LiDAR, has such small inundation height variation been able to be tested with accuracy (+/- 0.15 m).</w:t>
      </w:r>
    </w:p>
    <w:p w:rsidR="008237BB" w:rsidRPr="009339AE" w:rsidRDefault="008237BB" w:rsidP="00253307">
      <w:pPr>
        <w:pStyle w:val="Figuresandimagesleft"/>
      </w:pPr>
      <w:r>
        <w:rPr>
          <w:noProof/>
        </w:rPr>
        <w:drawing>
          <wp:inline distT="0" distB="0" distL="0" distR="0" wp14:anchorId="394CEF93" wp14:editId="578FABEC">
            <wp:extent cx="5391150" cy="3829050"/>
            <wp:effectExtent l="0" t="0" r="0" b="0"/>
            <wp:docPr id="18" name="Picture 18" descr="This figure shows the area exposed to inundation and height of inundation (from AHD) for each area, tropical cyclone and extra-tropical storms, for the 50, 100, 250 and 1000 year ARI.&#10;&#10;The extra-tropical storm tide inundation increases in height and area, for increasing rarity of ARI (i.e. 50 to 100 to 250 to 1000 year ARI) in reglar and relatively small increments as compared with the tropical cyclone storm tide.&#10;&#10;The tropical cyclone storm tide inundation heights and area start at a lower inundation height and increase at a faster rate, for increasing rarity of ARI, to end up at approximately the same water height for the 250 and 1000 year ARI extra-tropical water height. There is minimal difference between Area 4 and Area 5 at the 50 year ARI (0.09 m), and this difference reduces throught the rarer ARI events (100 yea ARI difference 0.06 m) to be approximately the same value as stated, for the 250 (difference of 0.01m) and 1000 year ARI (difference of 0.05 m)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his figure shows the area exposed to inundation and height of inundation (from AHD) for each area, tropical cyclone and extra-tropical storms, for the 50, 100, 250 and 1000 year ARI.&#10;&#10;The extra-tropical storm tide inundation increases in height and area, for increasing rarity of ARI (i.e. 50 to 100 to 250 to 1000 year ARI) in reglar and relatively small increments as compared with the tropical cyclone storm tide.&#10;&#10;The tropical cyclone storm tide inundation heights and area start at a lower inundation height and increase at a faster rate, for increasing rarity of ARI, to end up at approximately the same water height for the 250 and 1000 year ARI extra-tropical water height. There is minimal difference between Area 4 and Area 5 at the 50 year ARI (0.09 m), and this difference reduces throught the rarer ARI events (100 yea ARI difference 0.06 m) to be approximately the same value as stated, for the 250 (difference of 0.01m) and 1000 year ARI (difference of 0.05 m) events."/>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91150" cy="3829050"/>
                    </a:xfrm>
                    <a:prstGeom prst="rect">
                      <a:avLst/>
                    </a:prstGeom>
                    <a:noFill/>
                    <a:ln>
                      <a:noFill/>
                    </a:ln>
                  </pic:spPr>
                </pic:pic>
              </a:graphicData>
            </a:graphic>
          </wp:inline>
        </w:drawing>
      </w:r>
    </w:p>
    <w:p w:rsidR="00590FF0" w:rsidRDefault="00414D8E" w:rsidP="00797F73">
      <w:pPr>
        <w:pStyle w:val="Caption"/>
      </w:pPr>
      <w:bookmarkStart w:id="4527" w:name="_Ref350339431"/>
      <w:bookmarkStart w:id="4528" w:name="_Toc349055211"/>
      <w:bookmarkStart w:id="4529" w:name="_Toc349055874"/>
      <w:bookmarkStart w:id="4530" w:name="_Toc349115050"/>
      <w:bookmarkStart w:id="4531" w:name="_Toc349115189"/>
      <w:bookmarkStart w:id="4532" w:name="_Toc349115582"/>
      <w:bookmarkStart w:id="4533" w:name="_Toc349115766"/>
      <w:bookmarkStart w:id="4534" w:name="_Toc350325347"/>
      <w:bookmarkStart w:id="4535" w:name="_Toc350325622"/>
      <w:bookmarkStart w:id="4536" w:name="_Toc350327046"/>
      <w:bookmarkStart w:id="4537" w:name="_Toc350327192"/>
      <w:bookmarkStart w:id="4538" w:name="_Toc350330271"/>
      <w:bookmarkStart w:id="4539" w:name="_Toc350339853"/>
      <w:bookmarkStart w:id="4540" w:name="_Toc350341526"/>
      <w:bookmarkStart w:id="4541" w:name="_Toc351449965"/>
      <w:bookmarkStart w:id="4542" w:name="_Toc351450046"/>
      <w:bookmarkStart w:id="4543" w:name="_Toc352242348"/>
      <w:bookmarkStart w:id="4544" w:name="_Toc352243776"/>
      <w:bookmarkStart w:id="4545" w:name="_Toc352244452"/>
      <w:bookmarkStart w:id="4546" w:name="_Toc352244547"/>
      <w:bookmarkStart w:id="4547" w:name="_Toc354403653"/>
      <w:bookmarkStart w:id="4548" w:name="_Toc354476658"/>
      <w:bookmarkStart w:id="4549" w:name="_Toc354493415"/>
      <w:bookmarkStart w:id="4550" w:name="_Toc354493544"/>
      <w:bookmarkStart w:id="4551" w:name="_Toc354494638"/>
      <w:bookmarkStart w:id="4552" w:name="_Toc354494828"/>
      <w:bookmarkStart w:id="4553" w:name="_Toc354497572"/>
      <w:bookmarkStart w:id="4554" w:name="_Toc354497644"/>
      <w:bookmarkStart w:id="4555" w:name="_Toc354561235"/>
      <w:bookmarkStart w:id="4556" w:name="_Toc354561419"/>
      <w:bookmarkStart w:id="4557" w:name="_Toc354561491"/>
      <w:bookmarkStart w:id="4558" w:name="_Toc354561563"/>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C</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18</w:t>
      </w:r>
      <w:r w:rsidR="007F11CF">
        <w:rPr>
          <w:noProof/>
        </w:rPr>
        <w:fldChar w:fldCharType="end"/>
      </w:r>
      <w:bookmarkEnd w:id="4527"/>
      <w:r w:rsidR="008237BB">
        <w:t>. Current-climate storm tide inundation area (tropical and extra-tropical). Area is plotted against the primary Y-axis and inundation height is plotted against the secondary Y-axis.</w:t>
      </w:r>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r w:rsidR="00590FF0">
        <w:br w:type="page"/>
      </w:r>
    </w:p>
    <w:p w:rsidR="008237BB" w:rsidRPr="00C02F8E" w:rsidRDefault="008237BB" w:rsidP="009340CE">
      <w:pPr>
        <w:pStyle w:val="Headingappendix4"/>
      </w:pPr>
      <w:bookmarkStart w:id="4559" w:name="_Toc341445295"/>
      <w:bookmarkStart w:id="4560" w:name="_Toc342638525"/>
      <w:bookmarkStart w:id="4561" w:name="_Toc346261025"/>
      <w:bookmarkStart w:id="4562" w:name="_Toc346632587"/>
      <w:bookmarkStart w:id="4563" w:name="_Toc347402522"/>
      <w:bookmarkStart w:id="4564" w:name="_Toc349055094"/>
      <w:bookmarkStart w:id="4565" w:name="_Toc349117001"/>
      <w:bookmarkStart w:id="4566" w:name="_Toc354402056"/>
      <w:bookmarkStart w:id="4567" w:name="_Toc354476553"/>
      <w:bookmarkStart w:id="4568" w:name="_Toc354492782"/>
      <w:bookmarkStart w:id="4569" w:name="_Toc354493029"/>
      <w:bookmarkStart w:id="4570" w:name="_Toc354493160"/>
      <w:bookmarkStart w:id="4571" w:name="_Toc354493321"/>
      <w:bookmarkStart w:id="4572" w:name="_Toc355164243"/>
      <w:bookmarkStart w:id="4573" w:name="_GoBack"/>
      <w:bookmarkEnd w:id="4573"/>
      <w:r w:rsidRPr="00C02F8E">
        <w:lastRenderedPageBreak/>
        <w:t>Limitations</w:t>
      </w:r>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p>
    <w:p w:rsidR="008237BB" w:rsidRDefault="008237BB" w:rsidP="008237BB">
      <w:pPr>
        <w:pStyle w:val="BodyText"/>
      </w:pPr>
      <w:r>
        <w:t>Limitations within the method used include the:</w:t>
      </w:r>
    </w:p>
    <w:p w:rsidR="008237BB" w:rsidRPr="005B6444" w:rsidRDefault="008237BB" w:rsidP="004B379B">
      <w:pPr>
        <w:pStyle w:val="Bulletlevel1"/>
      </w:pPr>
      <w:r w:rsidRPr="005B6444">
        <w:t xml:space="preserve">tropical cyclone simulation was not complete at the time of </w:t>
      </w:r>
      <w:r w:rsidR="008D3BBC">
        <w:t>the inundation</w:t>
      </w:r>
      <w:r w:rsidRPr="005B6444">
        <w:t xml:space="preserve"> analysis</w:t>
      </w:r>
    </w:p>
    <w:p w:rsidR="008237BB" w:rsidRPr="005B6444" w:rsidRDefault="008237BB" w:rsidP="004B379B">
      <w:pPr>
        <w:pStyle w:val="Bulletlevel1"/>
      </w:pPr>
      <w:r>
        <w:t>averaging of the</w:t>
      </w:r>
      <w:r w:rsidRPr="005B6444">
        <w:t xml:space="preserve"> inundation height</w:t>
      </w:r>
      <w:r>
        <w:t>s</w:t>
      </w:r>
      <w:r w:rsidRPr="005B6444">
        <w:t xml:space="preserve"> to group inundation areas</w:t>
      </w:r>
    </w:p>
    <w:p w:rsidR="002F691C" w:rsidRDefault="008237BB" w:rsidP="004B379B">
      <w:pPr>
        <w:pStyle w:val="Bulletlevel1"/>
      </w:pPr>
      <w:r w:rsidRPr="005B6444">
        <w:t xml:space="preserve">tide used in the storm tide modelling is different to that of the sea-level rise analysis (See the </w:t>
      </w:r>
      <w:r w:rsidRPr="005B6444">
        <w:fldChar w:fldCharType="begin"/>
      </w:r>
      <w:r w:rsidRPr="005B6444">
        <w:instrText xml:space="preserve"> REF _Ref340663299 \h </w:instrText>
      </w:r>
      <w:r w:rsidR="004B379B">
        <w:instrText xml:space="preserve"> \* MERGEFORMAT </w:instrText>
      </w:r>
      <w:r w:rsidRPr="005B6444">
        <w:fldChar w:fldCharType="separate"/>
      </w:r>
      <w:r w:rsidR="00413858" w:rsidRPr="009340CE">
        <w:t>Sea-level Rise</w:t>
      </w:r>
      <w:r w:rsidRPr="005B6444">
        <w:fldChar w:fldCharType="end"/>
      </w:r>
      <w:r w:rsidRPr="005B6444">
        <w:t xml:space="preserve"> section, p</w:t>
      </w:r>
      <w:r w:rsidRPr="005B6444">
        <w:fldChar w:fldCharType="begin"/>
      </w:r>
      <w:r w:rsidRPr="005B6444">
        <w:instrText xml:space="preserve"> PAGEREF _Ref340663301 \h </w:instrText>
      </w:r>
      <w:r w:rsidRPr="005B6444">
        <w:fldChar w:fldCharType="separate"/>
      </w:r>
      <w:r w:rsidR="00413858">
        <w:rPr>
          <w:noProof/>
        </w:rPr>
        <w:t>31</w:t>
      </w:r>
      <w:r w:rsidRPr="005B6444">
        <w:fldChar w:fldCharType="end"/>
      </w:r>
      <w:r w:rsidRPr="005B6444">
        <w:t>)</w:t>
      </w:r>
    </w:p>
    <w:p w:rsidR="008237BB" w:rsidRDefault="008237BB" w:rsidP="004B379B">
      <w:pPr>
        <w:pStyle w:val="Bulletlevel1"/>
      </w:pPr>
      <w:r w:rsidRPr="005B6444">
        <w:t xml:space="preserve">bath-tub method does not consider hydrodynamic </w:t>
      </w:r>
      <w:r>
        <w:t>forcing, nor topographic barriers</w:t>
      </w:r>
    </w:p>
    <w:p w:rsidR="008237BB" w:rsidRPr="005B6444" w:rsidRDefault="008237BB" w:rsidP="004B379B">
      <w:pPr>
        <w:pStyle w:val="Bulletlevel1"/>
      </w:pPr>
      <w:r w:rsidRPr="005B6444">
        <w:t xml:space="preserve">Rockhampton </w:t>
      </w:r>
      <w:r>
        <w:t>MSL</w:t>
      </w:r>
      <w:r w:rsidRPr="005B6444">
        <w:t xml:space="preserve"> differs </w:t>
      </w:r>
      <w:r>
        <w:t>from</w:t>
      </w:r>
      <w:r w:rsidRPr="005B6444">
        <w:t xml:space="preserve"> </w:t>
      </w:r>
      <w:r>
        <w:t>AHD</w:t>
      </w:r>
      <w:r w:rsidRPr="00FC0857">
        <w:rPr>
          <w:rStyle w:val="Superscript"/>
        </w:rPr>
        <w:footnoteReference w:id="30"/>
      </w:r>
      <w:r w:rsidRPr="005B6444">
        <w:t>.</w:t>
      </w:r>
    </w:p>
    <w:p w:rsidR="008237BB" w:rsidRDefault="008237BB" w:rsidP="004B379B">
      <w:pPr>
        <w:pStyle w:val="Bulletlevel1"/>
      </w:pPr>
      <w:r w:rsidRPr="005B6444">
        <w:t xml:space="preserve">MSL varies at Rockhampton by ~ 0.3 m with greatest cycle in Jan/Feb/March, see Haigh </w:t>
      </w:r>
      <w:r w:rsidRPr="009E1AAE">
        <w:rPr>
          <w:rStyle w:val="Bodytextitalic"/>
        </w:rPr>
        <w:t>et al.</w:t>
      </w:r>
      <w:r>
        <w:t>,</w:t>
      </w:r>
      <w:r w:rsidRPr="005B6444">
        <w:t xml:space="preserve"> 2012.</w:t>
      </w:r>
    </w:p>
    <w:p w:rsidR="002F691C" w:rsidRDefault="008237BB" w:rsidP="008237BB">
      <w:pPr>
        <w:pStyle w:val="BodyText"/>
      </w:pPr>
      <w:r>
        <w:t>At the time of the analysis, the tropical cyclone simulation had been completed for 5000 of the 10 000 years. Results of the completed tropical cyclone simulation may change the ARI inundation heights used in this study. However, this is unlikely to have a significant impact of the ARI values below 500 years.</w:t>
      </w:r>
    </w:p>
    <w:p w:rsidR="008237BB" w:rsidRDefault="008237BB" w:rsidP="008237BB">
      <w:pPr>
        <w:pStyle w:val="BodyText"/>
      </w:pPr>
      <w:r>
        <w:t xml:space="preserve">The statistical method used to identify a single inundation height for similarly exposed spatially related areas (clusters) results in an average inundation height per cluster. As can be seen for each ARI inundation extent in </w:t>
      </w:r>
      <w:r w:rsidR="00DF77DB">
        <w:fldChar w:fldCharType="begin"/>
      </w:r>
      <w:r w:rsidR="00DF77DB">
        <w:instrText xml:space="preserve"> REF _Ref354561707 \h </w:instrText>
      </w:r>
      <w:r w:rsidR="00DF77DB">
        <w:fldChar w:fldCharType="separate"/>
      </w:r>
      <w:r w:rsidR="00413858">
        <w:t xml:space="preserve">Appendix Figure </w:t>
      </w:r>
      <w:r w:rsidR="00413858">
        <w:rPr>
          <w:noProof/>
        </w:rPr>
        <w:t>C</w:t>
      </w:r>
      <w:r w:rsidR="00413858">
        <w:t>.</w:t>
      </w:r>
      <w:r w:rsidR="00413858">
        <w:rPr>
          <w:noProof/>
        </w:rPr>
        <w:t>2</w:t>
      </w:r>
      <w:r w:rsidR="00DF77DB">
        <w:fldChar w:fldCharType="end"/>
      </w:r>
      <w:r>
        <w:t xml:space="preserve"> and </w:t>
      </w:r>
      <w:r>
        <w:fldChar w:fldCharType="begin"/>
      </w:r>
      <w:r>
        <w:instrText xml:space="preserve"> REF _Ref350339346 \h </w:instrText>
      </w:r>
      <w:r>
        <w:fldChar w:fldCharType="separate"/>
      </w:r>
      <w:r w:rsidR="00413858">
        <w:t xml:space="preserve">Appendix Figure </w:t>
      </w:r>
      <w:r w:rsidR="00413858">
        <w:rPr>
          <w:noProof/>
        </w:rPr>
        <w:t>C</w:t>
      </w:r>
      <w:r w:rsidR="00413858">
        <w:t>.</w:t>
      </w:r>
      <w:r w:rsidR="00413858">
        <w:rPr>
          <w:noProof/>
        </w:rPr>
        <w:t>3</w:t>
      </w:r>
      <w:r>
        <w:fldChar w:fldCharType="end"/>
      </w:r>
      <w:r>
        <w:t xml:space="preserve"> each cluster area contains a range of inundation heights including those that smoothly link cluster areas that may not be well represented by the mean value for the cluster. These outlying points will affect the resulting average inundation height values for the cluster and they may warrant specific attention to the immediate area they represent.</w:t>
      </w:r>
      <w:r w:rsidDel="004E2CF1">
        <w:t xml:space="preserve"> </w:t>
      </w:r>
      <w:r>
        <w:t>This investigation, however, needs to also consider the uncertainty in the storm tide modelling, as discussed further below, to determine if further analysis is required.</w:t>
      </w:r>
    </w:p>
    <w:p w:rsidR="002F691C" w:rsidRDefault="008237BB" w:rsidP="008237BB">
      <w:pPr>
        <w:pStyle w:val="BodyText"/>
      </w:pPr>
      <w:r>
        <w:t xml:space="preserve">As the ACE CRC study was a probabilistic study, the inundation heights include a tide level from a modelled tidal sequence. These tides were modelled with a check against validation sites around Australia for the year 1995; Mackay and Bundaberg were the closest validation sites (Haigh </w:t>
      </w:r>
      <w:r w:rsidRPr="007B6C0C">
        <w:rPr>
          <w:rStyle w:val="Bodytextitalic"/>
        </w:rPr>
        <w:t>et al.,</w:t>
      </w:r>
      <w:r>
        <w:t xml:space="preserve"> 2012). The root mean square error for combined MSL, tide and surge modelled vs. observations were 0.45 m and 0.14 m for Mackay and Bundaberg respectively. The year 1995 was selected for the high record completeness. Without having the results of the tidal modelling for Rockhampton, the Maritime Safety Queensland data show that for 2012 Rockhampton has a tidal range peak of 2.66 m (AHD) and -1.57 m (AHD) being Mean High Water Springs and Mean Low Water Springs</w:t>
      </w:r>
      <w:r>
        <w:rPr>
          <w:rStyle w:val="FootnoteReference"/>
        </w:rPr>
        <w:footnoteReference w:id="31"/>
      </w:r>
      <w:r>
        <w:t xml:space="preserve"> respectively. In comparison the sea-level rise analysis in this study draws solely upon the Highest Astronomical Tide level (3.9 m, AHD) which is a theoretical maximum high water level based on astronomical conditions.</w:t>
      </w:r>
    </w:p>
    <w:p w:rsidR="008237BB" w:rsidRDefault="008237BB" w:rsidP="008237BB">
      <w:pPr>
        <w:pStyle w:val="BodyText"/>
      </w:pPr>
      <w:r w:rsidRPr="002E7586">
        <w:t xml:space="preserve">The bath-tub inundation method does not consider the hydrodynamic forces </w:t>
      </w:r>
      <w:r>
        <w:t xml:space="preserve">(e.g. wave setup and wave run-up) when estimating </w:t>
      </w:r>
      <w:r w:rsidRPr="002E7586">
        <w:t>inundation extent. For example, the</w:t>
      </w:r>
      <w:r>
        <w:t xml:space="preserve"> hydro</w:t>
      </w:r>
      <w:r w:rsidRPr="002E7586">
        <w:t xml:space="preserve">dynamics of the storm approaching the coastline </w:t>
      </w:r>
      <w:r>
        <w:t>varies depending</w:t>
      </w:r>
      <w:r w:rsidRPr="002E7586">
        <w:t xml:space="preserve"> on the angle of approach and inlet </w:t>
      </w:r>
      <w:r>
        <w:t>morphology</w:t>
      </w:r>
      <w:r w:rsidRPr="002E7586">
        <w:t>.</w:t>
      </w:r>
      <w:r>
        <w:t xml:space="preserve"> In addition, t</w:t>
      </w:r>
      <w:r w:rsidRPr="002E7586">
        <w:t>he</w:t>
      </w:r>
      <w:r>
        <w:t xml:space="preserve"> storm tide data consisted of points every 2</w:t>
      </w:r>
      <w:r w:rsidR="00236C77">
        <w:t> km along</w:t>
      </w:r>
      <w:r>
        <w:t xml:space="preserve"> the coastline which, whilst advised as being accurate for the open coast, may not apply within estuaries or macro-tidal areas. Hydrodynamic modelling would more accurately resolve the extent to which the inundation extends </w:t>
      </w:r>
      <w:r>
        <w:lastRenderedPageBreak/>
        <w:t>overland and specifically within the Fitzroy river, where the forces may be amplified or attenuated depending on the approach of the storm with respect to Curtis Island for example.</w:t>
      </w:r>
    </w:p>
    <w:p w:rsidR="008237BB" w:rsidRDefault="008237BB" w:rsidP="008237BB">
      <w:pPr>
        <w:pStyle w:val="BodyText"/>
      </w:pPr>
      <w:r>
        <w:t xml:space="preserve">Rockhampton is between two storm tide modelling validation points; approximately </w:t>
      </w:r>
      <w:r w:rsidR="00236C77">
        <w:t>3</w:t>
      </w:r>
      <w:r>
        <w:t>00 km from each: Mackay and Bundaberg: 0.45 m and 0.14 m total RMSE respectively. Other uncertainty to consider is that of the DEM (+/-0.15 m) and the range of inundation heights that are considered in calculating the mean water height for each cluster.</w:t>
      </w:r>
    </w:p>
    <w:p w:rsidR="008237BB" w:rsidRPr="005B0FC2" w:rsidRDefault="008237BB" w:rsidP="00935848">
      <w:pPr>
        <w:pStyle w:val="Headingappendix3"/>
      </w:pPr>
      <w:bookmarkStart w:id="4574" w:name="_Toc341445296"/>
      <w:bookmarkStart w:id="4575" w:name="_Toc342638526"/>
      <w:bookmarkStart w:id="4576" w:name="_Toc346261026"/>
      <w:bookmarkStart w:id="4577" w:name="_Toc346632588"/>
      <w:bookmarkStart w:id="4578" w:name="_Toc346632802"/>
      <w:bookmarkStart w:id="4579" w:name="_Toc346632914"/>
      <w:bookmarkStart w:id="4580" w:name="_Toc346633138"/>
      <w:bookmarkStart w:id="4581" w:name="_Toc346633250"/>
      <w:bookmarkStart w:id="4582" w:name="_Toc347401683"/>
      <w:bookmarkStart w:id="4583" w:name="_Toc347401795"/>
      <w:bookmarkStart w:id="4584" w:name="_Toc347402019"/>
      <w:bookmarkStart w:id="4585" w:name="_Toc347402131"/>
      <w:bookmarkStart w:id="4586" w:name="_Toc347402523"/>
      <w:bookmarkStart w:id="4587" w:name="_Toc349055095"/>
      <w:bookmarkStart w:id="4588" w:name="_Toc349055311"/>
      <w:bookmarkStart w:id="4589" w:name="_Toc349055424"/>
      <w:bookmarkStart w:id="4590" w:name="_Toc349055650"/>
      <w:bookmarkStart w:id="4591" w:name="_Toc349055763"/>
      <w:bookmarkStart w:id="4592" w:name="_Toc349117002"/>
      <w:bookmarkStart w:id="4593" w:name="_Toc350330086"/>
      <w:bookmarkStart w:id="4594" w:name="_Toc350344065"/>
      <w:bookmarkStart w:id="4595" w:name="_Toc354402057"/>
      <w:bookmarkStart w:id="4596" w:name="_Toc354476554"/>
      <w:bookmarkStart w:id="4597" w:name="_Toc354492783"/>
      <w:bookmarkStart w:id="4598" w:name="_Toc354492906"/>
      <w:bookmarkStart w:id="4599" w:name="_Toc354493030"/>
      <w:bookmarkStart w:id="4600" w:name="_Toc354493161"/>
      <w:bookmarkStart w:id="4601" w:name="_Toc354493322"/>
      <w:bookmarkStart w:id="4602" w:name="_Toc354494528"/>
      <w:bookmarkStart w:id="4603" w:name="_Toc354494739"/>
      <w:bookmarkStart w:id="4604" w:name="_Toc354495033"/>
      <w:bookmarkStart w:id="4605" w:name="_Toc354497915"/>
      <w:bookmarkStart w:id="4606" w:name="_Toc354561330"/>
      <w:bookmarkStart w:id="4607" w:name="_Toc355164244"/>
      <w:bookmarkStart w:id="4608" w:name="_Toc355249671"/>
      <w:r>
        <w:t>Future Climate</w:t>
      </w:r>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p>
    <w:p w:rsidR="002F691C" w:rsidRDefault="008237BB" w:rsidP="008237BB">
      <w:pPr>
        <w:pStyle w:val="BodyText"/>
      </w:pPr>
      <w:r>
        <w:t>Considering both storm tide areas and the four sea-level rise scenarios none of these water heights exceed the HAT + 1.1 m (5 m total) shown in the sea-level rise section.</w:t>
      </w:r>
    </w:p>
    <w:p w:rsidR="008237BB" w:rsidRDefault="008237BB" w:rsidP="008237BB">
      <w:pPr>
        <w:pStyle w:val="BodyText"/>
      </w:pPr>
      <w:r>
        <w:t>The areal inundation extent increases with increasing inundation heights. When comparing neighbouring scenarios (e.g. current climate to the next scenario in time, QLD2050) the largest exposure area increase occurs when comparing the current-climate inundation area to that of the QLD2050 (+0.3 m) scenario (</w:t>
      </w:r>
      <w:r>
        <w:fldChar w:fldCharType="begin"/>
      </w:r>
      <w:r>
        <w:instrText xml:space="preserve"> REF _Ref350339461 \h </w:instrText>
      </w:r>
      <w:r>
        <w:fldChar w:fldCharType="separate"/>
      </w:r>
      <w:r w:rsidR="00413858">
        <w:t xml:space="preserve">Appendix Figure </w:t>
      </w:r>
      <w:r w:rsidR="00413858">
        <w:rPr>
          <w:noProof/>
        </w:rPr>
        <w:t>C</w:t>
      </w:r>
      <w:r w:rsidR="00413858">
        <w:t>.</w:t>
      </w:r>
      <w:r w:rsidR="00413858">
        <w:rPr>
          <w:noProof/>
        </w:rPr>
        <w:t>19</w:t>
      </w:r>
      <w:r>
        <w:fldChar w:fldCharType="end"/>
      </w:r>
      <w:r>
        <w:t>). The two largest increases are in Area 5: the tropical cyclone ARI50 (+101%) and the ARI100 (+27%) scenarios. This large increase in inundation extent is a function of the initial low inundation height within current climate (2.49 m and 2.79 m AHD respectively) and the fact that Area 5 encompasses the Fitzroy River mouth which is wide, flat and low-lying as compared to the topography of Area 4. Similar heights in Area 4 for tropical cyclone ARI50 and ARI100 (2.58 m and 2.68 m AHD respectively) only increase 16% and 9% respectively with the 0.3 m increase in inundation height for QLD2050 over current-climate storm-tide inundation. For the remainder of the scenario comparisons, the percentage increase and the range of increase is much more modest, although the Area 5 average increase is always greater than that for Area 4. Again, this can be attributed to the broad low-lying topography in Area 5 as compared with that of Area</w:t>
      </w:r>
      <w:r w:rsidR="00236C77">
        <w:t> </w:t>
      </w:r>
      <w:r>
        <w:t>4.</w:t>
      </w:r>
    </w:p>
    <w:p w:rsidR="008237BB" w:rsidRPr="006B24B4" w:rsidRDefault="008237BB" w:rsidP="00253307">
      <w:pPr>
        <w:pStyle w:val="Figuresandimagesleft"/>
      </w:pPr>
      <w:r w:rsidRPr="006B24B4">
        <w:rPr>
          <w:noProof/>
        </w:rPr>
        <w:lastRenderedPageBreak/>
        <w:drawing>
          <wp:inline distT="0" distB="0" distL="0" distR="0" wp14:anchorId="3DC36E8D" wp14:editId="0D74EDB1">
            <wp:extent cx="5256000" cy="3482331"/>
            <wp:effectExtent l="0" t="0" r="0" b="4445"/>
            <wp:docPr id="17" name="Picture 17" descr="This graph shows the area increase as a percentage for current climate compared with the four future climate scenarios. The largest increase in area occurs with the increase in SLR (0.3 m) from current clmate to the QLD2050 future climate scenario. The average increase for both Area 4 and 5 is approximately +16%. The range, however, for individual comparisons, e.g. current climate Area 4 tropical cyclone vs 2050 Area 4 tropical cyclone, is approximately +5% to +100%.  Whent the combined area increase for both extra-tropical and tropical cyclone inundation is averaged Area 4 is lower than Area 5, e.g. for current climate to QLD2050 the mean value for Area 4 is approximately +8% whereas the the mean value for Area 5 is  +25%. This pattern continues for the other future climate scenarios but the range tightens significantly (within +5% to +11%) as do the Area mean values as compared to the combined mean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This graph shows the area increase as a percentage for current climate compared with the four future climate scenarios. The largest increase in area occurs with the increase in SLR (0.3 m) from current clmate to the QLD2050 future climate scenario. The average increase for both Area 4 and 5 is approximately +16%. The range, however, for individual comparisons, e.g. current climate Area 4 tropical cyclone vs 2050 Area 4 tropical cyclone, is approximately +5% to +100%.  Whent the combined area increase for both extra-tropical and tropical cyclone inundation is averaged Area 4 is lower than Area 5, e.g. for current climate to QLD2050 the mean value for Area 4 is approximately +8% whereas the the mean value for Area 5 is  +25%. This pattern continues for the other future climate scenarios but the range tightens significantly (within +5% to +11%) as do the Area mean values as compared to the combined mean value."/>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56000" cy="3482331"/>
                    </a:xfrm>
                    <a:prstGeom prst="rect">
                      <a:avLst/>
                    </a:prstGeom>
                    <a:noFill/>
                    <a:ln>
                      <a:noFill/>
                    </a:ln>
                  </pic:spPr>
                </pic:pic>
              </a:graphicData>
            </a:graphic>
          </wp:inline>
        </w:drawing>
      </w:r>
    </w:p>
    <w:p w:rsidR="008237BB" w:rsidRDefault="00414D8E" w:rsidP="008237BB">
      <w:pPr>
        <w:pStyle w:val="Caption"/>
        <w:keepNext/>
      </w:pPr>
      <w:bookmarkStart w:id="4609" w:name="_Ref350339461"/>
      <w:bookmarkStart w:id="4610" w:name="_Toc349055212"/>
      <w:bookmarkStart w:id="4611" w:name="_Toc349055875"/>
      <w:bookmarkStart w:id="4612" w:name="_Toc349115051"/>
      <w:bookmarkStart w:id="4613" w:name="_Toc349115190"/>
      <w:bookmarkStart w:id="4614" w:name="_Toc349115583"/>
      <w:bookmarkStart w:id="4615" w:name="_Toc349115767"/>
      <w:bookmarkStart w:id="4616" w:name="_Toc350325348"/>
      <w:bookmarkStart w:id="4617" w:name="_Toc350325623"/>
      <w:bookmarkStart w:id="4618" w:name="_Toc350327047"/>
      <w:bookmarkStart w:id="4619" w:name="_Toc350327193"/>
      <w:bookmarkStart w:id="4620" w:name="_Toc350330272"/>
      <w:bookmarkStart w:id="4621" w:name="_Toc350339854"/>
      <w:bookmarkStart w:id="4622" w:name="_Toc350341527"/>
      <w:bookmarkStart w:id="4623" w:name="_Toc351449966"/>
      <w:bookmarkStart w:id="4624" w:name="_Toc351450047"/>
      <w:bookmarkStart w:id="4625" w:name="_Toc352242349"/>
      <w:bookmarkStart w:id="4626" w:name="_Toc352243777"/>
      <w:bookmarkStart w:id="4627" w:name="_Toc352244453"/>
      <w:bookmarkStart w:id="4628" w:name="_Toc352244548"/>
      <w:bookmarkStart w:id="4629" w:name="_Toc354403654"/>
      <w:bookmarkStart w:id="4630" w:name="_Toc354476659"/>
      <w:bookmarkStart w:id="4631" w:name="_Toc354493416"/>
      <w:bookmarkStart w:id="4632" w:name="_Toc354493545"/>
      <w:bookmarkStart w:id="4633" w:name="_Toc354494639"/>
      <w:bookmarkStart w:id="4634" w:name="_Toc354494829"/>
      <w:bookmarkStart w:id="4635" w:name="_Toc354497573"/>
      <w:bookmarkStart w:id="4636" w:name="_Toc354497645"/>
      <w:bookmarkStart w:id="4637" w:name="_Toc354561236"/>
      <w:bookmarkStart w:id="4638" w:name="_Toc354561420"/>
      <w:bookmarkStart w:id="4639" w:name="_Toc354561492"/>
      <w:bookmarkStart w:id="4640" w:name="_Toc354561564"/>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C</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19</w:t>
      </w:r>
      <w:r w:rsidR="007F11CF">
        <w:rPr>
          <w:noProof/>
        </w:rPr>
        <w:fldChar w:fldCharType="end"/>
      </w:r>
      <w:bookmarkEnd w:id="4609"/>
      <w:r w:rsidR="008237BB">
        <w:t>. Area inundation extent comparison. The vertical black line shows the percentage range of increase.</w:t>
      </w:r>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p>
    <w:p w:rsidR="008237BB" w:rsidRDefault="008237BB" w:rsidP="00797F73">
      <w:pPr>
        <w:pStyle w:val="BodyText"/>
        <w:keepNext/>
      </w:pPr>
      <w:r>
        <w:t>The hazard maps and digital spatial data provided with this report support more detailed analysis which identifies the following:</w:t>
      </w:r>
    </w:p>
    <w:p w:rsidR="002F691C" w:rsidRDefault="008237BB" w:rsidP="004B379B">
      <w:pPr>
        <w:pStyle w:val="Bulletlevel1"/>
      </w:pPr>
      <w:r>
        <w:t>W</w:t>
      </w:r>
      <w:r w:rsidRPr="007A4265">
        <w:t xml:space="preserve">etlands, lakes and some buildings are exposed to storm tide inundation in both </w:t>
      </w:r>
      <w:r w:rsidR="00236C77">
        <w:t>current</w:t>
      </w:r>
      <w:r w:rsidR="00236C77">
        <w:noBreakHyphen/>
      </w:r>
      <w:r>
        <w:t>climate</w:t>
      </w:r>
      <w:r w:rsidRPr="007A4265">
        <w:t xml:space="preserve"> and the 2100 </w:t>
      </w:r>
      <w:r>
        <w:t>future-climate</w:t>
      </w:r>
      <w:r w:rsidRPr="007A4265">
        <w:t xml:space="preserve"> scenario</w:t>
      </w:r>
    </w:p>
    <w:p w:rsidR="008237BB" w:rsidRPr="007A4265" w:rsidRDefault="008237BB" w:rsidP="004B379B">
      <w:pPr>
        <w:pStyle w:val="Bulletlevel1"/>
      </w:pPr>
      <w:r w:rsidRPr="007A4265">
        <w:t xml:space="preserve">Yeppoon-Emu Park </w:t>
      </w:r>
      <w:r>
        <w:t>Road</w:t>
      </w:r>
      <w:r w:rsidRPr="007A4265">
        <w:t xml:space="preserve"> is exposed to storm tide hazard in the current climate. This can very nearly cut the road to the north of Emu Park. The road is cut by storm tide inundation in the 2100 </w:t>
      </w:r>
      <w:r>
        <w:t>future-climate</w:t>
      </w:r>
      <w:r w:rsidRPr="007A4265">
        <w:t xml:space="preserve"> scenario</w:t>
      </w:r>
    </w:p>
    <w:p w:rsidR="008237BB" w:rsidRPr="007A4265" w:rsidRDefault="008237BB" w:rsidP="004B379B">
      <w:pPr>
        <w:pStyle w:val="Bulletlevel1"/>
      </w:pPr>
      <w:r w:rsidRPr="007A4265">
        <w:t xml:space="preserve">Keppel Sands </w:t>
      </w:r>
      <w:r>
        <w:t>Road</w:t>
      </w:r>
      <w:r w:rsidRPr="007A4265">
        <w:t xml:space="preserve"> is exposed to the impacts of storm tide in the 2100 </w:t>
      </w:r>
      <w:r>
        <w:t>future-climate</w:t>
      </w:r>
      <w:r w:rsidRPr="007A4265">
        <w:t xml:space="preserve"> scenario</w:t>
      </w:r>
    </w:p>
    <w:p w:rsidR="008237BB" w:rsidRDefault="008237BB" w:rsidP="004B379B">
      <w:pPr>
        <w:pStyle w:val="Bulletlevel1"/>
      </w:pPr>
      <w:r w:rsidRPr="007A4265">
        <w:t xml:space="preserve">Bajool-Port Alma </w:t>
      </w:r>
      <w:r>
        <w:t>Road</w:t>
      </w:r>
      <w:r w:rsidRPr="007A4265">
        <w:t xml:space="preserve"> is exposed to storm tide inundation in current climate. It is increasingly exposed in the future climate with the banks of salt evaporators also being over-topped in the 2100 </w:t>
      </w:r>
      <w:r>
        <w:t>future-climate</w:t>
      </w:r>
      <w:r w:rsidRPr="007A4265">
        <w:t xml:space="preserve"> scenario.</w:t>
      </w:r>
    </w:p>
    <w:p w:rsidR="008237BB" w:rsidRPr="00C02F8E" w:rsidRDefault="008237BB" w:rsidP="009340CE">
      <w:pPr>
        <w:pStyle w:val="Headingappendix4"/>
      </w:pPr>
      <w:bookmarkStart w:id="4641" w:name="_Toc341445297"/>
      <w:bookmarkStart w:id="4642" w:name="_Toc342638527"/>
      <w:bookmarkStart w:id="4643" w:name="_Toc346261027"/>
      <w:bookmarkStart w:id="4644" w:name="_Toc346632589"/>
      <w:bookmarkStart w:id="4645" w:name="_Toc347402524"/>
      <w:bookmarkStart w:id="4646" w:name="_Toc349055096"/>
      <w:bookmarkStart w:id="4647" w:name="_Toc349117003"/>
      <w:bookmarkStart w:id="4648" w:name="_Toc354402058"/>
      <w:bookmarkStart w:id="4649" w:name="_Toc354476555"/>
      <w:bookmarkStart w:id="4650" w:name="_Toc354492784"/>
      <w:bookmarkStart w:id="4651" w:name="_Toc354493031"/>
      <w:bookmarkStart w:id="4652" w:name="_Toc354493162"/>
      <w:bookmarkStart w:id="4653" w:name="_Toc354493323"/>
      <w:bookmarkStart w:id="4654" w:name="_Toc355164245"/>
      <w:r w:rsidRPr="00C02F8E">
        <w:t>Limitations</w:t>
      </w:r>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p>
    <w:p w:rsidR="008237BB" w:rsidRDefault="008237BB" w:rsidP="008237BB">
      <w:pPr>
        <w:pStyle w:val="BodyText"/>
      </w:pPr>
      <w:r>
        <w:t>The limitations that apply to the current-climate storm-tide analysis similarly apply to future climate with the addition of the frequency and intensity changes that may occur in the future due to climate change.</w:t>
      </w:r>
    </w:p>
    <w:p w:rsidR="008237BB" w:rsidRDefault="008237BB" w:rsidP="008237BB">
      <w:pPr>
        <w:pStyle w:val="BodyText"/>
      </w:pPr>
      <w:r>
        <w:t xml:space="preserve">Future-climate storm tide modelling is an area for potential further study as in this study sea-level rise has been combined with current-climate storm-tide hazard. As described in Appendix 3 of the </w:t>
      </w:r>
      <w:r w:rsidRPr="007C4CB8">
        <w:t>“Climate</w:t>
      </w:r>
      <w:r>
        <w:t>Q</w:t>
      </w:r>
      <w:r w:rsidRPr="007C4CB8">
        <w:t>: towards a greener Queensland” (DERM</w:t>
      </w:r>
      <w:r>
        <w:t>,</w:t>
      </w:r>
      <w:r w:rsidRPr="007C4CB8">
        <w:t xml:space="preserve"> 2009</w:t>
      </w:r>
      <w:r>
        <w:t xml:space="preserve">), studies suggest a reduction in frequency of tropical cyclone events (e.g. Abbs </w:t>
      </w:r>
      <w:r w:rsidRPr="007B6C0C">
        <w:rPr>
          <w:rStyle w:val="Bodytextitalic"/>
        </w:rPr>
        <w:t>et al.,</w:t>
      </w:r>
      <w:r>
        <w:t xml:space="preserve"> 2006) and an increase in the number of Category 3 – 5 tropical cyclones on the east Australian coastline (Walsh </w:t>
      </w:r>
      <w:r w:rsidRPr="007B6C0C">
        <w:rPr>
          <w:rStyle w:val="Bodytextitalic"/>
        </w:rPr>
        <w:t>et al.,</w:t>
      </w:r>
      <w:r>
        <w:t xml:space="preserve"> 2004, Leslie </w:t>
      </w:r>
      <w:r w:rsidRPr="007B6C0C">
        <w:rPr>
          <w:rStyle w:val="Bodytextitalic"/>
        </w:rPr>
        <w:t>et al.,</w:t>
      </w:r>
      <w:r>
        <w:t xml:space="preserve"> 2007 and Abbs </w:t>
      </w:r>
      <w:r w:rsidRPr="007B6C0C">
        <w:rPr>
          <w:rStyle w:val="Bodytextitalic"/>
        </w:rPr>
        <w:t>et al.,</w:t>
      </w:r>
      <w:r>
        <w:t xml:space="preserve"> 2006). As more severe tropical storms are predicted to become more frequent the associated storm surge may also increase in frequency (i.e. occur more often) and this is not considered when only combining current-climate storm tide exceedance probability water heights and sea-level rise.</w:t>
      </w:r>
    </w:p>
    <w:p w:rsidR="00884478" w:rsidRDefault="00884478" w:rsidP="00884478">
      <w:pPr>
        <w:pStyle w:val="Bodyblankpage"/>
      </w:pPr>
      <w:r>
        <w:lastRenderedPageBreak/>
        <w:t>This page is intentionally blank</w:t>
      </w:r>
    </w:p>
    <w:p w:rsidR="00884478" w:rsidRDefault="00884478" w:rsidP="008237BB">
      <w:pPr>
        <w:pStyle w:val="BodyText"/>
      </w:pPr>
    </w:p>
    <w:p w:rsidR="008237BB" w:rsidRDefault="008237BB" w:rsidP="006B24B4">
      <w:pPr>
        <w:pStyle w:val="Heading9"/>
      </w:pPr>
      <w:bookmarkStart w:id="4655" w:name="_Ref340735714"/>
      <w:bookmarkStart w:id="4656" w:name="_Toc346261503"/>
      <w:bookmarkStart w:id="4657" w:name="_Toc346632803"/>
      <w:bookmarkStart w:id="4658" w:name="_Toc346632915"/>
      <w:bookmarkStart w:id="4659" w:name="_Toc346633027"/>
      <w:bookmarkStart w:id="4660" w:name="_Toc346633139"/>
      <w:bookmarkStart w:id="4661" w:name="_Toc346633251"/>
      <w:bookmarkStart w:id="4662" w:name="_Toc347401684"/>
      <w:bookmarkStart w:id="4663" w:name="_Toc347401796"/>
      <w:bookmarkStart w:id="4664" w:name="_Toc347401908"/>
      <w:bookmarkStart w:id="4665" w:name="_Toc347402020"/>
      <w:bookmarkStart w:id="4666" w:name="_Toc347402132"/>
      <w:bookmarkStart w:id="4667" w:name="_Toc349055312"/>
      <w:bookmarkStart w:id="4668" w:name="_Toc349055425"/>
      <w:bookmarkStart w:id="4669" w:name="_Toc349055538"/>
      <w:bookmarkStart w:id="4670" w:name="_Toc349055651"/>
      <w:bookmarkStart w:id="4671" w:name="_Toc349055764"/>
      <w:bookmarkStart w:id="4672" w:name="_Toc349117004"/>
      <w:bookmarkStart w:id="4673" w:name="_Toc350330087"/>
      <w:bookmarkStart w:id="4674" w:name="_Toc350344066"/>
      <w:bookmarkStart w:id="4675" w:name="_Toc354492785"/>
      <w:bookmarkStart w:id="4676" w:name="_Toc354493032"/>
      <w:bookmarkStart w:id="4677" w:name="_Toc354493163"/>
      <w:bookmarkStart w:id="4678" w:name="_Toc354493324"/>
      <w:bookmarkStart w:id="4679" w:name="_Toc357586099"/>
      <w:r>
        <w:lastRenderedPageBreak/>
        <w:t>Coastal Erosion</w:t>
      </w:r>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p>
    <w:p w:rsidR="001E2D14" w:rsidRDefault="008237BB" w:rsidP="00462463">
      <w:pPr>
        <w:pStyle w:val="HeadingApxnonumbers"/>
        <w:rPr>
          <w:noProof/>
        </w:rPr>
      </w:pPr>
      <w:bookmarkStart w:id="4680" w:name="_Toc349117005"/>
      <w:bookmarkStart w:id="4681" w:name="_Toc350330088"/>
      <w:bookmarkStart w:id="4682" w:name="_Toc350344067"/>
      <w:bookmarkStart w:id="4683" w:name="_Toc354494529"/>
      <w:bookmarkStart w:id="4684" w:name="_Toc354494740"/>
      <w:bookmarkStart w:id="4685" w:name="_Toc354495034"/>
      <w:bookmarkStart w:id="4686" w:name="_Toc354497916"/>
      <w:bookmarkStart w:id="4687" w:name="_Toc354561331"/>
      <w:bookmarkStart w:id="4688" w:name="_Toc355164247"/>
      <w:bookmarkStart w:id="4689" w:name="_Toc355249672"/>
      <w:r>
        <w:t>Contents</w:t>
      </w:r>
      <w:bookmarkEnd w:id="4680"/>
      <w:bookmarkEnd w:id="4681"/>
      <w:bookmarkEnd w:id="4682"/>
      <w:bookmarkEnd w:id="4683"/>
      <w:bookmarkEnd w:id="4684"/>
      <w:bookmarkEnd w:id="4685"/>
      <w:bookmarkEnd w:id="4686"/>
      <w:bookmarkEnd w:id="4687"/>
      <w:bookmarkEnd w:id="4688"/>
      <w:bookmarkEnd w:id="4689"/>
      <w:r>
        <w:fldChar w:fldCharType="begin"/>
      </w:r>
      <w:r>
        <w:instrText xml:space="preserve"> TOC \o "1-3" \h \z \u </w:instrText>
      </w:r>
      <w:r>
        <w:fldChar w:fldCharType="separate"/>
      </w:r>
    </w:p>
    <w:p w:rsidR="001E2D14" w:rsidRDefault="007F11CF" w:rsidP="000067F7">
      <w:pPr>
        <w:pStyle w:val="TOC2"/>
        <w:rPr>
          <w:rFonts w:asciiTheme="minorHAnsi" w:eastAsiaTheme="minorEastAsia" w:hAnsiTheme="minorHAnsi" w:cstheme="minorBidi"/>
          <w:sz w:val="22"/>
          <w:szCs w:val="22"/>
        </w:rPr>
      </w:pPr>
      <w:hyperlink w:anchor="_Toc354497917" w:history="1">
        <w:r w:rsidR="001E2D14" w:rsidRPr="00223566">
          <w:rPr>
            <w:rStyle w:val="Hyperlink"/>
          </w:rPr>
          <w:t>Figures</w:t>
        </w:r>
        <w:r w:rsidR="001E2D14">
          <w:rPr>
            <w:webHidden/>
          </w:rPr>
          <w:tab/>
        </w:r>
        <w:r w:rsidR="001E2D14">
          <w:rPr>
            <w:webHidden/>
          </w:rPr>
          <w:fldChar w:fldCharType="begin"/>
        </w:r>
        <w:r w:rsidR="001E2D14">
          <w:rPr>
            <w:webHidden/>
          </w:rPr>
          <w:instrText xml:space="preserve"> PAGEREF _Toc354497917 \h </w:instrText>
        </w:r>
        <w:r w:rsidR="001E2D14">
          <w:rPr>
            <w:webHidden/>
          </w:rPr>
        </w:r>
        <w:r w:rsidR="001E2D14">
          <w:rPr>
            <w:webHidden/>
          </w:rPr>
          <w:fldChar w:fldCharType="separate"/>
        </w:r>
        <w:r w:rsidR="00413858">
          <w:rPr>
            <w:webHidden/>
          </w:rPr>
          <w:t>117</w:t>
        </w:r>
        <w:r w:rsidR="001E2D14">
          <w:rPr>
            <w:webHidden/>
          </w:rPr>
          <w:fldChar w:fldCharType="end"/>
        </w:r>
      </w:hyperlink>
    </w:p>
    <w:p w:rsidR="001E2D14" w:rsidRDefault="007F11CF" w:rsidP="000067F7">
      <w:pPr>
        <w:pStyle w:val="TOC2"/>
        <w:rPr>
          <w:rFonts w:asciiTheme="minorHAnsi" w:eastAsiaTheme="minorEastAsia" w:hAnsiTheme="minorHAnsi" w:cstheme="minorBidi"/>
          <w:sz w:val="22"/>
          <w:szCs w:val="22"/>
        </w:rPr>
      </w:pPr>
      <w:hyperlink w:anchor="_Toc354497918" w:history="1">
        <w:r w:rsidR="001E2D14" w:rsidRPr="00223566">
          <w:rPr>
            <w:rStyle w:val="Hyperlink"/>
          </w:rPr>
          <w:t>Tables</w:t>
        </w:r>
        <w:r w:rsidR="001E2D14">
          <w:rPr>
            <w:webHidden/>
          </w:rPr>
          <w:tab/>
        </w:r>
        <w:r w:rsidR="001E2D14">
          <w:rPr>
            <w:webHidden/>
          </w:rPr>
          <w:fldChar w:fldCharType="begin"/>
        </w:r>
        <w:r w:rsidR="001E2D14">
          <w:rPr>
            <w:webHidden/>
          </w:rPr>
          <w:instrText xml:space="preserve"> PAGEREF _Toc354497918 \h </w:instrText>
        </w:r>
        <w:r w:rsidR="001E2D14">
          <w:rPr>
            <w:webHidden/>
          </w:rPr>
        </w:r>
        <w:r w:rsidR="001E2D14">
          <w:rPr>
            <w:webHidden/>
          </w:rPr>
          <w:fldChar w:fldCharType="separate"/>
        </w:r>
        <w:r w:rsidR="00413858">
          <w:rPr>
            <w:webHidden/>
          </w:rPr>
          <w:t>118</w:t>
        </w:r>
        <w:r w:rsidR="001E2D14">
          <w:rPr>
            <w:webHidden/>
          </w:rPr>
          <w:fldChar w:fldCharType="end"/>
        </w:r>
      </w:hyperlink>
    </w:p>
    <w:p w:rsidR="001E2D14" w:rsidRDefault="007F11CF" w:rsidP="000067F7">
      <w:pPr>
        <w:pStyle w:val="TOC2"/>
        <w:rPr>
          <w:rFonts w:asciiTheme="minorHAnsi" w:eastAsiaTheme="minorEastAsia" w:hAnsiTheme="minorHAnsi" w:cstheme="minorBidi"/>
          <w:sz w:val="22"/>
          <w:szCs w:val="22"/>
        </w:rPr>
      </w:pPr>
      <w:hyperlink w:anchor="_Toc354497919" w:history="1">
        <w:r w:rsidR="001E2D14" w:rsidRPr="00223566">
          <w:rPr>
            <w:rStyle w:val="Hyperlink"/>
          </w:rPr>
          <w:t>D.1. Introduction</w:t>
        </w:r>
        <w:r w:rsidR="001E2D14">
          <w:rPr>
            <w:webHidden/>
          </w:rPr>
          <w:tab/>
        </w:r>
        <w:r w:rsidR="001E2D14">
          <w:rPr>
            <w:webHidden/>
          </w:rPr>
          <w:fldChar w:fldCharType="begin"/>
        </w:r>
        <w:r w:rsidR="001E2D14">
          <w:rPr>
            <w:webHidden/>
          </w:rPr>
          <w:instrText xml:space="preserve"> PAGEREF _Toc354497919 \h </w:instrText>
        </w:r>
        <w:r w:rsidR="001E2D14">
          <w:rPr>
            <w:webHidden/>
          </w:rPr>
        </w:r>
        <w:r w:rsidR="001E2D14">
          <w:rPr>
            <w:webHidden/>
          </w:rPr>
          <w:fldChar w:fldCharType="separate"/>
        </w:r>
        <w:r w:rsidR="00413858">
          <w:rPr>
            <w:webHidden/>
          </w:rPr>
          <w:t>119</w:t>
        </w:r>
        <w:r w:rsidR="001E2D14">
          <w:rPr>
            <w:webHidden/>
          </w:rPr>
          <w:fldChar w:fldCharType="end"/>
        </w:r>
      </w:hyperlink>
    </w:p>
    <w:p w:rsidR="001E2D14" w:rsidRDefault="007F11CF" w:rsidP="000067F7">
      <w:pPr>
        <w:pStyle w:val="TOC3"/>
        <w:rPr>
          <w:rFonts w:asciiTheme="minorHAnsi" w:eastAsiaTheme="minorEastAsia" w:hAnsiTheme="minorHAnsi" w:cstheme="minorBidi"/>
          <w:sz w:val="22"/>
          <w:szCs w:val="22"/>
        </w:rPr>
      </w:pPr>
      <w:hyperlink w:anchor="_Toc354497920" w:history="1">
        <w:r w:rsidR="001E2D14" w:rsidRPr="00223566">
          <w:rPr>
            <w:rStyle w:val="Hyperlink"/>
          </w:rPr>
          <w:t>D.1.1. Regional setting</w:t>
        </w:r>
        <w:r w:rsidR="001E2D14">
          <w:rPr>
            <w:webHidden/>
          </w:rPr>
          <w:tab/>
        </w:r>
        <w:r w:rsidR="001E2D14">
          <w:rPr>
            <w:webHidden/>
          </w:rPr>
          <w:fldChar w:fldCharType="begin"/>
        </w:r>
        <w:r w:rsidR="001E2D14">
          <w:rPr>
            <w:webHidden/>
          </w:rPr>
          <w:instrText xml:space="preserve"> PAGEREF _Toc354497920 \h </w:instrText>
        </w:r>
        <w:r w:rsidR="001E2D14">
          <w:rPr>
            <w:webHidden/>
          </w:rPr>
        </w:r>
        <w:r w:rsidR="001E2D14">
          <w:rPr>
            <w:webHidden/>
          </w:rPr>
          <w:fldChar w:fldCharType="separate"/>
        </w:r>
        <w:r w:rsidR="00413858">
          <w:rPr>
            <w:webHidden/>
          </w:rPr>
          <w:t>119</w:t>
        </w:r>
        <w:r w:rsidR="001E2D14">
          <w:rPr>
            <w:webHidden/>
          </w:rPr>
          <w:fldChar w:fldCharType="end"/>
        </w:r>
      </w:hyperlink>
    </w:p>
    <w:p w:rsidR="001E2D14" w:rsidRDefault="007F11CF" w:rsidP="000067F7">
      <w:pPr>
        <w:pStyle w:val="TOC3"/>
        <w:rPr>
          <w:rFonts w:asciiTheme="minorHAnsi" w:eastAsiaTheme="minorEastAsia" w:hAnsiTheme="minorHAnsi" w:cstheme="minorBidi"/>
          <w:sz w:val="22"/>
          <w:szCs w:val="22"/>
        </w:rPr>
      </w:pPr>
      <w:hyperlink w:anchor="_Toc354497921" w:history="1">
        <w:r w:rsidR="001E2D14" w:rsidRPr="00223566">
          <w:rPr>
            <w:rStyle w:val="Hyperlink"/>
          </w:rPr>
          <w:t>D.1.2. Climate and oceanography</w:t>
        </w:r>
        <w:r w:rsidR="001E2D14">
          <w:rPr>
            <w:webHidden/>
          </w:rPr>
          <w:tab/>
        </w:r>
        <w:r w:rsidR="001E2D14">
          <w:rPr>
            <w:webHidden/>
          </w:rPr>
          <w:fldChar w:fldCharType="begin"/>
        </w:r>
        <w:r w:rsidR="001E2D14">
          <w:rPr>
            <w:webHidden/>
          </w:rPr>
          <w:instrText xml:space="preserve"> PAGEREF _Toc354497921 \h </w:instrText>
        </w:r>
        <w:r w:rsidR="001E2D14">
          <w:rPr>
            <w:webHidden/>
          </w:rPr>
        </w:r>
        <w:r w:rsidR="001E2D14">
          <w:rPr>
            <w:webHidden/>
          </w:rPr>
          <w:fldChar w:fldCharType="separate"/>
        </w:r>
        <w:r w:rsidR="00413858">
          <w:rPr>
            <w:webHidden/>
          </w:rPr>
          <w:t>119</w:t>
        </w:r>
        <w:r w:rsidR="001E2D14">
          <w:rPr>
            <w:webHidden/>
          </w:rPr>
          <w:fldChar w:fldCharType="end"/>
        </w:r>
      </w:hyperlink>
    </w:p>
    <w:p w:rsidR="001E2D14" w:rsidRDefault="007F11CF" w:rsidP="000067F7">
      <w:pPr>
        <w:pStyle w:val="TOC3"/>
        <w:rPr>
          <w:rFonts w:asciiTheme="minorHAnsi" w:eastAsiaTheme="minorEastAsia" w:hAnsiTheme="minorHAnsi" w:cstheme="minorBidi"/>
          <w:sz w:val="22"/>
          <w:szCs w:val="22"/>
        </w:rPr>
      </w:pPr>
      <w:hyperlink w:anchor="_Toc354497922" w:history="1">
        <w:r w:rsidR="001E2D14" w:rsidRPr="00223566">
          <w:rPr>
            <w:rStyle w:val="Hyperlink"/>
          </w:rPr>
          <w:t>D.1.3. The Capricorn Channel and southern Great Barrier Reef</w:t>
        </w:r>
        <w:r w:rsidR="001E2D14">
          <w:rPr>
            <w:webHidden/>
          </w:rPr>
          <w:tab/>
        </w:r>
        <w:r w:rsidR="001E2D14">
          <w:rPr>
            <w:webHidden/>
          </w:rPr>
          <w:fldChar w:fldCharType="begin"/>
        </w:r>
        <w:r w:rsidR="001E2D14">
          <w:rPr>
            <w:webHidden/>
          </w:rPr>
          <w:instrText xml:space="preserve"> PAGEREF _Toc354497922 \h </w:instrText>
        </w:r>
        <w:r w:rsidR="001E2D14">
          <w:rPr>
            <w:webHidden/>
          </w:rPr>
        </w:r>
        <w:r w:rsidR="001E2D14">
          <w:rPr>
            <w:webHidden/>
          </w:rPr>
          <w:fldChar w:fldCharType="separate"/>
        </w:r>
        <w:r w:rsidR="00413858">
          <w:rPr>
            <w:webHidden/>
          </w:rPr>
          <w:t>121</w:t>
        </w:r>
        <w:r w:rsidR="001E2D14">
          <w:rPr>
            <w:webHidden/>
          </w:rPr>
          <w:fldChar w:fldCharType="end"/>
        </w:r>
      </w:hyperlink>
    </w:p>
    <w:p w:rsidR="001E2D14" w:rsidRDefault="007F11CF" w:rsidP="000067F7">
      <w:pPr>
        <w:pStyle w:val="TOC3"/>
        <w:rPr>
          <w:rFonts w:asciiTheme="minorHAnsi" w:eastAsiaTheme="minorEastAsia" w:hAnsiTheme="minorHAnsi" w:cstheme="minorBidi"/>
          <w:sz w:val="22"/>
          <w:szCs w:val="22"/>
        </w:rPr>
      </w:pPr>
      <w:hyperlink w:anchor="_Toc354497923" w:history="1">
        <w:r w:rsidR="001E2D14" w:rsidRPr="00223566">
          <w:rPr>
            <w:rStyle w:val="Hyperlink"/>
          </w:rPr>
          <w:t>D.1.4. Geomorphology and bathymetry of Keppel Bay</w:t>
        </w:r>
        <w:r w:rsidR="001E2D14">
          <w:rPr>
            <w:webHidden/>
          </w:rPr>
          <w:tab/>
        </w:r>
        <w:r w:rsidR="001E2D14">
          <w:rPr>
            <w:webHidden/>
          </w:rPr>
          <w:fldChar w:fldCharType="begin"/>
        </w:r>
        <w:r w:rsidR="001E2D14">
          <w:rPr>
            <w:webHidden/>
          </w:rPr>
          <w:instrText xml:space="preserve"> PAGEREF _Toc354497923 \h </w:instrText>
        </w:r>
        <w:r w:rsidR="001E2D14">
          <w:rPr>
            <w:webHidden/>
          </w:rPr>
        </w:r>
        <w:r w:rsidR="001E2D14">
          <w:rPr>
            <w:webHidden/>
          </w:rPr>
          <w:fldChar w:fldCharType="separate"/>
        </w:r>
        <w:r w:rsidR="00413858">
          <w:rPr>
            <w:webHidden/>
          </w:rPr>
          <w:t>123</w:t>
        </w:r>
        <w:r w:rsidR="001E2D14">
          <w:rPr>
            <w:webHidden/>
          </w:rPr>
          <w:fldChar w:fldCharType="end"/>
        </w:r>
      </w:hyperlink>
    </w:p>
    <w:p w:rsidR="001E2D14" w:rsidRDefault="007F11CF" w:rsidP="000067F7">
      <w:pPr>
        <w:pStyle w:val="TOC3"/>
        <w:rPr>
          <w:rFonts w:asciiTheme="minorHAnsi" w:eastAsiaTheme="minorEastAsia" w:hAnsiTheme="minorHAnsi" w:cstheme="minorBidi"/>
          <w:sz w:val="22"/>
          <w:szCs w:val="22"/>
        </w:rPr>
      </w:pPr>
      <w:hyperlink w:anchor="_Toc354497924" w:history="1">
        <w:r w:rsidR="001E2D14" w:rsidRPr="00223566">
          <w:rPr>
            <w:rStyle w:val="Hyperlink"/>
          </w:rPr>
          <w:t>D.1.5. Modern sediment Transport in Keppel Bay</w:t>
        </w:r>
        <w:r w:rsidR="001E2D14">
          <w:rPr>
            <w:webHidden/>
          </w:rPr>
          <w:tab/>
        </w:r>
        <w:r w:rsidR="001E2D14">
          <w:rPr>
            <w:webHidden/>
          </w:rPr>
          <w:fldChar w:fldCharType="begin"/>
        </w:r>
        <w:r w:rsidR="001E2D14">
          <w:rPr>
            <w:webHidden/>
          </w:rPr>
          <w:instrText xml:space="preserve"> PAGEREF _Toc354497924 \h </w:instrText>
        </w:r>
        <w:r w:rsidR="001E2D14">
          <w:rPr>
            <w:webHidden/>
          </w:rPr>
        </w:r>
        <w:r w:rsidR="001E2D14">
          <w:rPr>
            <w:webHidden/>
          </w:rPr>
          <w:fldChar w:fldCharType="separate"/>
        </w:r>
        <w:r w:rsidR="00413858">
          <w:rPr>
            <w:webHidden/>
          </w:rPr>
          <w:t>123</w:t>
        </w:r>
        <w:r w:rsidR="001E2D14">
          <w:rPr>
            <w:webHidden/>
          </w:rPr>
          <w:fldChar w:fldCharType="end"/>
        </w:r>
      </w:hyperlink>
    </w:p>
    <w:p w:rsidR="001E2D14" w:rsidRDefault="007F11CF" w:rsidP="000067F7">
      <w:pPr>
        <w:pStyle w:val="TOC2"/>
        <w:rPr>
          <w:rFonts w:asciiTheme="minorHAnsi" w:eastAsiaTheme="minorEastAsia" w:hAnsiTheme="minorHAnsi" w:cstheme="minorBidi"/>
          <w:sz w:val="22"/>
          <w:szCs w:val="22"/>
        </w:rPr>
      </w:pPr>
      <w:hyperlink w:anchor="_Toc354497925" w:history="1">
        <w:r w:rsidR="001E2D14" w:rsidRPr="00223566">
          <w:rPr>
            <w:rStyle w:val="Hyperlink"/>
          </w:rPr>
          <w:t>D.2. Method</w:t>
        </w:r>
        <w:r w:rsidR="001E2D14">
          <w:rPr>
            <w:webHidden/>
          </w:rPr>
          <w:tab/>
        </w:r>
        <w:r w:rsidR="001E2D14">
          <w:rPr>
            <w:webHidden/>
          </w:rPr>
          <w:fldChar w:fldCharType="begin"/>
        </w:r>
        <w:r w:rsidR="001E2D14">
          <w:rPr>
            <w:webHidden/>
          </w:rPr>
          <w:instrText xml:space="preserve"> PAGEREF _Toc354497925 \h </w:instrText>
        </w:r>
        <w:r w:rsidR="001E2D14">
          <w:rPr>
            <w:webHidden/>
          </w:rPr>
        </w:r>
        <w:r w:rsidR="001E2D14">
          <w:rPr>
            <w:webHidden/>
          </w:rPr>
          <w:fldChar w:fldCharType="separate"/>
        </w:r>
        <w:r w:rsidR="00413858">
          <w:rPr>
            <w:webHidden/>
          </w:rPr>
          <w:t>125</w:t>
        </w:r>
        <w:r w:rsidR="001E2D14">
          <w:rPr>
            <w:webHidden/>
          </w:rPr>
          <w:fldChar w:fldCharType="end"/>
        </w:r>
      </w:hyperlink>
    </w:p>
    <w:p w:rsidR="001E2D14" w:rsidRDefault="007F11CF" w:rsidP="000067F7">
      <w:pPr>
        <w:pStyle w:val="TOC3"/>
        <w:rPr>
          <w:rFonts w:asciiTheme="minorHAnsi" w:eastAsiaTheme="minorEastAsia" w:hAnsiTheme="minorHAnsi" w:cstheme="minorBidi"/>
          <w:sz w:val="22"/>
          <w:szCs w:val="22"/>
        </w:rPr>
      </w:pPr>
      <w:hyperlink w:anchor="_Toc354497926" w:history="1">
        <w:r w:rsidR="001E2D14" w:rsidRPr="00223566">
          <w:rPr>
            <w:rStyle w:val="Hyperlink"/>
          </w:rPr>
          <w:t>D.2.1. Current Climate</w:t>
        </w:r>
        <w:r w:rsidR="001E2D14">
          <w:rPr>
            <w:webHidden/>
          </w:rPr>
          <w:tab/>
        </w:r>
        <w:r w:rsidR="001E2D14">
          <w:rPr>
            <w:webHidden/>
          </w:rPr>
          <w:fldChar w:fldCharType="begin"/>
        </w:r>
        <w:r w:rsidR="001E2D14">
          <w:rPr>
            <w:webHidden/>
          </w:rPr>
          <w:instrText xml:space="preserve"> PAGEREF _Toc354497926 \h </w:instrText>
        </w:r>
        <w:r w:rsidR="001E2D14">
          <w:rPr>
            <w:webHidden/>
          </w:rPr>
        </w:r>
        <w:r w:rsidR="001E2D14">
          <w:rPr>
            <w:webHidden/>
          </w:rPr>
          <w:fldChar w:fldCharType="separate"/>
        </w:r>
        <w:r w:rsidR="00413858">
          <w:rPr>
            <w:webHidden/>
          </w:rPr>
          <w:t>125</w:t>
        </w:r>
        <w:r w:rsidR="001E2D14">
          <w:rPr>
            <w:webHidden/>
          </w:rPr>
          <w:fldChar w:fldCharType="end"/>
        </w:r>
      </w:hyperlink>
    </w:p>
    <w:p w:rsidR="001E2D14" w:rsidRDefault="007F11CF" w:rsidP="000067F7">
      <w:pPr>
        <w:pStyle w:val="TOC3"/>
        <w:rPr>
          <w:rFonts w:asciiTheme="minorHAnsi" w:eastAsiaTheme="minorEastAsia" w:hAnsiTheme="minorHAnsi" w:cstheme="minorBidi"/>
          <w:sz w:val="22"/>
          <w:szCs w:val="22"/>
        </w:rPr>
      </w:pPr>
      <w:hyperlink w:anchor="_Toc354497927" w:history="1">
        <w:r w:rsidR="001E2D14" w:rsidRPr="00223566">
          <w:rPr>
            <w:rStyle w:val="Hyperlink"/>
          </w:rPr>
          <w:t>D.2.2. Future Climate</w:t>
        </w:r>
        <w:r w:rsidR="001E2D14">
          <w:rPr>
            <w:webHidden/>
          </w:rPr>
          <w:tab/>
        </w:r>
        <w:r w:rsidR="001E2D14">
          <w:rPr>
            <w:webHidden/>
          </w:rPr>
          <w:fldChar w:fldCharType="begin"/>
        </w:r>
        <w:r w:rsidR="001E2D14">
          <w:rPr>
            <w:webHidden/>
          </w:rPr>
          <w:instrText xml:space="preserve"> PAGEREF _Toc354497927 \h </w:instrText>
        </w:r>
        <w:r w:rsidR="001E2D14">
          <w:rPr>
            <w:webHidden/>
          </w:rPr>
        </w:r>
        <w:r w:rsidR="001E2D14">
          <w:rPr>
            <w:webHidden/>
          </w:rPr>
          <w:fldChar w:fldCharType="separate"/>
        </w:r>
        <w:r w:rsidR="00413858">
          <w:rPr>
            <w:webHidden/>
          </w:rPr>
          <w:t>125</w:t>
        </w:r>
        <w:r w:rsidR="001E2D14">
          <w:rPr>
            <w:webHidden/>
          </w:rPr>
          <w:fldChar w:fldCharType="end"/>
        </w:r>
      </w:hyperlink>
    </w:p>
    <w:p w:rsidR="001E2D14" w:rsidRDefault="007F11CF" w:rsidP="000067F7">
      <w:pPr>
        <w:pStyle w:val="TOC2"/>
        <w:rPr>
          <w:rFonts w:asciiTheme="minorHAnsi" w:eastAsiaTheme="minorEastAsia" w:hAnsiTheme="minorHAnsi" w:cstheme="minorBidi"/>
          <w:sz w:val="22"/>
          <w:szCs w:val="22"/>
        </w:rPr>
      </w:pPr>
      <w:hyperlink w:anchor="_Toc354497928" w:history="1">
        <w:r w:rsidR="001E2D14" w:rsidRPr="00223566">
          <w:rPr>
            <w:rStyle w:val="Hyperlink"/>
          </w:rPr>
          <w:t>D.3. Results</w:t>
        </w:r>
        <w:r w:rsidR="001E2D14">
          <w:rPr>
            <w:webHidden/>
          </w:rPr>
          <w:tab/>
        </w:r>
        <w:r w:rsidR="001E2D14">
          <w:rPr>
            <w:webHidden/>
          </w:rPr>
          <w:fldChar w:fldCharType="begin"/>
        </w:r>
        <w:r w:rsidR="001E2D14">
          <w:rPr>
            <w:webHidden/>
          </w:rPr>
          <w:instrText xml:space="preserve"> PAGEREF _Toc354497928 \h </w:instrText>
        </w:r>
        <w:r w:rsidR="001E2D14">
          <w:rPr>
            <w:webHidden/>
          </w:rPr>
        </w:r>
        <w:r w:rsidR="001E2D14">
          <w:rPr>
            <w:webHidden/>
          </w:rPr>
          <w:fldChar w:fldCharType="separate"/>
        </w:r>
        <w:r w:rsidR="00413858">
          <w:rPr>
            <w:webHidden/>
          </w:rPr>
          <w:t>129</w:t>
        </w:r>
        <w:r w:rsidR="001E2D14">
          <w:rPr>
            <w:webHidden/>
          </w:rPr>
          <w:fldChar w:fldCharType="end"/>
        </w:r>
      </w:hyperlink>
    </w:p>
    <w:p w:rsidR="001E2D14" w:rsidRDefault="007F11CF" w:rsidP="000067F7">
      <w:pPr>
        <w:pStyle w:val="TOC3"/>
        <w:rPr>
          <w:rFonts w:asciiTheme="minorHAnsi" w:eastAsiaTheme="minorEastAsia" w:hAnsiTheme="minorHAnsi" w:cstheme="minorBidi"/>
          <w:sz w:val="22"/>
          <w:szCs w:val="22"/>
        </w:rPr>
      </w:pPr>
      <w:hyperlink w:anchor="_Toc354497929" w:history="1">
        <w:r w:rsidR="001E2D14" w:rsidRPr="00223566">
          <w:rPr>
            <w:rStyle w:val="Hyperlink"/>
          </w:rPr>
          <w:t>D.3.1. Current Climate</w:t>
        </w:r>
        <w:r w:rsidR="001E2D14">
          <w:rPr>
            <w:webHidden/>
          </w:rPr>
          <w:tab/>
        </w:r>
        <w:r w:rsidR="001E2D14">
          <w:rPr>
            <w:webHidden/>
          </w:rPr>
          <w:fldChar w:fldCharType="begin"/>
        </w:r>
        <w:r w:rsidR="001E2D14">
          <w:rPr>
            <w:webHidden/>
          </w:rPr>
          <w:instrText xml:space="preserve"> PAGEREF _Toc354497929 \h </w:instrText>
        </w:r>
        <w:r w:rsidR="001E2D14">
          <w:rPr>
            <w:webHidden/>
          </w:rPr>
        </w:r>
        <w:r w:rsidR="001E2D14">
          <w:rPr>
            <w:webHidden/>
          </w:rPr>
          <w:fldChar w:fldCharType="separate"/>
        </w:r>
        <w:r w:rsidR="00413858">
          <w:rPr>
            <w:webHidden/>
          </w:rPr>
          <w:t>129</w:t>
        </w:r>
        <w:r w:rsidR="001E2D14">
          <w:rPr>
            <w:webHidden/>
          </w:rPr>
          <w:fldChar w:fldCharType="end"/>
        </w:r>
      </w:hyperlink>
    </w:p>
    <w:p w:rsidR="001E2D14" w:rsidRDefault="007F11CF" w:rsidP="000067F7">
      <w:pPr>
        <w:pStyle w:val="TOC3"/>
        <w:rPr>
          <w:rFonts w:asciiTheme="minorHAnsi" w:eastAsiaTheme="minorEastAsia" w:hAnsiTheme="minorHAnsi" w:cstheme="minorBidi"/>
          <w:sz w:val="22"/>
          <w:szCs w:val="22"/>
        </w:rPr>
      </w:pPr>
      <w:hyperlink w:anchor="_Toc354497930" w:history="1">
        <w:r w:rsidR="001E2D14" w:rsidRPr="00223566">
          <w:rPr>
            <w:rStyle w:val="Hyperlink"/>
          </w:rPr>
          <w:t>D.3.2. Future Climate</w:t>
        </w:r>
        <w:r w:rsidR="001E2D14">
          <w:rPr>
            <w:webHidden/>
          </w:rPr>
          <w:tab/>
        </w:r>
        <w:r w:rsidR="001E2D14">
          <w:rPr>
            <w:webHidden/>
          </w:rPr>
          <w:fldChar w:fldCharType="begin"/>
        </w:r>
        <w:r w:rsidR="001E2D14">
          <w:rPr>
            <w:webHidden/>
          </w:rPr>
          <w:instrText xml:space="preserve"> PAGEREF _Toc354497930 \h </w:instrText>
        </w:r>
        <w:r w:rsidR="001E2D14">
          <w:rPr>
            <w:webHidden/>
          </w:rPr>
        </w:r>
        <w:r w:rsidR="001E2D14">
          <w:rPr>
            <w:webHidden/>
          </w:rPr>
          <w:fldChar w:fldCharType="separate"/>
        </w:r>
        <w:r w:rsidR="00413858">
          <w:rPr>
            <w:webHidden/>
          </w:rPr>
          <w:t>130</w:t>
        </w:r>
        <w:r w:rsidR="001E2D14">
          <w:rPr>
            <w:webHidden/>
          </w:rPr>
          <w:fldChar w:fldCharType="end"/>
        </w:r>
      </w:hyperlink>
    </w:p>
    <w:p w:rsidR="001E2D14" w:rsidRDefault="007F11CF" w:rsidP="000067F7">
      <w:pPr>
        <w:pStyle w:val="TOC2"/>
        <w:rPr>
          <w:rFonts w:asciiTheme="minorHAnsi" w:eastAsiaTheme="minorEastAsia" w:hAnsiTheme="minorHAnsi" w:cstheme="minorBidi"/>
          <w:sz w:val="22"/>
          <w:szCs w:val="22"/>
        </w:rPr>
      </w:pPr>
      <w:hyperlink w:anchor="_Toc354497931" w:history="1">
        <w:r w:rsidR="001E2D14" w:rsidRPr="00223566">
          <w:rPr>
            <w:rStyle w:val="Hyperlink"/>
          </w:rPr>
          <w:t>D.4. Discussion</w:t>
        </w:r>
        <w:r w:rsidR="001E2D14">
          <w:rPr>
            <w:webHidden/>
          </w:rPr>
          <w:tab/>
        </w:r>
        <w:r w:rsidR="001E2D14">
          <w:rPr>
            <w:webHidden/>
          </w:rPr>
          <w:fldChar w:fldCharType="begin"/>
        </w:r>
        <w:r w:rsidR="001E2D14">
          <w:rPr>
            <w:webHidden/>
          </w:rPr>
          <w:instrText xml:space="preserve"> PAGEREF _Toc354497931 \h </w:instrText>
        </w:r>
        <w:r w:rsidR="001E2D14">
          <w:rPr>
            <w:webHidden/>
          </w:rPr>
        </w:r>
        <w:r w:rsidR="001E2D14">
          <w:rPr>
            <w:webHidden/>
          </w:rPr>
          <w:fldChar w:fldCharType="separate"/>
        </w:r>
        <w:r w:rsidR="00413858">
          <w:rPr>
            <w:webHidden/>
          </w:rPr>
          <w:t>131</w:t>
        </w:r>
        <w:r w:rsidR="001E2D14">
          <w:rPr>
            <w:webHidden/>
          </w:rPr>
          <w:fldChar w:fldCharType="end"/>
        </w:r>
      </w:hyperlink>
    </w:p>
    <w:p w:rsidR="001E2D14" w:rsidRDefault="007F11CF" w:rsidP="000067F7">
      <w:pPr>
        <w:pStyle w:val="TOC3"/>
        <w:rPr>
          <w:rFonts w:asciiTheme="minorHAnsi" w:eastAsiaTheme="minorEastAsia" w:hAnsiTheme="minorHAnsi" w:cstheme="minorBidi"/>
          <w:sz w:val="22"/>
          <w:szCs w:val="22"/>
        </w:rPr>
      </w:pPr>
      <w:hyperlink w:anchor="_Toc354497932" w:history="1">
        <w:r w:rsidR="001E2D14" w:rsidRPr="00223566">
          <w:rPr>
            <w:rStyle w:val="Hyperlink"/>
          </w:rPr>
          <w:t>D.4.1. Current Climate</w:t>
        </w:r>
        <w:r w:rsidR="001E2D14">
          <w:rPr>
            <w:webHidden/>
          </w:rPr>
          <w:tab/>
        </w:r>
        <w:r w:rsidR="001E2D14">
          <w:rPr>
            <w:webHidden/>
          </w:rPr>
          <w:fldChar w:fldCharType="begin"/>
        </w:r>
        <w:r w:rsidR="001E2D14">
          <w:rPr>
            <w:webHidden/>
          </w:rPr>
          <w:instrText xml:space="preserve"> PAGEREF _Toc354497932 \h </w:instrText>
        </w:r>
        <w:r w:rsidR="001E2D14">
          <w:rPr>
            <w:webHidden/>
          </w:rPr>
        </w:r>
        <w:r w:rsidR="001E2D14">
          <w:rPr>
            <w:webHidden/>
          </w:rPr>
          <w:fldChar w:fldCharType="separate"/>
        </w:r>
        <w:r w:rsidR="00413858">
          <w:rPr>
            <w:webHidden/>
          </w:rPr>
          <w:t>131</w:t>
        </w:r>
        <w:r w:rsidR="001E2D14">
          <w:rPr>
            <w:webHidden/>
          </w:rPr>
          <w:fldChar w:fldCharType="end"/>
        </w:r>
      </w:hyperlink>
    </w:p>
    <w:p w:rsidR="001E2D14" w:rsidRDefault="007F11CF" w:rsidP="000067F7">
      <w:pPr>
        <w:pStyle w:val="TOC3"/>
        <w:rPr>
          <w:rFonts w:asciiTheme="minorHAnsi" w:eastAsiaTheme="minorEastAsia" w:hAnsiTheme="minorHAnsi" w:cstheme="minorBidi"/>
          <w:sz w:val="22"/>
          <w:szCs w:val="22"/>
        </w:rPr>
      </w:pPr>
      <w:hyperlink w:anchor="_Toc354497933" w:history="1">
        <w:r w:rsidR="001E2D14" w:rsidRPr="00223566">
          <w:rPr>
            <w:rStyle w:val="Hyperlink"/>
          </w:rPr>
          <w:t>D.4.2. Future Climate</w:t>
        </w:r>
        <w:r w:rsidR="001E2D14">
          <w:rPr>
            <w:webHidden/>
          </w:rPr>
          <w:tab/>
        </w:r>
        <w:r w:rsidR="001E2D14">
          <w:rPr>
            <w:webHidden/>
          </w:rPr>
          <w:fldChar w:fldCharType="begin"/>
        </w:r>
        <w:r w:rsidR="001E2D14">
          <w:rPr>
            <w:webHidden/>
          </w:rPr>
          <w:instrText xml:space="preserve"> PAGEREF _Toc354497933 \h </w:instrText>
        </w:r>
        <w:r w:rsidR="001E2D14">
          <w:rPr>
            <w:webHidden/>
          </w:rPr>
        </w:r>
        <w:r w:rsidR="001E2D14">
          <w:rPr>
            <w:webHidden/>
          </w:rPr>
          <w:fldChar w:fldCharType="separate"/>
        </w:r>
        <w:r w:rsidR="00413858">
          <w:rPr>
            <w:webHidden/>
          </w:rPr>
          <w:t>131</w:t>
        </w:r>
        <w:r w:rsidR="001E2D14">
          <w:rPr>
            <w:webHidden/>
          </w:rPr>
          <w:fldChar w:fldCharType="end"/>
        </w:r>
      </w:hyperlink>
    </w:p>
    <w:p w:rsidR="00DF77DB" w:rsidRDefault="008237BB" w:rsidP="00462463">
      <w:pPr>
        <w:pStyle w:val="HeadingApxnonumbers"/>
        <w:rPr>
          <w:rFonts w:asciiTheme="minorHAnsi" w:eastAsiaTheme="minorEastAsia" w:hAnsiTheme="minorHAnsi" w:cstheme="minorBidi"/>
          <w:noProof/>
          <w:sz w:val="22"/>
          <w:szCs w:val="22"/>
        </w:rPr>
      </w:pPr>
      <w:r>
        <w:fldChar w:fldCharType="end"/>
      </w:r>
      <w:bookmarkStart w:id="4690" w:name="_Toc354494741"/>
      <w:bookmarkStart w:id="4691" w:name="_Toc354495035"/>
      <w:bookmarkStart w:id="4692" w:name="_Toc354497917"/>
      <w:bookmarkStart w:id="4693" w:name="_Toc354561332"/>
      <w:bookmarkStart w:id="4694" w:name="_Toc355164248"/>
      <w:bookmarkStart w:id="4695" w:name="_Toc355249673"/>
      <w:r w:rsidR="000369DE">
        <w:t>Figures</w:t>
      </w:r>
      <w:bookmarkEnd w:id="4690"/>
      <w:bookmarkEnd w:id="4691"/>
      <w:bookmarkEnd w:id="4692"/>
      <w:bookmarkEnd w:id="4693"/>
      <w:bookmarkEnd w:id="4694"/>
      <w:bookmarkEnd w:id="4695"/>
      <w:r w:rsidR="006B7794">
        <w:rPr>
          <w:noProof/>
          <w:kern w:val="0"/>
          <w:sz w:val="20"/>
          <w:szCs w:val="20"/>
        </w:rPr>
        <w:fldChar w:fldCharType="begin"/>
      </w:r>
      <w:r w:rsidR="006B7794">
        <w:instrText xml:space="preserve"> TOC \h \z \c "Appendix Figure" </w:instrText>
      </w:r>
      <w:r w:rsidR="006B7794">
        <w:rPr>
          <w:noProof/>
          <w:kern w:val="0"/>
          <w:sz w:val="20"/>
          <w:szCs w:val="20"/>
        </w:rPr>
        <w:fldChar w:fldCharType="separate"/>
      </w:r>
    </w:p>
    <w:p w:rsidR="00DF77DB" w:rsidRDefault="007F11CF">
      <w:pPr>
        <w:pStyle w:val="TableofFigures"/>
        <w:rPr>
          <w:rFonts w:asciiTheme="minorHAnsi" w:eastAsiaTheme="minorEastAsia" w:hAnsiTheme="minorHAnsi" w:cstheme="minorBidi"/>
          <w:sz w:val="22"/>
          <w:szCs w:val="22"/>
        </w:rPr>
      </w:pPr>
      <w:hyperlink w:anchor="_Toc354561565" w:history="1">
        <w:r w:rsidR="00DF77DB" w:rsidRPr="00D71B1D">
          <w:rPr>
            <w:rStyle w:val="Hyperlink"/>
          </w:rPr>
          <w:t xml:space="preserve">Appendix Figure </w:t>
        </w:r>
        <w:r w:rsidR="00162079">
          <w:rPr>
            <w:rStyle w:val="Hyperlink"/>
          </w:rPr>
          <w:t>D.</w:t>
        </w:r>
        <w:r w:rsidR="00DF77DB" w:rsidRPr="00D71B1D">
          <w:rPr>
            <w:rStyle w:val="Hyperlink"/>
          </w:rPr>
          <w:t>1. Keppel Bay and the Fitzroy River on the coast of the south-east Queensland. The base map is a Landsat ETM+ image, acquired 24/5/2003, Copyright © Commonwealth of Australia, 2003 (Source: Ryan et al., 2009).</w:t>
        </w:r>
        <w:r w:rsidR="00DF77DB">
          <w:rPr>
            <w:webHidden/>
          </w:rPr>
          <w:tab/>
        </w:r>
        <w:r w:rsidR="00DF77DB">
          <w:rPr>
            <w:webHidden/>
          </w:rPr>
          <w:fldChar w:fldCharType="begin"/>
        </w:r>
        <w:r w:rsidR="00DF77DB">
          <w:rPr>
            <w:webHidden/>
          </w:rPr>
          <w:instrText xml:space="preserve"> PAGEREF _Toc354561565 \h </w:instrText>
        </w:r>
        <w:r w:rsidR="00DF77DB">
          <w:rPr>
            <w:webHidden/>
          </w:rPr>
        </w:r>
        <w:r w:rsidR="00DF77DB">
          <w:rPr>
            <w:webHidden/>
          </w:rPr>
          <w:fldChar w:fldCharType="separate"/>
        </w:r>
        <w:r w:rsidR="00413858">
          <w:rPr>
            <w:webHidden/>
          </w:rPr>
          <w:t>120</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566" w:history="1">
        <w:r w:rsidR="00DF77DB" w:rsidRPr="00D71B1D">
          <w:rPr>
            <w:rStyle w:val="Hyperlink"/>
          </w:rPr>
          <w:t xml:space="preserve">Appendix Figure </w:t>
        </w:r>
        <w:r w:rsidR="00162079">
          <w:rPr>
            <w:rStyle w:val="Hyperlink"/>
          </w:rPr>
          <w:t>D.</w:t>
        </w:r>
        <w:r w:rsidR="00DF77DB" w:rsidRPr="00D71B1D">
          <w:rPr>
            <w:rStyle w:val="Hyperlink"/>
          </w:rPr>
          <w:t>2. The Fitzroy River estuary and Keppel Bay bathymetry. D.Wave heights recorded by a wave rider buoy in outer Keppel Bay (Queensland Environmental Protection Agency, 2005). E. Wind records for Rockhampton, 50 km W of Long Beach (Bureau of Meteorology). F. Fitzroy River discharge between 1970 and 2007. Also indicated is the discharge required for sand export to Keppel Bay (dashed line), and flood events produced by tropical cyclones (data from Queensland Department of Natural Resources and Water, Rockhampton) (source Brooke et al., 2008).</w:t>
        </w:r>
        <w:r w:rsidR="00DF77DB">
          <w:rPr>
            <w:webHidden/>
          </w:rPr>
          <w:tab/>
        </w:r>
        <w:r w:rsidR="00DF77DB">
          <w:rPr>
            <w:webHidden/>
          </w:rPr>
          <w:fldChar w:fldCharType="begin"/>
        </w:r>
        <w:r w:rsidR="00DF77DB">
          <w:rPr>
            <w:webHidden/>
          </w:rPr>
          <w:instrText xml:space="preserve"> PAGEREF _Toc354561566 \h </w:instrText>
        </w:r>
        <w:r w:rsidR="00DF77DB">
          <w:rPr>
            <w:webHidden/>
          </w:rPr>
        </w:r>
        <w:r w:rsidR="00DF77DB">
          <w:rPr>
            <w:webHidden/>
          </w:rPr>
          <w:fldChar w:fldCharType="separate"/>
        </w:r>
        <w:r w:rsidR="00413858">
          <w:rPr>
            <w:webHidden/>
          </w:rPr>
          <w:t>121</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567" w:history="1">
        <w:r w:rsidR="00DF77DB" w:rsidRPr="00D71B1D">
          <w:rPr>
            <w:rStyle w:val="Hyperlink"/>
          </w:rPr>
          <w:t xml:space="preserve">Appendix Figure </w:t>
        </w:r>
        <w:r w:rsidR="00162079">
          <w:rPr>
            <w:rStyle w:val="Hyperlink"/>
          </w:rPr>
          <w:t>D.</w:t>
        </w:r>
        <w:r w:rsidR="00DF77DB" w:rsidRPr="00D71B1D">
          <w:rPr>
            <w:rStyle w:val="Hyperlink"/>
          </w:rPr>
          <w:t>3. Summary map of bathymetry, water masses and circulation in the study region, with the -120 m isobath indicated (Imagery: Landsat MSS, Copyright © Commonwealth of Australia). The unbroken black line indicates the 120 m isobath. Wind frequency analysis are provided for Rockhampton, 1939-2004, for the wet season (October to April, 3pm) and the dry season (May to September, 3pm; Bureau of Meteorology, June 2005). Bathymetry after Webster and Petkovic (2005) (source: Ryan et al., 2009).</w:t>
        </w:r>
        <w:r w:rsidR="00DF77DB">
          <w:rPr>
            <w:webHidden/>
          </w:rPr>
          <w:tab/>
        </w:r>
        <w:r w:rsidR="00DF77DB">
          <w:rPr>
            <w:webHidden/>
          </w:rPr>
          <w:fldChar w:fldCharType="begin"/>
        </w:r>
        <w:r w:rsidR="00DF77DB">
          <w:rPr>
            <w:webHidden/>
          </w:rPr>
          <w:instrText xml:space="preserve"> PAGEREF _Toc354561567 \h </w:instrText>
        </w:r>
        <w:r w:rsidR="00DF77DB">
          <w:rPr>
            <w:webHidden/>
          </w:rPr>
        </w:r>
        <w:r w:rsidR="00DF77DB">
          <w:rPr>
            <w:webHidden/>
          </w:rPr>
          <w:fldChar w:fldCharType="separate"/>
        </w:r>
        <w:r w:rsidR="00413858">
          <w:rPr>
            <w:webHidden/>
          </w:rPr>
          <w:t>122</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568" w:history="1">
        <w:r w:rsidR="00DF77DB" w:rsidRPr="00D71B1D">
          <w:rPr>
            <w:rStyle w:val="Hyperlink"/>
          </w:rPr>
          <w:t xml:space="preserve">Appendix Figure </w:t>
        </w:r>
        <w:r w:rsidR="00162079">
          <w:rPr>
            <w:rStyle w:val="Hyperlink"/>
          </w:rPr>
          <w:t>D.</w:t>
        </w:r>
        <w:r w:rsidR="00EE5DC5">
          <w:rPr>
            <w:rStyle w:val="Hyperlink"/>
          </w:rPr>
          <w:t>4</w:t>
        </w:r>
        <w:r w:rsidR="00DF77DB" w:rsidRPr="00D71B1D">
          <w:rPr>
            <w:rStyle w:val="Hyperlink"/>
          </w:rPr>
          <w:t>. Map of sediment facies and depositional regions in Keppel Bay, showing sediment transport pathways and areas of fine sediment accumulation.</w:t>
        </w:r>
        <w:r w:rsidR="00DF77DB">
          <w:rPr>
            <w:webHidden/>
          </w:rPr>
          <w:tab/>
        </w:r>
        <w:r w:rsidR="00DF77DB">
          <w:rPr>
            <w:webHidden/>
          </w:rPr>
          <w:fldChar w:fldCharType="begin"/>
        </w:r>
        <w:r w:rsidR="00DF77DB">
          <w:rPr>
            <w:webHidden/>
          </w:rPr>
          <w:instrText xml:space="preserve"> PAGEREF _Toc354561568 \h </w:instrText>
        </w:r>
        <w:r w:rsidR="00DF77DB">
          <w:rPr>
            <w:webHidden/>
          </w:rPr>
        </w:r>
        <w:r w:rsidR="00DF77DB">
          <w:rPr>
            <w:webHidden/>
          </w:rPr>
          <w:fldChar w:fldCharType="separate"/>
        </w:r>
        <w:r w:rsidR="00413858">
          <w:rPr>
            <w:webHidden/>
          </w:rPr>
          <w:t>124</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569" w:history="1">
        <w:r w:rsidR="00DF77DB" w:rsidRPr="00D71B1D">
          <w:rPr>
            <w:rStyle w:val="Hyperlink"/>
          </w:rPr>
          <w:t xml:space="preserve">Appendix Figure </w:t>
        </w:r>
        <w:r w:rsidR="00162079">
          <w:rPr>
            <w:rStyle w:val="Hyperlink"/>
          </w:rPr>
          <w:t>D.</w:t>
        </w:r>
        <w:r w:rsidR="00EE5DC5">
          <w:rPr>
            <w:rStyle w:val="Hyperlink"/>
          </w:rPr>
          <w:t>5</w:t>
        </w:r>
        <w:r w:rsidR="00DF77DB" w:rsidRPr="00D71B1D">
          <w:rPr>
            <w:rStyle w:val="Hyperlink"/>
          </w:rPr>
          <w:t>. Coastal erosion exposed coastline</w:t>
        </w:r>
        <w:r w:rsidR="00DF77DB">
          <w:rPr>
            <w:webHidden/>
          </w:rPr>
          <w:tab/>
        </w:r>
        <w:r w:rsidR="00DF77DB">
          <w:rPr>
            <w:webHidden/>
          </w:rPr>
          <w:fldChar w:fldCharType="begin"/>
        </w:r>
        <w:r w:rsidR="00DF77DB">
          <w:rPr>
            <w:webHidden/>
          </w:rPr>
          <w:instrText xml:space="preserve"> PAGEREF _Toc354561569 \h </w:instrText>
        </w:r>
        <w:r w:rsidR="00DF77DB">
          <w:rPr>
            <w:webHidden/>
          </w:rPr>
        </w:r>
        <w:r w:rsidR="00DF77DB">
          <w:rPr>
            <w:webHidden/>
          </w:rPr>
          <w:fldChar w:fldCharType="separate"/>
        </w:r>
        <w:r w:rsidR="00413858">
          <w:rPr>
            <w:webHidden/>
          </w:rPr>
          <w:t>129</w:t>
        </w:r>
        <w:r w:rsidR="00DF77DB">
          <w:rPr>
            <w:webHidden/>
          </w:rPr>
          <w:fldChar w:fldCharType="end"/>
        </w:r>
      </w:hyperlink>
    </w:p>
    <w:p w:rsidR="00DF77DB" w:rsidRDefault="007F11CF">
      <w:pPr>
        <w:pStyle w:val="TableofFigures"/>
        <w:rPr>
          <w:rFonts w:asciiTheme="minorHAnsi" w:eastAsiaTheme="minorEastAsia" w:hAnsiTheme="minorHAnsi" w:cstheme="minorBidi"/>
          <w:sz w:val="22"/>
          <w:szCs w:val="22"/>
        </w:rPr>
      </w:pPr>
      <w:hyperlink w:anchor="_Toc354561570" w:history="1">
        <w:r w:rsidR="00DF77DB" w:rsidRPr="00D71B1D">
          <w:rPr>
            <w:rStyle w:val="Hyperlink"/>
          </w:rPr>
          <w:t xml:space="preserve">Appendix Figure </w:t>
        </w:r>
        <w:r w:rsidR="00162079">
          <w:rPr>
            <w:rStyle w:val="Hyperlink"/>
          </w:rPr>
          <w:t>D.</w:t>
        </w:r>
        <w:r w:rsidR="00EE5DC5">
          <w:rPr>
            <w:rStyle w:val="Hyperlink"/>
          </w:rPr>
          <w:t>6</w:t>
        </w:r>
        <w:r w:rsidR="00DF77DB" w:rsidRPr="00D71B1D">
          <w:rPr>
            <w:rStyle w:val="Hyperlink"/>
          </w:rPr>
          <w:t>. Future-climate (2100) coastal erosion exposed coastline.</w:t>
        </w:r>
        <w:r w:rsidR="00DF77DB">
          <w:rPr>
            <w:webHidden/>
          </w:rPr>
          <w:tab/>
        </w:r>
        <w:r w:rsidR="00DF77DB">
          <w:rPr>
            <w:webHidden/>
          </w:rPr>
          <w:fldChar w:fldCharType="begin"/>
        </w:r>
        <w:r w:rsidR="00DF77DB">
          <w:rPr>
            <w:webHidden/>
          </w:rPr>
          <w:instrText xml:space="preserve"> PAGEREF _Toc354561570 \h </w:instrText>
        </w:r>
        <w:r w:rsidR="00DF77DB">
          <w:rPr>
            <w:webHidden/>
          </w:rPr>
        </w:r>
        <w:r w:rsidR="00DF77DB">
          <w:rPr>
            <w:webHidden/>
          </w:rPr>
          <w:fldChar w:fldCharType="separate"/>
        </w:r>
        <w:r w:rsidR="00413858">
          <w:rPr>
            <w:webHidden/>
          </w:rPr>
          <w:t>130</w:t>
        </w:r>
        <w:r w:rsidR="00DF77DB">
          <w:rPr>
            <w:webHidden/>
          </w:rPr>
          <w:fldChar w:fldCharType="end"/>
        </w:r>
      </w:hyperlink>
    </w:p>
    <w:p w:rsidR="008237BB" w:rsidRDefault="006B7794" w:rsidP="00462463">
      <w:pPr>
        <w:pStyle w:val="HeadingApxnonumbers"/>
      </w:pPr>
      <w:r>
        <w:lastRenderedPageBreak/>
        <w:fldChar w:fldCharType="end"/>
      </w:r>
      <w:bookmarkStart w:id="4696" w:name="_Toc349117007"/>
      <w:bookmarkStart w:id="4697" w:name="_Toc350330090"/>
      <w:bookmarkStart w:id="4698" w:name="_Toc350344069"/>
      <w:bookmarkStart w:id="4699" w:name="_Toc354402061"/>
      <w:bookmarkStart w:id="4700" w:name="_Toc354404080"/>
      <w:bookmarkStart w:id="4701" w:name="_Toc354476558"/>
      <w:bookmarkStart w:id="4702" w:name="_Toc354492787"/>
      <w:bookmarkStart w:id="4703" w:name="_Toc354492908"/>
      <w:bookmarkStart w:id="4704" w:name="_Toc354493034"/>
      <w:bookmarkStart w:id="4705" w:name="_Toc354493165"/>
      <w:bookmarkStart w:id="4706" w:name="_Toc354493326"/>
      <w:bookmarkStart w:id="4707" w:name="_Toc354493777"/>
      <w:bookmarkStart w:id="4708" w:name="_Toc354494312"/>
      <w:bookmarkStart w:id="4709" w:name="_Toc354494742"/>
      <w:bookmarkStart w:id="4710" w:name="_Toc354495036"/>
      <w:bookmarkStart w:id="4711" w:name="_Toc354497918"/>
      <w:bookmarkStart w:id="4712" w:name="_Toc354561333"/>
      <w:bookmarkStart w:id="4713" w:name="_Toc355164249"/>
      <w:bookmarkStart w:id="4714" w:name="_Toc355249674"/>
      <w:r w:rsidR="008237BB">
        <w:t>Tables</w:t>
      </w:r>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p>
    <w:p w:rsidR="00AD6E08" w:rsidRDefault="00AD6E08">
      <w:pPr>
        <w:pStyle w:val="TableofFigures"/>
        <w:rPr>
          <w:rStyle w:val="Hyperlink"/>
        </w:rPr>
      </w:pPr>
      <w:r>
        <w:fldChar w:fldCharType="begin"/>
      </w:r>
      <w:r>
        <w:instrText xml:space="preserve"> TOC \h \z \c "Appendix Table" </w:instrText>
      </w:r>
      <w:r>
        <w:fldChar w:fldCharType="separate"/>
      </w:r>
      <w:hyperlink w:anchor="_Toc355016501" w:history="1">
        <w:r w:rsidRPr="008B0A76">
          <w:rPr>
            <w:rStyle w:val="Hyperlink"/>
          </w:rPr>
          <w:t xml:space="preserve">Appendix Table </w:t>
        </w:r>
        <w:r w:rsidR="00162079">
          <w:rPr>
            <w:rStyle w:val="Hyperlink"/>
          </w:rPr>
          <w:t>D.</w:t>
        </w:r>
        <w:r w:rsidRPr="008B0A76">
          <w:rPr>
            <w:rStyle w:val="Hyperlink"/>
          </w:rPr>
          <w:t>1. Erosion prone areas widths for each segment of coast in Rockhampton Regional Council study area.</w:t>
        </w:r>
        <w:r>
          <w:rPr>
            <w:webHidden/>
          </w:rPr>
          <w:tab/>
        </w:r>
        <w:r>
          <w:rPr>
            <w:webHidden/>
          </w:rPr>
          <w:fldChar w:fldCharType="begin"/>
        </w:r>
        <w:r>
          <w:rPr>
            <w:webHidden/>
          </w:rPr>
          <w:instrText xml:space="preserve"> PAGEREF _Toc355016501 \h </w:instrText>
        </w:r>
        <w:r>
          <w:rPr>
            <w:webHidden/>
          </w:rPr>
        </w:r>
        <w:r>
          <w:rPr>
            <w:webHidden/>
          </w:rPr>
          <w:fldChar w:fldCharType="separate"/>
        </w:r>
        <w:r w:rsidR="00413858">
          <w:rPr>
            <w:webHidden/>
          </w:rPr>
          <w:t>127</w:t>
        </w:r>
        <w:r>
          <w:rPr>
            <w:webHidden/>
          </w:rPr>
          <w:fldChar w:fldCharType="end"/>
        </w:r>
      </w:hyperlink>
    </w:p>
    <w:p w:rsidR="008237BB" w:rsidRDefault="00AD6E08" w:rsidP="00AD6E08">
      <w:pPr>
        <w:pStyle w:val="Headingappendix2"/>
      </w:pPr>
      <w:r>
        <w:rPr>
          <w:rStyle w:val="Hyperlink"/>
          <w:noProof/>
        </w:rPr>
        <w:br w:type="page"/>
      </w:r>
      <w:r>
        <w:lastRenderedPageBreak/>
        <w:fldChar w:fldCharType="end"/>
      </w:r>
      <w:bookmarkStart w:id="4715" w:name="_Toc349055098"/>
      <w:bookmarkStart w:id="4716" w:name="_Toc349055313"/>
      <w:bookmarkStart w:id="4717" w:name="_Toc349055426"/>
      <w:bookmarkStart w:id="4718" w:name="_Toc349055539"/>
      <w:bookmarkStart w:id="4719" w:name="_Toc349055765"/>
      <w:bookmarkStart w:id="4720" w:name="_Toc349117008"/>
      <w:bookmarkStart w:id="4721" w:name="_Toc350330091"/>
      <w:bookmarkStart w:id="4722" w:name="_Toc350344070"/>
      <w:bookmarkStart w:id="4723" w:name="_Toc354402062"/>
      <w:bookmarkStart w:id="4724" w:name="_Toc354404081"/>
      <w:bookmarkStart w:id="4725" w:name="_Toc354476559"/>
      <w:bookmarkStart w:id="4726" w:name="_Toc354492788"/>
      <w:bookmarkStart w:id="4727" w:name="_Toc354492909"/>
      <w:bookmarkStart w:id="4728" w:name="_Toc354493035"/>
      <w:bookmarkStart w:id="4729" w:name="_Toc354493166"/>
      <w:bookmarkStart w:id="4730" w:name="_Toc354493327"/>
      <w:bookmarkStart w:id="4731" w:name="_Toc354493778"/>
      <w:bookmarkStart w:id="4732" w:name="_Toc354494313"/>
      <w:bookmarkStart w:id="4733" w:name="_Toc354494743"/>
      <w:bookmarkStart w:id="4734" w:name="_Toc354495037"/>
      <w:bookmarkStart w:id="4735" w:name="_Toc354497919"/>
      <w:bookmarkStart w:id="4736" w:name="_Toc354561334"/>
      <w:bookmarkStart w:id="4737" w:name="_Toc355164250"/>
      <w:bookmarkStart w:id="4738" w:name="_Toc355249675"/>
      <w:r w:rsidR="008237BB">
        <w:t>Introduction</w:t>
      </w:r>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p>
    <w:p w:rsidR="002F691C" w:rsidRDefault="008237BB" w:rsidP="008237BB">
      <w:pPr>
        <w:pStyle w:val="BodyText"/>
      </w:pPr>
      <w:r>
        <w:t>For the purpose of this study, coastal erosion is defined as “shoreline recession due to sea erosion causing a permanent loss of land” (DERM, 2012a). This study does not consider the temporary erosion associated with storm events, after which the beach or section of coastline may recover naturally.</w:t>
      </w:r>
    </w:p>
    <w:p w:rsidR="002F691C" w:rsidRDefault="008237BB" w:rsidP="008237BB">
      <w:pPr>
        <w:pStyle w:val="BodyText"/>
      </w:pPr>
      <w:r w:rsidRPr="00A77645">
        <w:t xml:space="preserve">Keppel Bay was the subject of a series of major studies under the </w:t>
      </w:r>
      <w:r>
        <w:t>Cooperative Research Centre for Coastal Zone, Estuary and Waterway Management (Coastal CRC). The main objective of this work was to determine the spatial distribution and accumulation history of sediments in Keppel Bay derived from the Fitzroy River.</w:t>
      </w:r>
    </w:p>
    <w:p w:rsidR="008237BB" w:rsidRPr="00AE752C" w:rsidRDefault="008237BB" w:rsidP="00935848">
      <w:pPr>
        <w:pStyle w:val="Headingappendix3"/>
      </w:pPr>
      <w:bookmarkStart w:id="4739" w:name="_Toc349055099"/>
      <w:bookmarkStart w:id="4740" w:name="_Toc349055314"/>
      <w:bookmarkStart w:id="4741" w:name="_Toc349055427"/>
      <w:bookmarkStart w:id="4742" w:name="_Toc349055540"/>
      <w:bookmarkStart w:id="4743" w:name="_Toc349055766"/>
      <w:bookmarkStart w:id="4744" w:name="_Toc349117009"/>
      <w:bookmarkStart w:id="4745" w:name="_Toc350330092"/>
      <w:bookmarkStart w:id="4746" w:name="_Toc350344071"/>
      <w:bookmarkStart w:id="4747" w:name="_Toc354402063"/>
      <w:bookmarkStart w:id="4748" w:name="_Toc354476560"/>
      <w:bookmarkStart w:id="4749" w:name="_Toc354492789"/>
      <w:bookmarkStart w:id="4750" w:name="_Toc354492910"/>
      <w:bookmarkStart w:id="4751" w:name="_Toc354493036"/>
      <w:bookmarkStart w:id="4752" w:name="_Toc354493167"/>
      <w:bookmarkStart w:id="4753" w:name="_Toc354493328"/>
      <w:bookmarkStart w:id="4754" w:name="_Toc354493779"/>
      <w:bookmarkStart w:id="4755" w:name="_Toc354494314"/>
      <w:bookmarkStart w:id="4756" w:name="_Toc354494744"/>
      <w:bookmarkStart w:id="4757" w:name="_Toc354495038"/>
      <w:bookmarkStart w:id="4758" w:name="_Toc354497920"/>
      <w:bookmarkStart w:id="4759" w:name="_Toc354561335"/>
      <w:bookmarkStart w:id="4760" w:name="_Toc355164251"/>
      <w:bookmarkStart w:id="4761" w:name="_Toc355249676"/>
      <w:r w:rsidRPr="00AE752C">
        <w:t>Regional setting</w:t>
      </w:r>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p>
    <w:p w:rsidR="008237BB" w:rsidRDefault="008237BB" w:rsidP="008237BB">
      <w:pPr>
        <w:pStyle w:val="BodyText"/>
      </w:pPr>
      <w:r w:rsidRPr="00366D5C">
        <w:t>Keppel Bay represents the coastal margin of the Fitzroy River basin, the second largest modern sedimentary basin in Australia. The study area lies on the Tropic of Capricorn and is bounded to the</w:t>
      </w:r>
      <w:r w:rsidR="009E1AAE">
        <w:t xml:space="preserve"> </w:t>
      </w:r>
      <w:r w:rsidRPr="00366D5C">
        <w:t>north by Great Keppel Island and to the south by Curtis Island</w:t>
      </w:r>
      <w:r>
        <w:t xml:space="preserve"> (</w:t>
      </w:r>
      <w:r w:rsidR="00DF77DB">
        <w:fldChar w:fldCharType="begin"/>
      </w:r>
      <w:r w:rsidR="00DF77DB">
        <w:instrText xml:space="preserve"> REF _Ref354561927 \h </w:instrText>
      </w:r>
      <w:r w:rsidR="00DF77DB">
        <w:fldChar w:fldCharType="separate"/>
      </w:r>
      <w:r w:rsidR="00413858">
        <w:t xml:space="preserve">Appendix Figure </w:t>
      </w:r>
      <w:r w:rsidR="00413858">
        <w:rPr>
          <w:noProof/>
        </w:rPr>
        <w:t>D</w:t>
      </w:r>
      <w:r w:rsidR="00413858">
        <w:t>.</w:t>
      </w:r>
      <w:r w:rsidR="00413858">
        <w:rPr>
          <w:noProof/>
        </w:rPr>
        <w:t>1</w:t>
      </w:r>
      <w:r w:rsidR="00DF77DB">
        <w:fldChar w:fldCharType="end"/>
      </w:r>
      <w:r w:rsidR="00DF77DB">
        <w:t>)</w:t>
      </w:r>
      <w:r>
        <w:t>. The 144</w:t>
      </w:r>
      <w:r w:rsidR="00EE5DC5">
        <w:t> </w:t>
      </w:r>
      <w:r w:rsidRPr="00366D5C">
        <w:t>000</w:t>
      </w:r>
      <w:r>
        <w:t> </w:t>
      </w:r>
      <w:r w:rsidRPr="00366D5C">
        <w:t>km</w:t>
      </w:r>
      <w:r w:rsidRPr="00055DCB">
        <w:rPr>
          <w:rStyle w:val="Superscript"/>
        </w:rPr>
        <w:t>2</w:t>
      </w:r>
      <w:r w:rsidRPr="00366D5C">
        <w:t xml:space="preserve"> catchment of the Fitzroy River is topographically and geologically diverse</w:t>
      </w:r>
      <w:r>
        <w:t xml:space="preserve">, </w:t>
      </w:r>
      <w:r w:rsidRPr="00366D5C">
        <w:t>compris</w:t>
      </w:r>
      <w:r>
        <w:t>ing</w:t>
      </w:r>
      <w:r w:rsidRPr="00366D5C">
        <w:t xml:space="preserve"> over 100 different rock types within the Thompson Fold Belt, the New England Fold Belt, the Bowen Basin, the Surat Basin, and several other minor formations (Douglas </w:t>
      </w:r>
      <w:r w:rsidRPr="007B6C0C">
        <w:rPr>
          <w:rStyle w:val="Bodytextitalic"/>
        </w:rPr>
        <w:t>et al.,</w:t>
      </w:r>
      <w:r w:rsidRPr="00366D5C">
        <w:t xml:space="preserve"> 2005; Willmott </w:t>
      </w:r>
      <w:r w:rsidRPr="007B6C0C">
        <w:rPr>
          <w:rStyle w:val="Bodytextitalic"/>
        </w:rPr>
        <w:t>et al.,</w:t>
      </w:r>
      <w:r w:rsidRPr="00366D5C">
        <w:t xml:space="preserve"> 1984).</w:t>
      </w:r>
      <w:r>
        <w:t xml:space="preserve"> </w:t>
      </w:r>
      <w:r w:rsidRPr="00366D5C">
        <w:t>The catchment was extensively vegetated with Brigalow scrub (Acacia harpophylla) before several phases of land clearing</w:t>
      </w:r>
      <w:r>
        <w:t xml:space="preserve"> </w:t>
      </w:r>
      <w:r w:rsidRPr="00366D5C">
        <w:t>during the 19th and 20th century.</w:t>
      </w:r>
      <w:r>
        <w:t xml:space="preserve"> </w:t>
      </w:r>
      <w:r w:rsidRPr="00366D5C">
        <w:t>Land use in the catchment is dominated by agriculture and coal mining.</w:t>
      </w:r>
    </w:p>
    <w:p w:rsidR="008237BB" w:rsidRPr="00222C7F" w:rsidRDefault="008237BB" w:rsidP="00935848">
      <w:pPr>
        <w:pStyle w:val="Headingappendix3"/>
      </w:pPr>
      <w:bookmarkStart w:id="4762" w:name="_Toc341445300"/>
      <w:bookmarkStart w:id="4763" w:name="_Toc342638530"/>
      <w:bookmarkStart w:id="4764" w:name="_Toc346261030"/>
      <w:bookmarkStart w:id="4765" w:name="_Toc346632592"/>
      <w:bookmarkStart w:id="4766" w:name="_Toc346632805"/>
      <w:bookmarkStart w:id="4767" w:name="_Toc346632917"/>
      <w:bookmarkStart w:id="4768" w:name="_Toc346633029"/>
      <w:bookmarkStart w:id="4769" w:name="_Toc346633253"/>
      <w:bookmarkStart w:id="4770" w:name="_Toc347401686"/>
      <w:bookmarkStart w:id="4771" w:name="_Toc347401798"/>
      <w:bookmarkStart w:id="4772" w:name="_Toc347401910"/>
      <w:bookmarkStart w:id="4773" w:name="_Toc347402134"/>
      <w:bookmarkStart w:id="4774" w:name="_Toc347402527"/>
      <w:bookmarkStart w:id="4775" w:name="_Toc349055100"/>
      <w:bookmarkStart w:id="4776" w:name="_Toc349055315"/>
      <w:bookmarkStart w:id="4777" w:name="_Toc349055428"/>
      <w:bookmarkStart w:id="4778" w:name="_Toc349055541"/>
      <w:bookmarkStart w:id="4779" w:name="_Toc349055767"/>
      <w:bookmarkStart w:id="4780" w:name="_Toc349117010"/>
      <w:bookmarkStart w:id="4781" w:name="_Toc350330093"/>
      <w:bookmarkStart w:id="4782" w:name="_Toc350344072"/>
      <w:bookmarkStart w:id="4783" w:name="_Toc354402064"/>
      <w:bookmarkStart w:id="4784" w:name="_Toc354476561"/>
      <w:bookmarkStart w:id="4785" w:name="_Toc354492790"/>
      <w:bookmarkStart w:id="4786" w:name="_Toc354492911"/>
      <w:bookmarkStart w:id="4787" w:name="_Toc354493037"/>
      <w:bookmarkStart w:id="4788" w:name="_Toc354493168"/>
      <w:bookmarkStart w:id="4789" w:name="_Toc354493329"/>
      <w:bookmarkStart w:id="4790" w:name="_Toc354493780"/>
      <w:bookmarkStart w:id="4791" w:name="_Toc354494315"/>
      <w:bookmarkStart w:id="4792" w:name="_Toc354494745"/>
      <w:bookmarkStart w:id="4793" w:name="_Toc354495039"/>
      <w:bookmarkStart w:id="4794" w:name="_Toc354497921"/>
      <w:bookmarkStart w:id="4795" w:name="_Toc354561336"/>
      <w:bookmarkStart w:id="4796" w:name="_Toc355164252"/>
      <w:bookmarkStart w:id="4797" w:name="_Toc355249677"/>
      <w:r w:rsidRPr="00222C7F">
        <w:t>Climate and oceanography</w:t>
      </w:r>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p>
    <w:p w:rsidR="00DF77DB" w:rsidRDefault="008237BB" w:rsidP="00DF77DB">
      <w:pPr>
        <w:pStyle w:val="BodyText"/>
      </w:pPr>
      <w:r w:rsidRPr="00366D5C">
        <w:t>Due to the Australasian monsoon, the region experiences highly seasonal rainfall and p</w:t>
      </w:r>
      <w:r>
        <w:t>revailing easterly winds (</w:t>
      </w:r>
      <w:r w:rsidR="004B5A8A">
        <w:fldChar w:fldCharType="begin"/>
      </w:r>
      <w:r w:rsidR="004B5A8A">
        <w:instrText xml:space="preserve"> REF _Ref354561968 \h </w:instrText>
      </w:r>
      <w:r w:rsidR="004B5A8A">
        <w:fldChar w:fldCharType="separate"/>
      </w:r>
      <w:r w:rsidR="00413858">
        <w:t xml:space="preserve">Appendix Figure </w:t>
      </w:r>
      <w:r w:rsidR="00413858">
        <w:rPr>
          <w:noProof/>
        </w:rPr>
        <w:t>D</w:t>
      </w:r>
      <w:r w:rsidR="00413858">
        <w:t>.</w:t>
      </w:r>
      <w:r w:rsidR="00413858">
        <w:rPr>
          <w:noProof/>
        </w:rPr>
        <w:t>3</w:t>
      </w:r>
      <w:r w:rsidR="004B5A8A">
        <w:fldChar w:fldCharType="end"/>
      </w:r>
      <w:r w:rsidRPr="00366D5C">
        <w:t>). Rainfall is predominantly in the summer and temperatures range between a summer maximum of 32</w:t>
      </w:r>
      <w:r>
        <w:t> °C</w:t>
      </w:r>
      <w:r w:rsidRPr="00366D5C">
        <w:t xml:space="preserve"> (January) and a winter minimum of 9</w:t>
      </w:r>
      <w:r>
        <w:t> °C</w:t>
      </w:r>
      <w:r w:rsidRPr="00366D5C">
        <w:t xml:space="preserve"> </w:t>
      </w:r>
      <w:r>
        <w:t>(</w:t>
      </w:r>
      <w:r w:rsidR="00EE5DC5">
        <w:t>July). Large</w:t>
      </w:r>
      <w:r w:rsidR="00EE5DC5">
        <w:noBreakHyphen/>
      </w:r>
      <w:r w:rsidRPr="00366D5C">
        <w:t xml:space="preserve">volume flood events in the Fitzroy basin are produced by intense but short-lived rainfall events linked to summer monsoonal or cyclonic depressions. These floods inundate large areas of the floodplain and take considerable time to discharge through the Fitzroy River system into Keppel Bay (Devlin </w:t>
      </w:r>
      <w:r w:rsidRPr="007B6C0C">
        <w:rPr>
          <w:rStyle w:val="Bodytextitalic"/>
        </w:rPr>
        <w:t>et al.,</w:t>
      </w:r>
      <w:r w:rsidRPr="00366D5C">
        <w:t xml:space="preserve"> 2001; Kelly and Wong, 1996). The tides within Keppel Bay are semi-diurnal, and feature a spring tidal range of 5 m (macrotidal), with a neap tidal range of approximately half this (Hekel, 1980). The oceanography along the adjacent continental shelf is dominated by the southward flowing East Australian Current (EAC). Using sea surface drifters, Woodhead (1970) showed that the EAC is partly deflected into the Capricorn Channel forming a clockwise gyre (</w:t>
      </w:r>
      <w:r w:rsidR="00DF77DB">
        <w:fldChar w:fldCharType="begin"/>
      </w:r>
      <w:r w:rsidR="00DF77DB">
        <w:instrText xml:space="preserve"> REF _Ref354561968 \h </w:instrText>
      </w:r>
      <w:r w:rsidR="00DF77DB">
        <w:fldChar w:fldCharType="separate"/>
      </w:r>
      <w:r w:rsidR="00413858">
        <w:t xml:space="preserve">Appendix Figure </w:t>
      </w:r>
      <w:r w:rsidR="00413858">
        <w:rPr>
          <w:noProof/>
        </w:rPr>
        <w:t>D</w:t>
      </w:r>
      <w:r w:rsidR="00413858">
        <w:t>.</w:t>
      </w:r>
      <w:r w:rsidR="00413858">
        <w:rPr>
          <w:noProof/>
        </w:rPr>
        <w:t>3</w:t>
      </w:r>
      <w:r w:rsidR="00DF77DB">
        <w:fldChar w:fldCharType="end"/>
      </w:r>
      <w:r w:rsidRPr="00366D5C">
        <w:t>). A time-series dataset of NOAA-9 AVHRR satellite imagery has shown that the EAC follows the 200 m contour until it reaches the Capricorn Channel (Kleypas and Burrage, 1994). Annual variation in regional oceanographic conditions result in the EAC either following the slope contour westward along the shelf, or flowing directly south until it hits the shelf break near Fraser Island (</w:t>
      </w:r>
      <w:r w:rsidR="00DF77DB">
        <w:fldChar w:fldCharType="begin"/>
      </w:r>
      <w:r w:rsidR="00DF77DB">
        <w:instrText xml:space="preserve"> REF _Ref354561968 \h </w:instrText>
      </w:r>
      <w:r w:rsidR="00DF77DB">
        <w:fldChar w:fldCharType="separate"/>
      </w:r>
      <w:r w:rsidR="00413858">
        <w:t xml:space="preserve">Appendix Figure </w:t>
      </w:r>
      <w:r w:rsidR="00413858">
        <w:rPr>
          <w:noProof/>
        </w:rPr>
        <w:t>D</w:t>
      </w:r>
      <w:r w:rsidR="00413858">
        <w:t>.</w:t>
      </w:r>
      <w:r w:rsidR="00413858">
        <w:rPr>
          <w:noProof/>
        </w:rPr>
        <w:t>3</w:t>
      </w:r>
      <w:r w:rsidR="00DF77DB">
        <w:fldChar w:fldCharType="end"/>
      </w:r>
      <w:r w:rsidRPr="00366D5C">
        <w:t>). During periods of southward flow, the current tends to bifurcate, producing a southern current that continues along the coast and a northern component that becomes a cyclonic eddy within the Capricorn Channel. Satellite imagery also shows much cooler waters occur along the shelf edge and possibly the result of upwelling events that bring cooler water from depth onto the shelf, coolest in Hervey Bay</w:t>
      </w:r>
      <w:r>
        <w:t>.</w:t>
      </w:r>
      <w:r w:rsidRPr="00366D5C">
        <w:t xml:space="preserve"> This cold upwelling water is considered to be important source of nutrients to the southern G</w:t>
      </w:r>
      <w:r>
        <w:t>reat Barrier Reef</w:t>
      </w:r>
      <w:r w:rsidRPr="00366D5C">
        <w:t xml:space="preserve"> and coastal region</w:t>
      </w:r>
      <w:r>
        <w:t>.</w:t>
      </w:r>
      <w:r w:rsidRPr="00366D5C">
        <w:t xml:space="preserve"> The cool, nutrient-rich water extends as far north as Cape Clinton, and is probably transported by wind</w:t>
      </w:r>
      <w:r>
        <w:t xml:space="preserve"> </w:t>
      </w:r>
      <w:r w:rsidRPr="00366D5C">
        <w:t xml:space="preserve">driven longshore currents. In addition, cold water </w:t>
      </w:r>
      <w:r w:rsidRPr="00366D5C">
        <w:lastRenderedPageBreak/>
        <w:t>jets have been observed at Cape Clinton heading back into the Capricorn Channel (Kleypas and Burrage, 1994).</w:t>
      </w:r>
    </w:p>
    <w:p w:rsidR="00DF77DB" w:rsidRDefault="008237BB" w:rsidP="00253307">
      <w:pPr>
        <w:pStyle w:val="Figuresandimagesleft"/>
      </w:pPr>
      <w:r>
        <w:rPr>
          <w:noProof/>
        </w:rPr>
        <w:drawing>
          <wp:inline distT="0" distB="0" distL="0" distR="0" wp14:anchorId="59CF6A4E" wp14:editId="052E055C">
            <wp:extent cx="5400675" cy="4657725"/>
            <wp:effectExtent l="19050" t="19050" r="28575" b="28575"/>
            <wp:docPr id="10" name="Picture 10" descr="This figure is a location map showing the location of Keppel Bay, the outlet of the Fitztroy River, on the Central Queensland coast. The base map, Landsat image, shows the sediment being deliverived from the river mouth to Keppel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his figure is a location map showing the location of Keppel Bay, the outlet of the Fitztroy River, on the Central Queensland coast. The base map, Landsat image, shows the sediment being deliverived from the river mouth to Keppel Bay."/>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00675" cy="4657725"/>
                    </a:xfrm>
                    <a:prstGeom prst="rect">
                      <a:avLst/>
                    </a:prstGeom>
                    <a:noFill/>
                    <a:ln w="6350" cmpd="sng">
                      <a:solidFill>
                        <a:srgbClr val="000000"/>
                      </a:solidFill>
                      <a:miter lim="800000"/>
                      <a:headEnd/>
                      <a:tailEnd/>
                    </a:ln>
                    <a:effectLst/>
                  </pic:spPr>
                </pic:pic>
              </a:graphicData>
            </a:graphic>
          </wp:inline>
        </w:drawing>
      </w:r>
      <w:bookmarkStart w:id="4798" w:name="_Ref350339500"/>
      <w:bookmarkStart w:id="4799" w:name="_Toc342638683"/>
      <w:bookmarkStart w:id="4800" w:name="_Toc349055213"/>
      <w:bookmarkStart w:id="4801" w:name="_Toc349055876"/>
      <w:bookmarkStart w:id="4802" w:name="_Toc349114961"/>
      <w:bookmarkStart w:id="4803" w:name="_Toc349115191"/>
      <w:bookmarkStart w:id="4804" w:name="_Toc349115768"/>
      <w:bookmarkStart w:id="4805" w:name="_Toc350325349"/>
      <w:bookmarkStart w:id="4806" w:name="_Toc350325624"/>
      <w:bookmarkStart w:id="4807" w:name="_Toc350327048"/>
      <w:bookmarkStart w:id="4808" w:name="_Toc350327326"/>
      <w:bookmarkStart w:id="4809" w:name="_Toc350330273"/>
      <w:bookmarkStart w:id="4810" w:name="_Toc350339855"/>
      <w:bookmarkStart w:id="4811" w:name="_Toc350341528"/>
      <w:bookmarkStart w:id="4812" w:name="_Toc350341682"/>
      <w:bookmarkStart w:id="4813" w:name="_Toc351449967"/>
      <w:bookmarkStart w:id="4814" w:name="_Toc352242350"/>
      <w:bookmarkStart w:id="4815" w:name="_Toc352243778"/>
      <w:bookmarkStart w:id="4816" w:name="_Toc352243909"/>
      <w:bookmarkStart w:id="4817" w:name="_Toc352244549"/>
      <w:bookmarkStart w:id="4818" w:name="_Toc354403655"/>
      <w:bookmarkStart w:id="4819" w:name="_Toc354476660"/>
      <w:bookmarkStart w:id="4820" w:name="_Toc354493417"/>
      <w:bookmarkStart w:id="4821" w:name="_Toc354493546"/>
      <w:bookmarkStart w:id="4822" w:name="_Toc354493958"/>
      <w:bookmarkStart w:id="4823" w:name="_Toc354494830"/>
      <w:bookmarkStart w:id="4824" w:name="_Toc354497574"/>
      <w:bookmarkStart w:id="4825" w:name="_Toc354497646"/>
    </w:p>
    <w:p w:rsidR="00DF77DB" w:rsidRDefault="00DF77DB" w:rsidP="00DF77DB">
      <w:pPr>
        <w:pStyle w:val="Caption"/>
      </w:pPr>
      <w:bookmarkStart w:id="4826" w:name="_Ref354561927"/>
      <w:bookmarkStart w:id="4827" w:name="_Toc354561237"/>
      <w:bookmarkStart w:id="4828" w:name="_Toc354561421"/>
      <w:bookmarkStart w:id="4829" w:name="_Toc354561493"/>
      <w:bookmarkStart w:id="4830" w:name="_Toc354561565"/>
      <w:r>
        <w:t xml:space="preserve">Appendix Figure </w:t>
      </w:r>
      <w:r w:rsidR="007F11CF">
        <w:fldChar w:fldCharType="begin"/>
      </w:r>
      <w:r w:rsidR="007F11CF">
        <w:instrText xml:space="preserve"> STYLEREF 9 \s </w:instrText>
      </w:r>
      <w:r w:rsidR="007F11CF">
        <w:fldChar w:fldCharType="separate"/>
      </w:r>
      <w:r w:rsidR="00413858">
        <w:rPr>
          <w:noProof/>
        </w:rPr>
        <w:t>D</w:t>
      </w:r>
      <w:r w:rsidR="007F11CF">
        <w:rPr>
          <w:noProof/>
        </w:rPr>
        <w:fldChar w:fldCharType="end"/>
      </w:r>
      <w:r w:rsidR="00162079">
        <w:t>.</w:t>
      </w:r>
      <w:r w:rsidR="007F11CF">
        <w:fldChar w:fldCharType="begin"/>
      </w:r>
      <w:r w:rsidR="007F11CF">
        <w:instrText xml:space="preserve"> SEQ Ap</w:instrText>
      </w:r>
      <w:r w:rsidR="007F11CF">
        <w:instrText xml:space="preserve">pendix_Figure \* ARABIC \s 9 </w:instrText>
      </w:r>
      <w:r w:rsidR="007F11CF">
        <w:fldChar w:fldCharType="separate"/>
      </w:r>
      <w:r w:rsidR="00413858">
        <w:rPr>
          <w:noProof/>
        </w:rPr>
        <w:t>1</w:t>
      </w:r>
      <w:r w:rsidR="007F11CF">
        <w:rPr>
          <w:noProof/>
        </w:rPr>
        <w:fldChar w:fldCharType="end"/>
      </w:r>
      <w:bookmarkEnd w:id="4826"/>
      <w:r>
        <w:t xml:space="preserve">. </w:t>
      </w:r>
      <w:r w:rsidRPr="004B379B">
        <w:t>Keppel Bay and the Fitzroy River on the coast of the south-east Queensland. The base map is a Landsat ETM+ image, acquired 24/5/2003, Copyright © Commonwealth of Australia, 2003 (Source: Ryan et al., 2009).</w:t>
      </w:r>
      <w:bookmarkEnd w:id="4827"/>
      <w:bookmarkEnd w:id="4828"/>
      <w:bookmarkEnd w:id="4829"/>
      <w:bookmarkEnd w:id="4830"/>
    </w:p>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p w:rsidR="008237BB" w:rsidRDefault="008237BB" w:rsidP="00253307">
      <w:pPr>
        <w:pStyle w:val="Figuresandimagesleft"/>
      </w:pPr>
      <w:r>
        <w:rPr>
          <w:noProof/>
        </w:rPr>
        <w:lastRenderedPageBreak/>
        <w:drawing>
          <wp:inline distT="0" distB="0" distL="0" distR="0" wp14:anchorId="519057CA" wp14:editId="2984B128">
            <wp:extent cx="5400675" cy="3857625"/>
            <wp:effectExtent l="0" t="0" r="9525" b="9525"/>
            <wp:docPr id="9" name="Picture 9" descr="This figure shows the bathymetry of Keppel Bay, recorded wave heights (November 2003 to August 2004), wind frequency analysis (wet season (October to April) and dry season (May to September), and the Fitzroy River discharge from 1970 to 2007.&#10;&#10;The bathymetry in Keppel Bay ranges from 0 to 2 m at the mouth of the Fitzroy River and along the beachs to 20 to 30 m approximately 30 km offshore, past Great Keppel Island.&#10;&#10;The recoreded wave heights show peaks and troughs with a significant wave height ranging between 0.2 m  and 3 m.&#10;&#10;The wind frequency analysis shows that the dominant wind direction is from the south-east (approximately 42% and 35% for wet and dry season respectively) with an approximate average wind speed of 30 km/h and 25 km/h for the wet and dry season respectively. For the wet season the next strongest wind direction is from the east (approximatel frequency of15% and wind speed of 25 km/h) with calm conditions then accounting for 13% of the time and the remaining wind directions all being less than 10%. For the dry season the next dominant wind direction is from the south (approximate 12% frequency and 25 km/h wind speed) with calm conditions accounting for 29% of the time and the remaining wind directions being less than 10%.&#10;&#10;The Fitzroy River discharge records show annual discharge for the period of 1970 to 1979 to be around 2 000 000 litres per year with periodic tropical cyclone events (five in this period) ranging from 4 000 000 litres per year to 8 000 000 litres per year. Following 1980 the annual discharge drops to less than 2 000 000 litres per year often being half this figure until the end of the record. From 1980 to 2007 there are 8 years where a tropical cyclone occurs but only two exceeding 4 000 000 litres per year (reaching approximately 10 000 000 and 15 000 000 litres per year and being the largest in this record). The estimated discharge required for sand transport is approximately 5 000 000 litres per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This figure shows the bathymetry of Keppel Bay, recorded wave heights (November 2003 to August 2004), wind frequency analysis (wet season (October to April) and dry season (May to September), and the Fitzroy River discharge from 1970 to 2007.&#10;&#10;The bathymetry in Keppel Bay ranges from 0 to 2 m at the mouth of the Fitzroy River and along the beachs to 20 to 30 m approximately 30 km offshore, past Great Keppel Island.&#10;&#10;The recoreded wave heights show peaks and troughs with a significant wave height ranging between 0.2 m  and 3 m.&#10;&#10;The wind frequency analysis shows that the dominant wind direction is from the south-east (approximately 42% and 35% for wet and dry season respectively) with an approximate average wind speed of 30 km/h and 25 km/h for the wet and dry season respectively. For the wet season the next strongest wind direction is from the east (approximatel frequency of15% and wind speed of 25 km/h) with calm conditions then accounting for 13% of the time and the remaining wind directions all being less than 10%. For the dry season the next dominant wind direction is from the south (approximate 12% frequency and 25 km/h wind speed) with calm conditions accounting for 29% of the time and the remaining wind directions being less than 10%.&#10;&#10;The Fitzroy River discharge records show annual discharge for the period of 1970 to 1979 to be around 2 000 000 litres per year with periodic tropical cyclone events (five in this period) ranging from 4 000 000 litres per year to 8 000 000 litres per year. Following 1980 the annual discharge drops to less than 2 000 000 litres per year often being half this figure until the end of the record. From 1980 to 2007 there are 8 years where a tropical cyclone occurs but only two exceeding 4 000 000 litres per year (reaching approximately 10 000 000 and 15 000 000 litres per year and being the largest in this record). The estimated discharge required for sand transport is approximately 5 000 000 litres per year."/>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400675" cy="3857625"/>
                    </a:xfrm>
                    <a:prstGeom prst="rect">
                      <a:avLst/>
                    </a:prstGeom>
                    <a:noFill/>
                    <a:ln>
                      <a:noFill/>
                    </a:ln>
                  </pic:spPr>
                </pic:pic>
              </a:graphicData>
            </a:graphic>
          </wp:inline>
        </w:drawing>
      </w:r>
    </w:p>
    <w:p w:rsidR="008237BB" w:rsidRDefault="00414D8E" w:rsidP="008237BB">
      <w:pPr>
        <w:pStyle w:val="Caption"/>
        <w:keepNext/>
      </w:pPr>
      <w:bookmarkStart w:id="4831" w:name="_Ref350339514"/>
      <w:bookmarkStart w:id="4832" w:name="_Toc342638684"/>
      <w:bookmarkStart w:id="4833" w:name="_Toc349055214"/>
      <w:bookmarkStart w:id="4834" w:name="_Toc349055877"/>
      <w:bookmarkStart w:id="4835" w:name="_Toc349114962"/>
      <w:bookmarkStart w:id="4836" w:name="_Toc349115192"/>
      <w:bookmarkStart w:id="4837" w:name="_Toc349115769"/>
      <w:bookmarkStart w:id="4838" w:name="_Toc350325350"/>
      <w:bookmarkStart w:id="4839" w:name="_Toc350325625"/>
      <w:bookmarkStart w:id="4840" w:name="_Toc350327049"/>
      <w:bookmarkStart w:id="4841" w:name="_Toc350327327"/>
      <w:bookmarkStart w:id="4842" w:name="_Toc350330274"/>
      <w:bookmarkStart w:id="4843" w:name="_Toc350339856"/>
      <w:bookmarkStart w:id="4844" w:name="_Toc350341529"/>
      <w:bookmarkStart w:id="4845" w:name="_Toc350341683"/>
      <w:bookmarkStart w:id="4846" w:name="_Toc351449968"/>
      <w:bookmarkStart w:id="4847" w:name="_Toc352242351"/>
      <w:bookmarkStart w:id="4848" w:name="_Toc352243779"/>
      <w:bookmarkStart w:id="4849" w:name="_Toc352243910"/>
      <w:bookmarkStart w:id="4850" w:name="_Toc352244550"/>
      <w:bookmarkStart w:id="4851" w:name="_Toc354403656"/>
      <w:bookmarkStart w:id="4852" w:name="_Toc354476661"/>
      <w:bookmarkStart w:id="4853" w:name="_Toc354493418"/>
      <w:bookmarkStart w:id="4854" w:name="_Toc354493547"/>
      <w:bookmarkStart w:id="4855" w:name="_Toc354493959"/>
      <w:bookmarkStart w:id="4856" w:name="_Toc354494831"/>
      <w:bookmarkStart w:id="4857" w:name="_Toc354497575"/>
      <w:bookmarkStart w:id="4858" w:name="_Toc354497647"/>
      <w:bookmarkStart w:id="4859" w:name="_Toc354561238"/>
      <w:bookmarkStart w:id="4860" w:name="_Toc354561422"/>
      <w:bookmarkStart w:id="4861" w:name="_Toc354561494"/>
      <w:bookmarkStart w:id="4862" w:name="_Toc354561566"/>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D</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2</w:t>
      </w:r>
      <w:r w:rsidR="007F11CF">
        <w:rPr>
          <w:noProof/>
        </w:rPr>
        <w:fldChar w:fldCharType="end"/>
      </w:r>
      <w:bookmarkEnd w:id="4831"/>
      <w:r w:rsidR="008237BB">
        <w:t xml:space="preserve">. </w:t>
      </w:r>
      <w:r w:rsidR="008237BB" w:rsidRPr="004B379B">
        <w:t xml:space="preserve">The Fitzroy River estuary and Keppel Bay bathymetry. D.Wave heights recorded by a wave rider buoy in outer Keppel Bay (Queensland Environmental Protection Agency, 2005). E. Wind records for Rockhampton, 50 km W of Long Beach (Bureau of Meteorology). F. Fitzroy River discharge between 1970 and 2007. Also indicated is the discharge required for sand export to Keppel Bay (dashed line), and flood events produced by tropical cyclones (data from Queensland Department of Natural Resources and Water, Rockhampton) (source Brooke </w:t>
      </w:r>
      <w:r w:rsidR="004B379B">
        <w:t>et al.</w:t>
      </w:r>
      <w:r w:rsidR="008237BB" w:rsidRPr="004B379B">
        <w:t>, 2008).</w:t>
      </w:r>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p>
    <w:p w:rsidR="008237BB" w:rsidRPr="00222C7F" w:rsidRDefault="008237BB" w:rsidP="00935848">
      <w:pPr>
        <w:pStyle w:val="Headingappendix3"/>
      </w:pPr>
      <w:bookmarkStart w:id="4863" w:name="_Toc341445301"/>
      <w:bookmarkStart w:id="4864" w:name="_Toc342638531"/>
      <w:bookmarkStart w:id="4865" w:name="_Toc346261031"/>
      <w:bookmarkStart w:id="4866" w:name="_Toc346632593"/>
      <w:bookmarkStart w:id="4867" w:name="_Toc346632806"/>
      <w:bookmarkStart w:id="4868" w:name="_Toc346632918"/>
      <w:bookmarkStart w:id="4869" w:name="_Toc346633030"/>
      <w:bookmarkStart w:id="4870" w:name="_Toc346633254"/>
      <w:bookmarkStart w:id="4871" w:name="_Toc347401687"/>
      <w:bookmarkStart w:id="4872" w:name="_Toc347401799"/>
      <w:bookmarkStart w:id="4873" w:name="_Toc347401911"/>
      <w:bookmarkStart w:id="4874" w:name="_Toc347402135"/>
      <w:bookmarkStart w:id="4875" w:name="_Toc347402528"/>
      <w:bookmarkStart w:id="4876" w:name="_Toc349055101"/>
      <w:bookmarkStart w:id="4877" w:name="_Toc349055316"/>
      <w:bookmarkStart w:id="4878" w:name="_Toc349055429"/>
      <w:bookmarkStart w:id="4879" w:name="_Toc349055542"/>
      <w:bookmarkStart w:id="4880" w:name="_Toc349055768"/>
      <w:bookmarkStart w:id="4881" w:name="_Toc349117011"/>
      <w:bookmarkStart w:id="4882" w:name="_Toc350330094"/>
      <w:bookmarkStart w:id="4883" w:name="_Toc350344073"/>
      <w:bookmarkStart w:id="4884" w:name="_Toc354402065"/>
      <w:bookmarkStart w:id="4885" w:name="_Toc354476562"/>
      <w:bookmarkStart w:id="4886" w:name="_Toc354492791"/>
      <w:bookmarkStart w:id="4887" w:name="_Toc354492912"/>
      <w:bookmarkStart w:id="4888" w:name="_Toc354493038"/>
      <w:bookmarkStart w:id="4889" w:name="_Toc354493169"/>
      <w:bookmarkStart w:id="4890" w:name="_Toc354493330"/>
      <w:bookmarkStart w:id="4891" w:name="_Toc354493781"/>
      <w:bookmarkStart w:id="4892" w:name="_Toc354494316"/>
      <w:bookmarkStart w:id="4893" w:name="_Toc354494746"/>
      <w:bookmarkStart w:id="4894" w:name="_Toc354495040"/>
      <w:bookmarkStart w:id="4895" w:name="_Toc354497922"/>
      <w:bookmarkStart w:id="4896" w:name="_Toc354561337"/>
      <w:bookmarkStart w:id="4897" w:name="_Toc355164253"/>
      <w:bookmarkStart w:id="4898" w:name="_Toc355249678"/>
      <w:r w:rsidRPr="00222C7F">
        <w:t>The Capricorn Channel and southern Great Barrier Reef</w:t>
      </w:r>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p>
    <w:p w:rsidR="008237BB" w:rsidRDefault="008237BB" w:rsidP="00797F73">
      <w:pPr>
        <w:pStyle w:val="BodyText"/>
      </w:pPr>
      <w:r w:rsidRPr="00C7487D">
        <w:t>A major survey of the marine geology of the Capricorn Channel and region adjacent to Keppel Bay was undertaken by Marshall (1977), and identified high quartz and feldspar sediments in outer Keppel Bay and to the east of Great Keppel Island. These sediments were classified as terrigenous sands (in the north of Keppel Bay) and mixed marine and terrigenous sands (in the south of Keppel Bay).</w:t>
      </w:r>
    </w:p>
    <w:p w:rsidR="00DF77DB" w:rsidRDefault="008237BB" w:rsidP="00253307">
      <w:pPr>
        <w:pStyle w:val="Figuresandimagescentred"/>
      </w:pPr>
      <w:r>
        <w:rPr>
          <w:noProof/>
        </w:rPr>
        <w:lastRenderedPageBreak/>
        <w:drawing>
          <wp:inline distT="0" distB="0" distL="0" distR="0" wp14:anchorId="628D1E07" wp14:editId="5AC5CBDB">
            <wp:extent cx="5400675" cy="6915150"/>
            <wp:effectExtent l="0" t="0" r="9525" b="0"/>
            <wp:docPr id="8" name="Picture 8" descr="This figure shows the warm East Australia Channel coming in from the northh to the eastern side of the Swain Reefs (approximately 250 km offshore of Cape Clinton) and cycling in a clockwise direction around the 120 m isob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his figure shows the warm East Australia Channel coming in from the northh to the eastern side of the Swain Reefs (approximately 250 km offshore of Cape Clinton) and cycling in a clockwise direction around the 120 m isobath"/>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00675" cy="6915150"/>
                    </a:xfrm>
                    <a:prstGeom prst="rect">
                      <a:avLst/>
                    </a:prstGeom>
                    <a:noFill/>
                    <a:ln>
                      <a:noFill/>
                    </a:ln>
                  </pic:spPr>
                </pic:pic>
              </a:graphicData>
            </a:graphic>
          </wp:inline>
        </w:drawing>
      </w:r>
      <w:bookmarkStart w:id="4899" w:name="_Toc342638685"/>
      <w:bookmarkStart w:id="4900" w:name="_Toc345338356"/>
      <w:bookmarkStart w:id="4901" w:name="_Toc349055215"/>
      <w:bookmarkStart w:id="4902" w:name="_Toc349055878"/>
      <w:bookmarkStart w:id="4903" w:name="_Toc349114963"/>
      <w:bookmarkStart w:id="4904" w:name="_Toc349115193"/>
      <w:bookmarkStart w:id="4905" w:name="_Toc349115770"/>
      <w:bookmarkStart w:id="4906" w:name="_Toc350325351"/>
      <w:bookmarkStart w:id="4907" w:name="_Toc350325626"/>
    </w:p>
    <w:p w:rsidR="008237BB" w:rsidRDefault="00DF77DB" w:rsidP="00DF77DB">
      <w:pPr>
        <w:pStyle w:val="Caption"/>
      </w:pPr>
      <w:bookmarkStart w:id="4908" w:name="_Ref354561968"/>
      <w:bookmarkStart w:id="4909" w:name="_Toc354561239"/>
      <w:bookmarkStart w:id="4910" w:name="_Toc354561423"/>
      <w:bookmarkStart w:id="4911" w:name="_Toc354561495"/>
      <w:bookmarkStart w:id="4912" w:name="_Toc354561567"/>
      <w:r>
        <w:t xml:space="preserve">Appendix Figure </w:t>
      </w:r>
      <w:r w:rsidR="007F11CF">
        <w:fldChar w:fldCharType="begin"/>
      </w:r>
      <w:r w:rsidR="007F11CF">
        <w:instrText xml:space="preserve"> STYLEREF 9 \s </w:instrText>
      </w:r>
      <w:r w:rsidR="007F11CF">
        <w:fldChar w:fldCharType="separate"/>
      </w:r>
      <w:r w:rsidR="00413858">
        <w:rPr>
          <w:noProof/>
        </w:rPr>
        <w:t>D</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3</w:t>
      </w:r>
      <w:r w:rsidR="007F11CF">
        <w:rPr>
          <w:noProof/>
        </w:rPr>
        <w:fldChar w:fldCharType="end"/>
      </w:r>
      <w:bookmarkEnd w:id="4908"/>
      <w:r>
        <w:t xml:space="preserve">. </w:t>
      </w:r>
      <w:r w:rsidRPr="006B24B4">
        <w:t>Summary map of bathymetry, water masses and circulation in the study region, with the -120 m isobath indicated (Imagery: Landsat MSS, Copyright © Commonwealth of Australia). The unbroken black line indicates the 120 m isobath. Wind frequency analysis are provided for Rockhampton, 1939-2004, for the wet season (October to April, 3pm) and the dry season (May to September, 3pm; Bureau of Meteorology, June 2005). Bathymetry after Webster and Petkovic (2005) (source: Ryan et al., 2009).</w:t>
      </w:r>
      <w:bookmarkEnd w:id="4909"/>
      <w:bookmarkEnd w:id="4910"/>
      <w:bookmarkEnd w:id="4911"/>
      <w:bookmarkEnd w:id="4912"/>
    </w:p>
    <w:bookmarkEnd w:id="4899"/>
    <w:bookmarkEnd w:id="4900"/>
    <w:bookmarkEnd w:id="4901"/>
    <w:bookmarkEnd w:id="4902"/>
    <w:bookmarkEnd w:id="4903"/>
    <w:bookmarkEnd w:id="4904"/>
    <w:bookmarkEnd w:id="4905"/>
    <w:bookmarkEnd w:id="4906"/>
    <w:bookmarkEnd w:id="4907"/>
    <w:p w:rsidR="008237BB" w:rsidRDefault="008237BB" w:rsidP="008237BB">
      <w:pPr>
        <w:pStyle w:val="BodyText"/>
      </w:pPr>
      <w:r w:rsidRPr="00C7487D">
        <w:t>Although the seabed of the Capricorn Channel is mainly flat, both symmetrical and asymmetrical</w:t>
      </w:r>
      <w:r>
        <w:t xml:space="preserve"> </w:t>
      </w:r>
      <w:r w:rsidRPr="00C7487D">
        <w:t>sediment dunes comprising 90% quartz sand occur at a water depth of 60-80 m. These features were</w:t>
      </w:r>
      <w:r>
        <w:t xml:space="preserve"> </w:t>
      </w:r>
      <w:r w:rsidRPr="00C7487D">
        <w:t xml:space="preserve">probably formed by tidal currents during a period of lower sea level (Marshall, 1977). Evidence of </w:t>
      </w:r>
      <w:r>
        <w:t>p</w:t>
      </w:r>
      <w:r w:rsidRPr="00C7487D">
        <w:t>re</w:t>
      </w:r>
      <w:r w:rsidR="0073602D">
        <w:noBreakHyphen/>
      </w:r>
      <w:r w:rsidRPr="00C7487D">
        <w:t>Holocene shorelines with mangrove rootlets, a series of drowned reefal shoals and banks</w:t>
      </w:r>
      <w:r>
        <w:t xml:space="preserve"> </w:t>
      </w:r>
      <w:r>
        <w:lastRenderedPageBreak/>
        <w:t>e</w:t>
      </w:r>
      <w:r w:rsidRPr="00C7487D">
        <w:t>xtending northwest from the Capricorn Group of reefs, and ooids</w:t>
      </w:r>
      <w:r>
        <w:t xml:space="preserve"> (16 800 cal. yrs BP) were also r</w:t>
      </w:r>
      <w:r w:rsidRPr="00C7487D">
        <w:t xml:space="preserve">eported from depths of 100-120 m (Marshall and Davies, 1975; </w:t>
      </w:r>
      <w:r>
        <w:t xml:space="preserve">Yokoyama </w:t>
      </w:r>
      <w:r w:rsidRPr="007B6C0C">
        <w:rPr>
          <w:rStyle w:val="Bodytextitalic"/>
        </w:rPr>
        <w:t>et al.,</w:t>
      </w:r>
      <w:r>
        <w:t xml:space="preserve"> 2006). Maxwell</w:t>
      </w:r>
      <w:r w:rsidR="000871C1">
        <w:t xml:space="preserve"> </w:t>
      </w:r>
      <w:r w:rsidRPr="00C7487D">
        <w:t>channels cut to a base level of 64 m, corresponding to a Pleistocene low sea-level. These are probably the palaeochannels of the Mary, Burrum and Elliott Rivers (Marshall, 1977). Marshall</w:t>
      </w:r>
      <w:r>
        <w:t xml:space="preserve"> </w:t>
      </w:r>
      <w:r w:rsidRPr="00C7487D">
        <w:t>(1977) also suggested that during the glacial lowstand, the Fitzroy River meandered northeast across the shelf before being diverted down the Capricorn Channel.</w:t>
      </w:r>
    </w:p>
    <w:p w:rsidR="008237BB" w:rsidRPr="00222C7F" w:rsidRDefault="008237BB" w:rsidP="00935848">
      <w:pPr>
        <w:pStyle w:val="Headingappendix3"/>
      </w:pPr>
      <w:bookmarkStart w:id="4913" w:name="_Toc341445302"/>
      <w:bookmarkStart w:id="4914" w:name="_Toc342638532"/>
      <w:bookmarkStart w:id="4915" w:name="_Toc346261032"/>
      <w:bookmarkStart w:id="4916" w:name="_Toc346632594"/>
      <w:bookmarkStart w:id="4917" w:name="_Toc346632807"/>
      <w:bookmarkStart w:id="4918" w:name="_Toc346632919"/>
      <w:bookmarkStart w:id="4919" w:name="_Toc346633031"/>
      <w:bookmarkStart w:id="4920" w:name="_Toc346633255"/>
      <w:bookmarkStart w:id="4921" w:name="_Toc347401688"/>
      <w:bookmarkStart w:id="4922" w:name="_Toc347401800"/>
      <w:bookmarkStart w:id="4923" w:name="_Toc347401912"/>
      <w:bookmarkStart w:id="4924" w:name="_Toc347402136"/>
      <w:bookmarkStart w:id="4925" w:name="_Toc347402529"/>
      <w:bookmarkStart w:id="4926" w:name="_Toc349055102"/>
      <w:bookmarkStart w:id="4927" w:name="_Toc349055317"/>
      <w:bookmarkStart w:id="4928" w:name="_Toc349055430"/>
      <w:bookmarkStart w:id="4929" w:name="_Toc349055543"/>
      <w:bookmarkStart w:id="4930" w:name="_Toc349055769"/>
      <w:bookmarkStart w:id="4931" w:name="_Toc349117012"/>
      <w:bookmarkStart w:id="4932" w:name="_Toc350330095"/>
      <w:bookmarkStart w:id="4933" w:name="_Toc350344074"/>
      <w:bookmarkStart w:id="4934" w:name="_Toc354402066"/>
      <w:bookmarkStart w:id="4935" w:name="_Toc354476563"/>
      <w:bookmarkStart w:id="4936" w:name="_Toc354492792"/>
      <w:bookmarkStart w:id="4937" w:name="_Toc354492913"/>
      <w:bookmarkStart w:id="4938" w:name="_Toc354493039"/>
      <w:bookmarkStart w:id="4939" w:name="_Toc354493170"/>
      <w:bookmarkStart w:id="4940" w:name="_Toc354493331"/>
      <w:bookmarkStart w:id="4941" w:name="_Toc354493782"/>
      <w:bookmarkStart w:id="4942" w:name="_Toc354494317"/>
      <w:bookmarkStart w:id="4943" w:name="_Toc354494747"/>
      <w:bookmarkStart w:id="4944" w:name="_Toc354495041"/>
      <w:bookmarkStart w:id="4945" w:name="_Toc354497923"/>
      <w:bookmarkStart w:id="4946" w:name="_Toc354561338"/>
      <w:bookmarkStart w:id="4947" w:name="_Toc355164254"/>
      <w:bookmarkStart w:id="4948" w:name="_Toc355249679"/>
      <w:r w:rsidRPr="00222C7F">
        <w:t>Geomorphology and bathymetry of Keppel Bay</w:t>
      </w:r>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p>
    <w:p w:rsidR="008237BB" w:rsidRDefault="008237BB" w:rsidP="008237BB">
      <w:pPr>
        <w:pStyle w:val="BodyText"/>
      </w:pPr>
      <w:r w:rsidRPr="00DD140D">
        <w:t xml:space="preserve">Keppel Bay is a semi-protected oceanic embayment located south of the widest part of the Queensland continental shelf (Marshall, 1977; Searle, 1978). The Capricorn coastal area bordering Keppel Bay is a drowned landscape, with prominent rocky headlands that divide low-lying stretches of beach dunes and strandplains. A previous geological investigation of Keppel Bay by Searle (1978) using a ‘boomer’ seismic profiling system </w:t>
      </w:r>
      <w:r>
        <w:t xml:space="preserve">found evidence </w:t>
      </w:r>
      <w:r w:rsidRPr="00DD140D">
        <w:t>that significant quantities of sediment have accumulated in Keppel Bay since the late Tertiary. Evidence of the sub-aerial erosion of the Pleistocene surface was also noted. In addition, a relatively thick Holocene sediment wedge has been deposited adjacent to the Fitzroy River estuary, which becomes thinner to the north. Searle (197</w:t>
      </w:r>
      <w:r>
        <w:t>8</w:t>
      </w:r>
      <w:r w:rsidRPr="00DD140D">
        <w:t>) suggested that fine sediments originating from the Fitzroy River may be advected as far north as Corio Bay (20 km north of Yeppoon). The southern portion of the study area is bordered by the bedrock hills of Curtis Island and expansive low gradient salt flats, mangroves, and tidal creek networks in the Port Alma region (</w:t>
      </w:r>
      <w:r w:rsidR="00DF77DB">
        <w:fldChar w:fldCharType="begin"/>
      </w:r>
      <w:r w:rsidR="00DF77DB">
        <w:instrText xml:space="preserve"> REF _Ref354562046 \h </w:instrText>
      </w:r>
      <w:r w:rsidR="00DF77DB">
        <w:fldChar w:fldCharType="separate"/>
      </w:r>
      <w:r w:rsidR="00413858">
        <w:t xml:space="preserve">Appendix Figure </w:t>
      </w:r>
      <w:r w:rsidR="00413858">
        <w:rPr>
          <w:noProof/>
        </w:rPr>
        <w:t>D</w:t>
      </w:r>
      <w:r w:rsidR="00413858">
        <w:t>.</w:t>
      </w:r>
      <w:r w:rsidR="00413858">
        <w:rPr>
          <w:noProof/>
        </w:rPr>
        <w:t>4</w:t>
      </w:r>
      <w:r w:rsidR="00DF77DB">
        <w:fldChar w:fldCharType="end"/>
      </w:r>
      <w:r w:rsidRPr="00DD140D">
        <w:t>), which form the Casuarina Basin (Murray, 1980). Significant brine deposits occur below the extensive mudflats and supratidal lowlands near Port Alma, Casuarina Island, and Balaclava Island (Laycock, 1980; Flood and Walbran, 1986). Numerous smaller rocky islands exist within the bay, most notably Humpy, Pelican, Divided and Wedge Islands in the north, and Girt, Quartz, Arch, Peak and Hummocky Islands in the south and south-east. Keppel Bay is bordered to the west by Long Beach, an elongate beach and beachridge</w:t>
      </w:r>
      <w:r>
        <w:t xml:space="preserve"> </w:t>
      </w:r>
      <w:r w:rsidRPr="00DD140D">
        <w:t>plain that extends northwards toward a series of rocky headlands.</w:t>
      </w:r>
    </w:p>
    <w:p w:rsidR="008237BB" w:rsidRPr="00222C7F" w:rsidRDefault="008237BB" w:rsidP="00935848">
      <w:pPr>
        <w:pStyle w:val="Headingappendix3"/>
      </w:pPr>
      <w:bookmarkStart w:id="4949" w:name="_Toc341445303"/>
      <w:bookmarkStart w:id="4950" w:name="_Toc342638533"/>
      <w:bookmarkStart w:id="4951" w:name="_Toc346261033"/>
      <w:bookmarkStart w:id="4952" w:name="_Toc346632595"/>
      <w:bookmarkStart w:id="4953" w:name="_Toc346632808"/>
      <w:bookmarkStart w:id="4954" w:name="_Toc346632920"/>
      <w:bookmarkStart w:id="4955" w:name="_Toc346633032"/>
      <w:bookmarkStart w:id="4956" w:name="_Toc346633256"/>
      <w:bookmarkStart w:id="4957" w:name="_Toc347401689"/>
      <w:bookmarkStart w:id="4958" w:name="_Toc347401801"/>
      <w:bookmarkStart w:id="4959" w:name="_Toc347401913"/>
      <w:bookmarkStart w:id="4960" w:name="_Toc347402137"/>
      <w:bookmarkStart w:id="4961" w:name="_Toc347402530"/>
      <w:bookmarkStart w:id="4962" w:name="_Toc349055103"/>
      <w:bookmarkStart w:id="4963" w:name="_Toc349055318"/>
      <w:bookmarkStart w:id="4964" w:name="_Toc349055431"/>
      <w:bookmarkStart w:id="4965" w:name="_Toc349055544"/>
      <w:bookmarkStart w:id="4966" w:name="_Toc349055770"/>
      <w:bookmarkStart w:id="4967" w:name="_Toc349117013"/>
      <w:bookmarkStart w:id="4968" w:name="_Toc350330096"/>
      <w:bookmarkStart w:id="4969" w:name="_Toc350344075"/>
      <w:bookmarkStart w:id="4970" w:name="_Toc354402067"/>
      <w:bookmarkStart w:id="4971" w:name="_Toc354476564"/>
      <w:bookmarkStart w:id="4972" w:name="_Toc354492793"/>
      <w:bookmarkStart w:id="4973" w:name="_Toc354492914"/>
      <w:bookmarkStart w:id="4974" w:name="_Toc354493040"/>
      <w:bookmarkStart w:id="4975" w:name="_Toc354493171"/>
      <w:bookmarkStart w:id="4976" w:name="_Toc354493332"/>
      <w:bookmarkStart w:id="4977" w:name="_Toc354493783"/>
      <w:bookmarkStart w:id="4978" w:name="_Toc354494318"/>
      <w:bookmarkStart w:id="4979" w:name="_Toc354494748"/>
      <w:bookmarkStart w:id="4980" w:name="_Toc354495042"/>
      <w:bookmarkStart w:id="4981" w:name="_Toc354497924"/>
      <w:bookmarkStart w:id="4982" w:name="_Toc354561339"/>
      <w:bookmarkStart w:id="4983" w:name="_Toc355164255"/>
      <w:bookmarkStart w:id="4984" w:name="_Toc355249680"/>
      <w:r>
        <w:t>Modern sediment Transport in Keppel Bay</w:t>
      </w:r>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p>
    <w:p w:rsidR="008237BB" w:rsidRDefault="008237BB" w:rsidP="008237BB">
      <w:pPr>
        <w:pStyle w:val="BodyText"/>
      </w:pPr>
      <w:r w:rsidRPr="00DD140D">
        <w:t xml:space="preserve">Keppel Bay contains both coarse (bedload) sediment and a proportion of the fine fraction of material deposited by the Fitzroy River (suspended sediment and nutrient inputs into and out of Keppel Bay have been examined in Radke </w:t>
      </w:r>
      <w:r w:rsidRPr="007B6C0C">
        <w:rPr>
          <w:rStyle w:val="Bodytextitalic"/>
        </w:rPr>
        <w:t xml:space="preserve">et al., </w:t>
      </w:r>
      <w:r w:rsidRPr="00DD140D">
        <w:t>2005). A comprehensive study of the modern</w:t>
      </w:r>
      <w:r>
        <w:t xml:space="preserve"> </w:t>
      </w:r>
      <w:r w:rsidRPr="00DD140D">
        <w:t>sediments and hydrodynamics of the southern Queensland coast including Keppel Bay was undertaken by the Queensland Government between 1976 and 1978 (Beach Protection Authority,</w:t>
      </w:r>
      <w:r>
        <w:t xml:space="preserve"> </w:t>
      </w:r>
      <w:r w:rsidRPr="00DD140D">
        <w:t xml:space="preserve">1979). The study found that large volumes </w:t>
      </w:r>
      <w:r>
        <w:t>(</w:t>
      </w:r>
      <w:r w:rsidRPr="00DD140D">
        <w:t>approximately 450</w:t>
      </w:r>
      <w:r>
        <w:t xml:space="preserve"> </w:t>
      </w:r>
      <w:r w:rsidRPr="00DD140D">
        <w:t>000 m</w:t>
      </w:r>
      <w:r w:rsidRPr="00055DCB">
        <w:rPr>
          <w:rStyle w:val="Superscript"/>
        </w:rPr>
        <w:t>3</w:t>
      </w:r>
      <w:r w:rsidRPr="00DD140D">
        <w:t xml:space="preserve"> yr</w:t>
      </w:r>
      <w:r w:rsidRPr="00055DCB">
        <w:rPr>
          <w:rStyle w:val="Superscript"/>
        </w:rPr>
        <w:t>-1</w:t>
      </w:r>
      <w:r>
        <w:t xml:space="preserve"> - </w:t>
      </w:r>
      <w:r w:rsidRPr="00DD140D">
        <w:t>median grain size 150 μm)</w:t>
      </w:r>
      <w:r>
        <w:t xml:space="preserve"> </w:t>
      </w:r>
      <w:r w:rsidRPr="00DD140D">
        <w:t xml:space="preserve">of quartzose sand eroded from the Fitzroy River catchment are transported into Keppel Bay during flood events. This sediment is reworked northwards and onshore by advection which is the result of the combined effects of local waves and tidal currents on seabed sediments. Cyclones can induce short periods of shoreline erosion from which the coast quickly recovers under normal atmospheric and marine conditions. Extensive beach-ridge deposits indicate there has been a long-term positive sediment supply to the bay from the Fitzroy River (Brooke </w:t>
      </w:r>
      <w:r w:rsidRPr="007B6C0C">
        <w:rPr>
          <w:rStyle w:val="Bodytextitalic"/>
        </w:rPr>
        <w:t>et al.,</w:t>
      </w:r>
      <w:r w:rsidRPr="00DD140D">
        <w:t xml:space="preserve"> 200</w:t>
      </w:r>
      <w:r>
        <w:t>8</w:t>
      </w:r>
      <w:r w:rsidRPr="00DD140D">
        <w:t>).</w:t>
      </w:r>
    </w:p>
    <w:p w:rsidR="00DF77DB" w:rsidRDefault="008237BB" w:rsidP="008237BB">
      <w:pPr>
        <w:pStyle w:val="BodyText"/>
      </w:pPr>
      <w:r w:rsidRPr="00DD140D">
        <w:t>The distribution of modern sediments in Keppel Bay indicates that river sediment is deposited by the Fitzroy River in the mouth of the estuary and in the southern section of the bay. The coarser sediment is subsequently reworked by advection to the north and onshore, where it accumulates in dunes and beach deposits</w:t>
      </w:r>
      <w:r>
        <w:t xml:space="preserve"> (</w:t>
      </w:r>
      <w:r w:rsidR="00DF77DB">
        <w:fldChar w:fldCharType="begin"/>
      </w:r>
      <w:r w:rsidR="00DF77DB">
        <w:instrText xml:space="preserve"> REF _Ref354562046 \h </w:instrText>
      </w:r>
      <w:r w:rsidR="00DF77DB">
        <w:fldChar w:fldCharType="separate"/>
      </w:r>
      <w:r w:rsidR="00413858">
        <w:t xml:space="preserve">Appendix Figure </w:t>
      </w:r>
      <w:r w:rsidR="00413858">
        <w:rPr>
          <w:noProof/>
        </w:rPr>
        <w:t>D</w:t>
      </w:r>
      <w:r w:rsidR="00413858">
        <w:t>.</w:t>
      </w:r>
      <w:r w:rsidR="00413858">
        <w:rPr>
          <w:noProof/>
        </w:rPr>
        <w:t>4</w:t>
      </w:r>
      <w:r w:rsidR="00DF77DB">
        <w:fldChar w:fldCharType="end"/>
      </w:r>
      <w:r>
        <w:t>)</w:t>
      </w:r>
      <w:r w:rsidRPr="00DD140D">
        <w:t>.</w:t>
      </w:r>
    </w:p>
    <w:p w:rsidR="00DF77DB" w:rsidRDefault="008237BB" w:rsidP="00253307">
      <w:pPr>
        <w:pStyle w:val="Figuresandimagescentred"/>
      </w:pPr>
      <w:r>
        <w:rPr>
          <w:noProof/>
        </w:rPr>
        <w:lastRenderedPageBreak/>
        <w:drawing>
          <wp:inline distT="0" distB="0" distL="0" distR="0" wp14:anchorId="712A7E2D" wp14:editId="06377A97">
            <wp:extent cx="5305425" cy="7458075"/>
            <wp:effectExtent l="19050" t="19050" r="28575" b="28575"/>
            <wp:docPr id="7" name="Picture 7" descr="This figure shows the sediment transport in Keppel Bay. There is sediment transport identified to travel in a northerly direction at the mouth of the Fitzroy River. Also identified is sediment being transported to the north of Curtis Island into Keppel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This figure shows the sediment transport in Keppel Bay. There is sediment transport identified to travel in a northerly direction at the mouth of the Fitzroy River. Also identified is sediment being transported to the north of Curtis Island into Keppel Bay."/>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05425" cy="7458075"/>
                    </a:xfrm>
                    <a:prstGeom prst="rect">
                      <a:avLst/>
                    </a:prstGeom>
                    <a:noFill/>
                    <a:ln w="6350" cmpd="sng">
                      <a:solidFill>
                        <a:srgbClr val="000000"/>
                      </a:solidFill>
                      <a:miter lim="800000"/>
                      <a:headEnd/>
                      <a:tailEnd/>
                    </a:ln>
                    <a:effectLst/>
                  </pic:spPr>
                </pic:pic>
              </a:graphicData>
            </a:graphic>
          </wp:inline>
        </w:drawing>
      </w:r>
    </w:p>
    <w:p w:rsidR="008237BB" w:rsidRDefault="00DF77DB" w:rsidP="00DF77DB">
      <w:pPr>
        <w:pStyle w:val="Caption"/>
      </w:pPr>
      <w:bookmarkStart w:id="4985" w:name="_Ref354562046"/>
      <w:bookmarkStart w:id="4986" w:name="_Toc354561240"/>
      <w:bookmarkStart w:id="4987" w:name="_Toc354561424"/>
      <w:bookmarkStart w:id="4988" w:name="_Toc354561496"/>
      <w:bookmarkStart w:id="4989" w:name="_Toc354561568"/>
      <w:r>
        <w:t xml:space="preserve">Appendix Figure </w:t>
      </w:r>
      <w:r w:rsidR="007F11CF">
        <w:fldChar w:fldCharType="begin"/>
      </w:r>
      <w:r w:rsidR="007F11CF">
        <w:instrText xml:space="preserve"> STYLEREF 9 \s </w:instrText>
      </w:r>
      <w:r w:rsidR="007F11CF">
        <w:fldChar w:fldCharType="separate"/>
      </w:r>
      <w:r w:rsidR="00413858">
        <w:rPr>
          <w:noProof/>
        </w:rPr>
        <w:t>D</w:t>
      </w:r>
      <w:r w:rsidR="007F11CF">
        <w:rPr>
          <w:noProof/>
        </w:rPr>
        <w:fldChar w:fldCharType="end"/>
      </w:r>
      <w:r w:rsidR="00162079">
        <w:t>.</w:t>
      </w:r>
      <w:r w:rsidR="007F11CF">
        <w:fldChar w:fldCharType="begin"/>
      </w:r>
      <w:r w:rsidR="007F11CF">
        <w:instrText xml:space="preserve"> SEQ Appendix_Figure \* ARABI</w:instrText>
      </w:r>
      <w:r w:rsidR="007F11CF">
        <w:instrText xml:space="preserve">C \s 9 </w:instrText>
      </w:r>
      <w:r w:rsidR="007F11CF">
        <w:fldChar w:fldCharType="separate"/>
      </w:r>
      <w:r w:rsidR="00413858">
        <w:rPr>
          <w:noProof/>
        </w:rPr>
        <w:t>4</w:t>
      </w:r>
      <w:r w:rsidR="007F11CF">
        <w:rPr>
          <w:noProof/>
        </w:rPr>
        <w:fldChar w:fldCharType="end"/>
      </w:r>
      <w:bookmarkEnd w:id="4985"/>
      <w:r>
        <w:t>. Map of sediment facies and depositional regions in Keppel Bay, showing sediment transport pathways and areas of fine sediment accumulation.</w:t>
      </w:r>
      <w:bookmarkEnd w:id="4986"/>
      <w:bookmarkEnd w:id="4987"/>
      <w:bookmarkEnd w:id="4988"/>
      <w:bookmarkEnd w:id="4989"/>
    </w:p>
    <w:p w:rsidR="008237BB" w:rsidRDefault="008237BB" w:rsidP="006B24B4">
      <w:pPr>
        <w:pStyle w:val="Headingappendix2"/>
      </w:pPr>
      <w:bookmarkStart w:id="4990" w:name="_Toc341445304"/>
      <w:bookmarkStart w:id="4991" w:name="_Toc342638534"/>
      <w:bookmarkStart w:id="4992" w:name="_Toc346261034"/>
      <w:bookmarkStart w:id="4993" w:name="_Toc346632596"/>
      <w:bookmarkStart w:id="4994" w:name="_Toc346632809"/>
      <w:bookmarkStart w:id="4995" w:name="_Toc346632921"/>
      <w:bookmarkStart w:id="4996" w:name="_Toc346633033"/>
      <w:bookmarkStart w:id="4997" w:name="_Toc346633257"/>
      <w:bookmarkStart w:id="4998" w:name="_Toc347401690"/>
      <w:bookmarkStart w:id="4999" w:name="_Toc347401802"/>
      <w:bookmarkStart w:id="5000" w:name="_Toc347401914"/>
      <w:bookmarkStart w:id="5001" w:name="_Toc347402138"/>
      <w:bookmarkStart w:id="5002" w:name="_Toc347402531"/>
      <w:bookmarkStart w:id="5003" w:name="_Toc349055104"/>
      <w:bookmarkStart w:id="5004" w:name="_Toc349055319"/>
      <w:bookmarkStart w:id="5005" w:name="_Toc349055432"/>
      <w:bookmarkStart w:id="5006" w:name="_Toc349055545"/>
      <w:bookmarkStart w:id="5007" w:name="_Toc349055771"/>
      <w:bookmarkStart w:id="5008" w:name="_Toc349117014"/>
      <w:bookmarkStart w:id="5009" w:name="_Toc350330097"/>
      <w:bookmarkStart w:id="5010" w:name="_Toc350344076"/>
      <w:bookmarkStart w:id="5011" w:name="_Toc354402068"/>
      <w:bookmarkStart w:id="5012" w:name="_Toc354404082"/>
      <w:bookmarkStart w:id="5013" w:name="_Toc354476565"/>
      <w:bookmarkStart w:id="5014" w:name="_Toc354492794"/>
      <w:bookmarkStart w:id="5015" w:name="_Toc354492915"/>
      <w:bookmarkStart w:id="5016" w:name="_Toc354493041"/>
      <w:bookmarkStart w:id="5017" w:name="_Toc354493172"/>
      <w:bookmarkStart w:id="5018" w:name="_Toc354493333"/>
      <w:bookmarkStart w:id="5019" w:name="_Toc354493784"/>
      <w:bookmarkStart w:id="5020" w:name="_Toc354494319"/>
      <w:bookmarkStart w:id="5021" w:name="_Toc354494749"/>
      <w:bookmarkStart w:id="5022" w:name="_Toc354495043"/>
      <w:bookmarkStart w:id="5023" w:name="_Toc354497925"/>
      <w:bookmarkStart w:id="5024" w:name="_Toc354561340"/>
      <w:bookmarkStart w:id="5025" w:name="_Toc355164256"/>
      <w:bookmarkStart w:id="5026" w:name="_Toc355249681"/>
      <w:r>
        <w:lastRenderedPageBreak/>
        <w:t>Method</w:t>
      </w:r>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p>
    <w:p w:rsidR="008237BB" w:rsidRDefault="008237BB" w:rsidP="00935848">
      <w:pPr>
        <w:pStyle w:val="Headingappendix3"/>
      </w:pPr>
      <w:bookmarkStart w:id="5027" w:name="_Toc341445305"/>
      <w:bookmarkStart w:id="5028" w:name="_Toc342638535"/>
      <w:bookmarkStart w:id="5029" w:name="_Toc346261035"/>
      <w:bookmarkStart w:id="5030" w:name="_Toc346632597"/>
      <w:bookmarkStart w:id="5031" w:name="_Toc346632810"/>
      <w:bookmarkStart w:id="5032" w:name="_Toc346632922"/>
      <w:bookmarkStart w:id="5033" w:name="_Toc346633034"/>
      <w:bookmarkStart w:id="5034" w:name="_Toc346633258"/>
      <w:bookmarkStart w:id="5035" w:name="_Toc347401691"/>
      <w:bookmarkStart w:id="5036" w:name="_Toc347401803"/>
      <w:bookmarkStart w:id="5037" w:name="_Toc347401915"/>
      <w:bookmarkStart w:id="5038" w:name="_Toc347402139"/>
      <w:bookmarkStart w:id="5039" w:name="_Toc347402532"/>
      <w:bookmarkStart w:id="5040" w:name="_Toc349055105"/>
      <w:bookmarkStart w:id="5041" w:name="_Toc349055320"/>
      <w:bookmarkStart w:id="5042" w:name="_Toc349055433"/>
      <w:bookmarkStart w:id="5043" w:name="_Toc349055546"/>
      <w:bookmarkStart w:id="5044" w:name="_Toc349055772"/>
      <w:bookmarkStart w:id="5045" w:name="_Toc349117015"/>
      <w:bookmarkStart w:id="5046" w:name="_Toc350330098"/>
      <w:bookmarkStart w:id="5047" w:name="_Toc350344077"/>
      <w:bookmarkStart w:id="5048" w:name="_Toc354402069"/>
      <w:bookmarkStart w:id="5049" w:name="_Toc354476566"/>
      <w:bookmarkStart w:id="5050" w:name="_Toc354492795"/>
      <w:bookmarkStart w:id="5051" w:name="_Toc354492916"/>
      <w:bookmarkStart w:id="5052" w:name="_Toc354493042"/>
      <w:bookmarkStart w:id="5053" w:name="_Toc354493173"/>
      <w:bookmarkStart w:id="5054" w:name="_Toc354493334"/>
      <w:bookmarkStart w:id="5055" w:name="_Toc354493785"/>
      <w:bookmarkStart w:id="5056" w:name="_Toc354494320"/>
      <w:bookmarkStart w:id="5057" w:name="_Toc354494750"/>
      <w:bookmarkStart w:id="5058" w:name="_Toc354495044"/>
      <w:bookmarkStart w:id="5059" w:name="_Toc354497926"/>
      <w:bookmarkStart w:id="5060" w:name="_Toc354561341"/>
      <w:bookmarkStart w:id="5061" w:name="_Toc355164257"/>
      <w:bookmarkStart w:id="5062" w:name="_Toc355249682"/>
      <w:r>
        <w:t>Current Climate</w:t>
      </w:r>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p>
    <w:p w:rsidR="008237BB" w:rsidRDefault="008237BB" w:rsidP="009340CE">
      <w:pPr>
        <w:pStyle w:val="Headingappendix4"/>
      </w:pPr>
      <w:bookmarkStart w:id="5063" w:name="_Toc341445306"/>
      <w:bookmarkStart w:id="5064" w:name="_Toc342638536"/>
      <w:bookmarkStart w:id="5065" w:name="_Toc346261036"/>
      <w:bookmarkStart w:id="5066" w:name="_Toc346632598"/>
      <w:bookmarkStart w:id="5067" w:name="_Toc347402533"/>
      <w:bookmarkStart w:id="5068" w:name="_Toc349055106"/>
      <w:bookmarkStart w:id="5069" w:name="_Toc349117016"/>
      <w:bookmarkStart w:id="5070" w:name="_Toc354402070"/>
      <w:bookmarkStart w:id="5071" w:name="_Toc354476567"/>
      <w:bookmarkStart w:id="5072" w:name="_Toc354492796"/>
      <w:bookmarkStart w:id="5073" w:name="_Toc354493043"/>
      <w:bookmarkStart w:id="5074" w:name="_Toc354493174"/>
      <w:bookmarkStart w:id="5075" w:name="_Toc354493335"/>
      <w:bookmarkStart w:id="5076" w:name="_Toc355164258"/>
      <w:r w:rsidRPr="009909F5">
        <w:t>Spatial analysis</w:t>
      </w:r>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p>
    <w:p w:rsidR="008237BB" w:rsidRDefault="008237BB" w:rsidP="008237BB">
      <w:pPr>
        <w:pStyle w:val="BodyText"/>
      </w:pPr>
      <w:r w:rsidRPr="00EA0A44">
        <w:t>The current</w:t>
      </w:r>
      <w:r>
        <w:t>-</w:t>
      </w:r>
      <w:r w:rsidRPr="00EA0A44">
        <w:t xml:space="preserve">climate erosion </w:t>
      </w:r>
      <w:r>
        <w:t>spatial extents (overlays)</w:t>
      </w:r>
      <w:r w:rsidRPr="00EA0A44">
        <w:t xml:space="preserve"> were determined using the Queensland Coastal</w:t>
      </w:r>
      <w:r>
        <w:t xml:space="preserve"> </w:t>
      </w:r>
      <w:r w:rsidRPr="00EA0A44">
        <w:t>Hazards Guideline (</w:t>
      </w:r>
      <w:r>
        <w:t>QCHG; DERM, 2012a</w:t>
      </w:r>
      <w:r w:rsidRPr="00EA0A44">
        <w:t>). The guideline requires erosion prone area widths</w:t>
      </w:r>
      <w:r>
        <w:t xml:space="preserve"> </w:t>
      </w:r>
      <w:r w:rsidRPr="00EA0A44">
        <w:t>to accommodate both short-term and long-term erosion for a specific planning period.</w:t>
      </w:r>
      <w:r>
        <w:t xml:space="preserve"> </w:t>
      </w:r>
      <w:r w:rsidRPr="00EA0A44">
        <w:t>The current</w:t>
      </w:r>
      <w:r w:rsidR="0073602D">
        <w:noBreakHyphen/>
      </w:r>
      <w:r w:rsidRPr="00EA0A44">
        <w:t>climate erosion overlays reported here refer to short-term erosion prone</w:t>
      </w:r>
      <w:r>
        <w:t xml:space="preserve"> </w:t>
      </w:r>
      <w:r w:rsidRPr="00EA0A44">
        <w:t>areas only.</w:t>
      </w:r>
    </w:p>
    <w:p w:rsidR="008237BB" w:rsidRDefault="008237BB" w:rsidP="008237BB">
      <w:pPr>
        <w:pStyle w:val="BodyText"/>
      </w:pPr>
      <w:r w:rsidRPr="00EA0A44">
        <w:t xml:space="preserve">The extent of short-term erosion is determined by identifying the areas of the open coast already experiencing some degree of erosion, i.e. the </w:t>
      </w:r>
      <w:r>
        <w:t>presence</w:t>
      </w:r>
      <w:r w:rsidRPr="00EA0A44">
        <w:t xml:space="preserve"> of a sea wall or protective engineering structure</w:t>
      </w:r>
      <w:r>
        <w:t>,</w:t>
      </w:r>
      <w:r w:rsidRPr="00EA0A44">
        <w:t xml:space="preserve"> and areas where the dunes are substantially reduced by wave action. The erosion prone area is defined as the area bounded by the seaward limit of Queensland waters – </w:t>
      </w:r>
      <w:r>
        <w:t>H</w:t>
      </w:r>
      <w:r w:rsidRPr="00EA0A44">
        <w:t xml:space="preserve">ighest </w:t>
      </w:r>
      <w:r>
        <w:t>A</w:t>
      </w:r>
      <w:r w:rsidRPr="00EA0A44">
        <w:t xml:space="preserve">stronomical </w:t>
      </w:r>
      <w:r>
        <w:t>T</w:t>
      </w:r>
      <w:r w:rsidRPr="00EA0A44">
        <w:t>ide (HAT) and on land adjacent to coastal waters as:</w:t>
      </w:r>
    </w:p>
    <w:p w:rsidR="008237BB" w:rsidRDefault="008237BB" w:rsidP="004B379B">
      <w:pPr>
        <w:pStyle w:val="Bulletlevel1"/>
      </w:pPr>
      <w:r w:rsidRPr="005B6444">
        <w:t>a line measured 40 m landwards of the plan position of HAT except where approved revetments (e.g. sea walls) exist in which case the line is measured 10 metres landwards of the upper seaward edge of the revetment, irrespective of the presence of outcropping bedrock.</w:t>
      </w:r>
    </w:p>
    <w:p w:rsidR="008237BB" w:rsidRDefault="008237BB" w:rsidP="008237BB">
      <w:pPr>
        <w:pStyle w:val="BodyText"/>
      </w:pPr>
      <w:r w:rsidRPr="00EA0A44">
        <w:t>The guideline makes further provision for the assessment of the erosion hazard based</w:t>
      </w:r>
      <w:r>
        <w:t xml:space="preserve"> </w:t>
      </w:r>
      <w:r w:rsidRPr="00EA0A44">
        <w:t>on the potential impact o</w:t>
      </w:r>
      <w:r w:rsidRPr="001D70BF">
        <w:t>f a “design</w:t>
      </w:r>
      <w:r>
        <w:t>”</w:t>
      </w:r>
      <w:r w:rsidRPr="001D70BF">
        <w:t xml:space="preserve"> storm</w:t>
      </w:r>
      <w:r>
        <w:rPr>
          <w:rStyle w:val="FootnoteReference"/>
        </w:rPr>
        <w:footnoteReference w:id="32"/>
      </w:r>
      <w:r w:rsidRPr="001D70BF">
        <w:t xml:space="preserve">. Whilst not considered for current climate, these provisions </w:t>
      </w:r>
      <w:r>
        <w:t>were</w:t>
      </w:r>
      <w:r w:rsidRPr="001D70BF">
        <w:t xml:space="preserve"> incorporated into the </w:t>
      </w:r>
      <w:r>
        <w:t>future-climate</w:t>
      </w:r>
      <w:r w:rsidRPr="001D70BF">
        <w:t xml:space="preserve"> erosion overlays.</w:t>
      </w:r>
    </w:p>
    <w:p w:rsidR="008237BB" w:rsidRDefault="008237BB" w:rsidP="008237BB">
      <w:pPr>
        <w:pStyle w:val="BodyText"/>
      </w:pPr>
      <w:r w:rsidRPr="00C26233">
        <w:t xml:space="preserve">To </w:t>
      </w:r>
      <w:r>
        <w:t>assist in the identification of</w:t>
      </w:r>
      <w:r w:rsidRPr="00C26233">
        <w:t xml:space="preserve"> the </w:t>
      </w:r>
      <w:r>
        <w:t xml:space="preserve">existing </w:t>
      </w:r>
      <w:r w:rsidRPr="00C26233">
        <w:t>erosion prone areas two series of historical aerial photography</w:t>
      </w:r>
      <w:r>
        <w:t xml:space="preserve"> </w:t>
      </w:r>
      <w:r w:rsidRPr="00C26233">
        <w:t xml:space="preserve">(captured </w:t>
      </w:r>
      <w:r>
        <w:t xml:space="preserve">on </w:t>
      </w:r>
      <w:r w:rsidRPr="00C26233">
        <w:t xml:space="preserve">05/1961 and 06/1964) were </w:t>
      </w:r>
      <w:r>
        <w:t xml:space="preserve">visually </w:t>
      </w:r>
      <w:r w:rsidRPr="00C26233">
        <w:t>compared with the 2010 image mosaic of the</w:t>
      </w:r>
      <w:r>
        <w:t xml:space="preserve"> </w:t>
      </w:r>
      <w:r w:rsidRPr="00C26233">
        <w:t>Rockhampton coastline.</w:t>
      </w:r>
      <w:r>
        <w:t xml:space="preserve"> This comparison enabled the identification of sections of the coastline that experience coastal recession or accretion during this time period. A </w:t>
      </w:r>
      <w:r w:rsidRPr="00C26233">
        <w:t xml:space="preserve">current coastline was then digitised from the </w:t>
      </w:r>
      <w:r>
        <w:t xml:space="preserve">2010 </w:t>
      </w:r>
      <w:r w:rsidRPr="00C26233">
        <w:t>aerial photography and buffers applied</w:t>
      </w:r>
      <w:r>
        <w:t xml:space="preserve"> to eroding sections of coast to represent the areal extent of coastal erosion hazard under current climate</w:t>
      </w:r>
      <w:r w:rsidRPr="00C26233">
        <w:t xml:space="preserve"> as described in the point above.</w:t>
      </w:r>
    </w:p>
    <w:p w:rsidR="008237BB" w:rsidRDefault="008237BB" w:rsidP="00935848">
      <w:pPr>
        <w:pStyle w:val="Headingappendix3"/>
      </w:pPr>
      <w:bookmarkStart w:id="5077" w:name="_Toc341445307"/>
      <w:bookmarkStart w:id="5078" w:name="_Toc342638537"/>
      <w:bookmarkStart w:id="5079" w:name="_Toc346261037"/>
      <w:bookmarkStart w:id="5080" w:name="_Toc346632599"/>
      <w:bookmarkStart w:id="5081" w:name="_Toc346632811"/>
      <w:bookmarkStart w:id="5082" w:name="_Toc346632923"/>
      <w:bookmarkStart w:id="5083" w:name="_Toc346633035"/>
      <w:bookmarkStart w:id="5084" w:name="_Toc346633259"/>
      <w:bookmarkStart w:id="5085" w:name="_Toc347401692"/>
      <w:bookmarkStart w:id="5086" w:name="_Toc347401804"/>
      <w:bookmarkStart w:id="5087" w:name="_Toc347401916"/>
      <w:bookmarkStart w:id="5088" w:name="_Toc347402140"/>
      <w:bookmarkStart w:id="5089" w:name="_Toc347402534"/>
      <w:bookmarkStart w:id="5090" w:name="_Toc349055107"/>
      <w:bookmarkStart w:id="5091" w:name="_Toc349055321"/>
      <w:bookmarkStart w:id="5092" w:name="_Toc349055434"/>
      <w:bookmarkStart w:id="5093" w:name="_Toc349055547"/>
      <w:bookmarkStart w:id="5094" w:name="_Toc349055773"/>
      <w:bookmarkStart w:id="5095" w:name="_Toc349117017"/>
      <w:bookmarkStart w:id="5096" w:name="_Toc350330099"/>
      <w:bookmarkStart w:id="5097" w:name="_Toc350344078"/>
      <w:bookmarkStart w:id="5098" w:name="_Toc354402071"/>
      <w:bookmarkStart w:id="5099" w:name="_Toc354476568"/>
      <w:bookmarkStart w:id="5100" w:name="_Toc354492797"/>
      <w:bookmarkStart w:id="5101" w:name="_Toc354492917"/>
      <w:bookmarkStart w:id="5102" w:name="_Toc354493044"/>
      <w:bookmarkStart w:id="5103" w:name="_Toc354493175"/>
      <w:bookmarkStart w:id="5104" w:name="_Toc354493336"/>
      <w:bookmarkStart w:id="5105" w:name="_Toc354493786"/>
      <w:bookmarkStart w:id="5106" w:name="_Toc354494321"/>
      <w:bookmarkStart w:id="5107" w:name="_Toc354494751"/>
      <w:bookmarkStart w:id="5108" w:name="_Toc354495045"/>
      <w:bookmarkStart w:id="5109" w:name="_Toc354497927"/>
      <w:bookmarkStart w:id="5110" w:name="_Toc354561342"/>
      <w:bookmarkStart w:id="5111" w:name="_Toc355164259"/>
      <w:bookmarkStart w:id="5112" w:name="_Toc355249683"/>
      <w:r>
        <w:t>Future Climate</w:t>
      </w:r>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p>
    <w:p w:rsidR="002F691C" w:rsidRDefault="008237BB" w:rsidP="008237BB">
      <w:pPr>
        <w:pStyle w:val="BodyText"/>
      </w:pPr>
      <w:r w:rsidRPr="00A12582">
        <w:t xml:space="preserve">The </w:t>
      </w:r>
      <w:r>
        <w:t>future-climate</w:t>
      </w:r>
      <w:r w:rsidRPr="00A12582">
        <w:t xml:space="preserve"> erosion </w:t>
      </w:r>
      <w:r>
        <w:t>hazard was determined using the QCHG. The</w:t>
      </w:r>
      <w:r w:rsidRPr="00A12582">
        <w:t xml:space="preserve"> guideline requires erosion prone area widths to accommodate both short and long</w:t>
      </w:r>
      <w:r>
        <w:t xml:space="preserve"> </w:t>
      </w:r>
      <w:r w:rsidRPr="00A12582">
        <w:t>term erosion</w:t>
      </w:r>
      <w:r>
        <w:t xml:space="preserve"> for a specific planning period, for the purpose of this study 100 years.</w:t>
      </w:r>
    </w:p>
    <w:p w:rsidR="008237BB" w:rsidRDefault="008237BB" w:rsidP="008237BB">
      <w:pPr>
        <w:pStyle w:val="BodyText"/>
      </w:pPr>
      <w:r>
        <w:t xml:space="preserve">Short-term erosion refers to the erosion of sediment from the shore profile by wave action associated with extreme weather events, e.g. tropical cyclone or severe storm activity. Fair-weather beach processes between erosive storm events produce conditions for the onshore transport of eroded sediments leading to beach recovery. Beach recovery may take many years to occur, depending on storm frequency. Long-term erosion refers to erosion of beach sediments due to coastal processes </w:t>
      </w:r>
      <w:r>
        <w:lastRenderedPageBreak/>
        <w:t>(e.g. alongshore drift) operating over decades, and interruptions to the natural sediment transport by anthropogenic structures, e.g. groynes and seawalls.</w:t>
      </w:r>
    </w:p>
    <w:p w:rsidR="008237BB" w:rsidRDefault="008237BB" w:rsidP="00797F73">
      <w:pPr>
        <w:pStyle w:val="BodyText"/>
        <w:keepNext/>
      </w:pPr>
      <w:r>
        <w:t>The formula adopted by DERM in the QCHG for the calculation of the erosion prone area width is as follows:</w:t>
      </w:r>
    </w:p>
    <w:p w:rsidR="008237BB" w:rsidRDefault="00224B4B" w:rsidP="006B54B0">
      <w:pPr>
        <w:pStyle w:val="Equation"/>
      </w:pPr>
      <w:r w:rsidRPr="00224B4B">
        <w:rPr>
          <w:position w:val="-10"/>
        </w:rPr>
        <w:object w:dxaOrig="3440" w:dyaOrig="320">
          <v:shape id="_x0000_i1026" type="#_x0000_t75" alt="E equals left square bracket left parenthesis N times R right parenthesis plus C pluse S right square bracket times left parenthesis 1 plus F right parenthesis plus D." style="width:171.55pt;height:16.3pt" o:ole="">
            <v:imagedata r:id="rId132" o:title=""/>
          </v:shape>
          <o:OLEObject Type="Embed" ProgID="Equation.3" ShapeID="_x0000_i1026" DrawAspect="Content" ObjectID="_1431405988" r:id="rId133"/>
        </w:object>
      </w:r>
      <w:r>
        <w:t xml:space="preserve"> </w:t>
      </w:r>
      <w:r w:rsidR="006B54B0">
        <w:t xml:space="preserve">(Equation </w:t>
      </w:r>
      <w:r w:rsidR="007F11CF">
        <w:fldChar w:fldCharType="begin"/>
      </w:r>
      <w:r w:rsidR="007F11CF">
        <w:instrText xml:space="preserve"> SEQ Equation \* ARABIC </w:instrText>
      </w:r>
      <w:r w:rsidR="007F11CF">
        <w:fldChar w:fldCharType="separate"/>
      </w:r>
      <w:r w:rsidR="00413858">
        <w:rPr>
          <w:noProof/>
        </w:rPr>
        <w:t>2</w:t>
      </w:r>
      <w:r w:rsidR="007F11CF">
        <w:rPr>
          <w:noProof/>
        </w:rPr>
        <w:fldChar w:fldCharType="end"/>
      </w:r>
      <w:r w:rsidR="006B54B0">
        <w:t>)</w:t>
      </w:r>
    </w:p>
    <w:p w:rsidR="008237BB" w:rsidRDefault="008237BB" w:rsidP="00797F73">
      <w:pPr>
        <w:pStyle w:val="BodyText"/>
        <w:keepNext/>
      </w:pPr>
      <w:r>
        <w:t>Where:</w:t>
      </w:r>
    </w:p>
    <w:p w:rsidR="008237BB" w:rsidRDefault="008237BB" w:rsidP="00797F73">
      <w:pPr>
        <w:pStyle w:val="Bulletlevel1"/>
        <w:keepNext/>
        <w:ind w:left="568" w:hanging="284"/>
      </w:pPr>
      <w:r>
        <w:t>E = erosion prone area width (metres)</w:t>
      </w:r>
    </w:p>
    <w:p w:rsidR="008237BB" w:rsidRDefault="008237BB" w:rsidP="00797F73">
      <w:pPr>
        <w:pStyle w:val="Bulletlevel1"/>
        <w:keepNext/>
        <w:ind w:left="568" w:hanging="284"/>
      </w:pPr>
      <w:r>
        <w:t>N = planning period (years)</w:t>
      </w:r>
    </w:p>
    <w:p w:rsidR="008237BB" w:rsidRDefault="008237BB" w:rsidP="00797F73">
      <w:pPr>
        <w:pStyle w:val="Bulletlevel1"/>
        <w:keepNext/>
        <w:ind w:left="568" w:hanging="284"/>
      </w:pPr>
      <w:r>
        <w:t>R = rate of long-term erosion (metres per year)</w:t>
      </w:r>
    </w:p>
    <w:p w:rsidR="002F691C" w:rsidRDefault="008237BB" w:rsidP="00797F73">
      <w:pPr>
        <w:pStyle w:val="Bulletlevel1"/>
        <w:keepNext/>
        <w:ind w:left="568" w:hanging="284"/>
      </w:pPr>
      <w:r>
        <w:t>C = short-term erosion from the ‘design’ storm or cyclone (metres)</w:t>
      </w:r>
    </w:p>
    <w:p w:rsidR="002F691C" w:rsidRDefault="008237BB" w:rsidP="00797F73">
      <w:pPr>
        <w:pStyle w:val="Bulletlevel1"/>
        <w:keepNext/>
        <w:ind w:left="568" w:hanging="284"/>
      </w:pPr>
      <w:r>
        <w:t>S = erosion due to sea-level rise (metres)</w:t>
      </w:r>
    </w:p>
    <w:p w:rsidR="008237BB" w:rsidRDefault="008237BB" w:rsidP="00797F73">
      <w:pPr>
        <w:pStyle w:val="Bulletlevel1"/>
        <w:keepNext/>
        <w:ind w:left="568" w:hanging="284"/>
      </w:pPr>
      <w:r>
        <w:t>F = factor of safety (0.4 has been adopted)</w:t>
      </w:r>
    </w:p>
    <w:p w:rsidR="008237BB" w:rsidRDefault="008237BB" w:rsidP="00797F73">
      <w:pPr>
        <w:pStyle w:val="Bulletlevel1"/>
        <w:keepNext/>
        <w:ind w:left="568" w:hanging="284"/>
      </w:pPr>
      <w:r>
        <w:t>D = dune scarp component to allow for slumping of the erosion scarp (metres)</w:t>
      </w:r>
      <w:r w:rsidR="0073602D">
        <w:t>.</w:t>
      </w:r>
    </w:p>
    <w:p w:rsidR="008237BB" w:rsidRDefault="008237BB" w:rsidP="008237BB">
      <w:pPr>
        <w:pStyle w:val="BodyText"/>
      </w:pPr>
      <w:r>
        <w:t>The QCHG suggests that values of R, C, S and D be determined for individual beaches based on existing data and site specific modelling or profile response. The choice of values for N and F, as well as the specifications of the storm used to determine C, are based subjective decisions that rely on accepted practices. Further guidance on quantifying these parameters is provided in the QCHG (p6 – 11, 2012a).</w:t>
      </w:r>
    </w:p>
    <w:p w:rsidR="008237BB" w:rsidRDefault="008237BB" w:rsidP="008237BB">
      <w:pPr>
        <w:pStyle w:val="BodyText"/>
      </w:pPr>
      <w:r w:rsidRPr="00A12582">
        <w:t xml:space="preserve">The </w:t>
      </w:r>
      <w:r>
        <w:t>future-climate</w:t>
      </w:r>
      <w:r w:rsidRPr="00A12582">
        <w:t xml:space="preserve"> </w:t>
      </w:r>
      <w:r>
        <w:t>coastal e</w:t>
      </w:r>
      <w:r w:rsidRPr="00A12582">
        <w:t>rosion overlays</w:t>
      </w:r>
      <w:r>
        <w:t xml:space="preserve"> presented here have been calculated through applying the DERM (2012a) formula presented above (DERM, 2012a) which defines the Erosion Prone Area from either of two methods:</w:t>
      </w:r>
    </w:p>
    <w:p w:rsidR="008237BB" w:rsidRPr="001D70BF" w:rsidRDefault="008237BB" w:rsidP="008237BB">
      <w:pPr>
        <w:pStyle w:val="Bulletlevel1numbered"/>
      </w:pPr>
      <w:r w:rsidRPr="001D70BF">
        <w:t>Erosion</w:t>
      </w:r>
      <w:r>
        <w:t>-</w:t>
      </w:r>
      <w:r w:rsidRPr="001D70BF">
        <w:t>prone areas include areas subject to inundation by the Highest Astronomical Tides (HAT) by the year 2100 or at risk from sea erosion.</w:t>
      </w:r>
    </w:p>
    <w:p w:rsidR="008237BB" w:rsidRPr="001D70BF" w:rsidRDefault="008237BB" w:rsidP="008237BB">
      <w:pPr>
        <w:pStyle w:val="Bulletlevel1numbered"/>
      </w:pPr>
      <w:r w:rsidRPr="001D70BF">
        <w:t>On land adjacent to tidal water</w:t>
      </w:r>
      <w:r>
        <w:t xml:space="preserve">, </w:t>
      </w:r>
      <w:r w:rsidRPr="001D70BF">
        <w:t>the landward boundary of the erosion prone area shall be defined by whichever of the following methods gives the greater erosion prone area width:</w:t>
      </w:r>
    </w:p>
    <w:p w:rsidR="008237BB" w:rsidRPr="001D70BF" w:rsidRDefault="008237BB" w:rsidP="008237BB">
      <w:pPr>
        <w:pStyle w:val="Bulletlevel2numbered"/>
      </w:pPr>
      <w:r w:rsidRPr="001D70BF">
        <w:t>a line measured 40 metres landward of the plan position of the present day HAT level except where approved revetments exist in which case the line is measured 10 metres landward of the upper seaward edge of the revetment, irrespective of the presence of outcropping bedrock;</w:t>
      </w:r>
    </w:p>
    <w:p w:rsidR="008237BB" w:rsidRPr="001D70BF" w:rsidRDefault="008237BB" w:rsidP="008237BB">
      <w:pPr>
        <w:pStyle w:val="Bulletlevel2numbered"/>
      </w:pPr>
      <w:r w:rsidRPr="001D70BF">
        <w:t>a line located by the linear distance calculated</w:t>
      </w:r>
      <w:r>
        <w:t>,</w:t>
      </w:r>
      <w:r w:rsidRPr="001D70BF">
        <w:t xml:space="preserve"> shown </w:t>
      </w:r>
      <w:r>
        <w:t>i</w:t>
      </w:r>
      <w:r w:rsidRPr="001D70BF">
        <w:t xml:space="preserve">n </w:t>
      </w:r>
      <w:r w:rsidR="001B78DC">
        <w:fldChar w:fldCharType="begin"/>
      </w:r>
      <w:r w:rsidR="001B78DC">
        <w:instrText xml:space="preserve"> REF _Ref354581578 \h </w:instrText>
      </w:r>
      <w:r w:rsidR="001B78DC">
        <w:fldChar w:fldCharType="separate"/>
      </w:r>
      <w:r w:rsidR="00413858">
        <w:t xml:space="preserve">Appendix Table </w:t>
      </w:r>
      <w:r w:rsidR="00413858">
        <w:rPr>
          <w:noProof/>
        </w:rPr>
        <w:t>D</w:t>
      </w:r>
      <w:r w:rsidR="00413858">
        <w:t>.</w:t>
      </w:r>
      <w:r w:rsidR="00413858">
        <w:rPr>
          <w:noProof/>
        </w:rPr>
        <w:t>1</w:t>
      </w:r>
      <w:r w:rsidR="001B78DC">
        <w:fldChar w:fldCharType="end"/>
      </w:r>
      <w:r>
        <w:t>,</w:t>
      </w:r>
      <w:r w:rsidRPr="001D70BF">
        <w:t xml:space="preserve"> and measured, unless specified otherwise, inland from:</w:t>
      </w:r>
    </w:p>
    <w:p w:rsidR="008237BB" w:rsidRPr="004911EB" w:rsidRDefault="008237BB" w:rsidP="004911EB">
      <w:pPr>
        <w:pStyle w:val="BulletLevel3numbered"/>
      </w:pPr>
      <w:r w:rsidRPr="004911EB">
        <w:t>the seaward toe of the frontal dune (the seaward toe of the frontal dune is normally approximated by the seaward limit of terrestrial vegetation or, where this cannot be determined, the level of present day HAT); or</w:t>
      </w:r>
    </w:p>
    <w:p w:rsidR="008237BB" w:rsidRPr="004911EB" w:rsidRDefault="008237BB" w:rsidP="004911EB">
      <w:pPr>
        <w:pStyle w:val="BulletLevel3numbered"/>
      </w:pPr>
      <w:r w:rsidRPr="004911EB">
        <w:t>a straight line drawn across the mouth of a waterway between the alignment of the seaward toe of the frontal dune on either side of the mouth</w:t>
      </w:r>
    </w:p>
    <w:p w:rsidR="008237BB" w:rsidRDefault="008237BB" w:rsidP="008237BB">
      <w:pPr>
        <w:pStyle w:val="Bulletlevel2numbered"/>
      </w:pPr>
      <w:r w:rsidRPr="001D70BF">
        <w:t>the plan position of the level of HAT plus 0.8 m vertical elevation for sea-level rise by 2100.</w:t>
      </w:r>
    </w:p>
    <w:p w:rsidR="008237BB" w:rsidRDefault="008237BB" w:rsidP="008237BB">
      <w:pPr>
        <w:pStyle w:val="BodyText"/>
      </w:pPr>
      <w:r>
        <w:t xml:space="preserve">The extent of the erosion prone area where it is defined by “HAT plus 0.8 m” is considered to be the HAT coastline at 2100, and includes sea-level rise to that time. This was defined by DERM (2012a) as “the area of land inundated to the level HAT of the nearest adjacent open coast or river tide gauge </w:t>
      </w:r>
      <w:r>
        <w:lastRenderedPageBreak/>
        <w:t>plus 0.8 m vertical elevation”. However this is not based on any site specific assessments of the current HAT coastline, as the present day attenuation of inland HAT level due to flow constraints may not persist to 2100 due to potential coastline response to sea-level rise over the next 90 years.</w:t>
      </w:r>
      <w:r w:rsidRPr="004B7F2B">
        <w:t xml:space="preserve"> </w:t>
      </w:r>
      <w:r>
        <w:t>For further explanation see the Coastal Hazard Guideline (DERM, 2012a).</w:t>
      </w:r>
    </w:p>
    <w:p w:rsidR="001B78DC" w:rsidRDefault="001B78DC" w:rsidP="00253307">
      <w:pPr>
        <w:pStyle w:val="Tabletitle"/>
      </w:pPr>
      <w:bookmarkStart w:id="5113" w:name="_Ref354581578"/>
      <w:bookmarkStart w:id="5114" w:name="_Toc355016330"/>
      <w:bookmarkStart w:id="5115" w:name="_Toc355016401"/>
      <w:bookmarkStart w:id="5116" w:name="_Toc355016440"/>
      <w:bookmarkStart w:id="5117" w:name="_Toc355016501"/>
      <w:bookmarkStart w:id="5118" w:name="_Toc355073371"/>
      <w:bookmarkStart w:id="5119" w:name="_Toc355162321"/>
      <w:bookmarkStart w:id="5120" w:name="_Toc355249464"/>
      <w:r>
        <w:t xml:space="preserve">Appendix Table </w:t>
      </w:r>
      <w:r w:rsidR="007F11CF">
        <w:fldChar w:fldCharType="begin"/>
      </w:r>
      <w:r w:rsidR="007F11CF">
        <w:instrText xml:space="preserve"> STYLEREF 9 \s </w:instrText>
      </w:r>
      <w:r w:rsidR="007F11CF">
        <w:fldChar w:fldCharType="separate"/>
      </w:r>
      <w:r w:rsidR="00413858">
        <w:rPr>
          <w:noProof/>
        </w:rPr>
        <w:t>D</w:t>
      </w:r>
      <w:r w:rsidR="007F11CF">
        <w:rPr>
          <w:noProof/>
        </w:rPr>
        <w:fldChar w:fldCharType="end"/>
      </w:r>
      <w:r w:rsidR="00162079">
        <w:t>.</w:t>
      </w:r>
      <w:r w:rsidR="007F11CF">
        <w:fldChar w:fldCharType="begin"/>
      </w:r>
      <w:r w:rsidR="007F11CF">
        <w:instrText xml:space="preserve"> SEQ Appendix_Table \* ARABIC \s 9 </w:instrText>
      </w:r>
      <w:r w:rsidR="007F11CF">
        <w:fldChar w:fldCharType="separate"/>
      </w:r>
      <w:r w:rsidR="00413858">
        <w:rPr>
          <w:noProof/>
        </w:rPr>
        <w:t>1</w:t>
      </w:r>
      <w:r w:rsidR="007F11CF">
        <w:rPr>
          <w:noProof/>
        </w:rPr>
        <w:fldChar w:fldCharType="end"/>
      </w:r>
      <w:bookmarkEnd w:id="5113"/>
      <w:r>
        <w:t xml:space="preserve">. Erosion prone areas widths for each segment of coast in </w:t>
      </w:r>
      <w:r w:rsidRPr="005C26CA">
        <w:t>Rockhampton Regional Council</w:t>
      </w:r>
      <w:r>
        <w:t xml:space="preserve"> study area</w:t>
      </w:r>
      <w:r>
        <w:rPr>
          <w:rStyle w:val="FootnoteReference"/>
        </w:rPr>
        <w:footnoteReference w:id="33"/>
      </w:r>
      <w:r>
        <w:t>.</w:t>
      </w:r>
      <w:bookmarkEnd w:id="5114"/>
      <w:bookmarkEnd w:id="5115"/>
      <w:bookmarkEnd w:id="5116"/>
      <w:bookmarkEnd w:id="5117"/>
      <w:bookmarkEnd w:id="5118"/>
      <w:bookmarkEnd w:id="5119"/>
      <w:bookmarkEnd w:id="5120"/>
    </w:p>
    <w:tbl>
      <w:tblPr>
        <w:tblStyle w:val="TableGAHeaderRow"/>
        <w:tblW w:w="9084" w:type="dxa"/>
        <w:tblLayout w:type="fixed"/>
        <w:tblLook w:val="0020" w:firstRow="1" w:lastRow="0" w:firstColumn="0" w:lastColumn="0" w:noHBand="0" w:noVBand="0"/>
        <w:tblDescription w:val="This table presents the segmented Rockhampton Regional Council coastline with the identified erosion prone area. Each segment is defined below with an erosion prone area segment number, segment start longitude (degrees), segment start latitude (degrees) followed finally by the erosion prone area width (metres). Only the segment start locations are given as they butt up to the start of the next segment (by segment number). RoR001, 150.94512, -23.55251, 400m. RoR002, 150.86402, -23.47200, Transition from 300m to 135m. RoR003, 150.81990, -23.42384, 135m.  RoR004, 150.79689, -23.36910, 240m. RoR005, 150.79174, -23.34885, 140m. RoR006, 150.79190, -23.33522, 0m. RoR007, 150.79835, -23.33773, 100m (Possible bedrock). RoR008, 150.79818, -23.33610, 0m. RoR009, 150.79525, -23.33539, 100m. RoR010, 150.79308, -23.33130, Transition from 100m to 70m.. RoR011, 150.79309, -23.32499, 0m. RoR012, 150.79073, -23.32186, 400m. RoR013, 150.79246, -23.30795, 250m. RoR014, 150.80035, -23.29834, 400m. RoR015, 150.81117, -23.28709, 0m. RoR016, 150.81390, -23.28787, 125m. RoR017, 150.82010, -23.27926, Transition from 125m to 40m. RoR018, 150.82274, -23.27850, 40m (Possible bedrock). RoR019, 150.82470, -23.27921, 65m (Possible bedrock). RoR020, 150.82444, -23.27831, 135m. RoR021, 150.82482, -23.27472, 0m. RoR022, 150.82566, -23.27321, 40m (Possible bedrock). RoR023, 150.82670, -23.26927, 0m. RoR024, 150.82792, -23.26734, 140m. RoR025, 150.82927, -23.25885, 0m. RoR026, 150.82908, -23.25491, 160m. RoR027, 150.82592, -23.23959, 0m. RoR028, 150.82599, -23.23794, 160m (Possible bedrock). RoR029, 150.81951, -23.22388, 0m. RoR030, 150.81687, -23.22189, 140m. RoR031, 150.80031, -23.22810, 400m. RoR032, 150.79731, -23.22587, 140m (measured from old creek bank). RoR033, 150.79619, -23.22196, 215m. RoR034, 150.78919, -23.20690, 140m. RoR035, 150.78907, -23.19924, 0m. RoR036, 150.79193, -23.19609, 140m. RoR037, 150.79460, -23.18446, 0m. RoR038, 150.79384, -23.17862, 120m. RoR039, 150.79268, -23.16407, 0m. RoR040, 150.78351, -23.16571, 140m (Possible bedrock). RoR041, 150.77921, -23.16587, 0m. RoR042, 150.77636, -23.16529, 150m. RoR043, 150.76400, -23.14554, 0m. RoR044, 150.76137, -23.14281, 150m. RoR045, 150.75912, -23.14025, 0m. RoR046, 150.75487, -23.13891, 40m (Possible bedrock). RoR047, 150.75192, -23.13668, 125m. RoR048, 150.74961, -23.12833, 0m. RoR049, 150.74978, -23.12592, 135m. RoR050, 150.75139, -23.10809, 185m. RoR051, 150.75121, -23.10570, 235m. "/>
      </w:tblPr>
      <w:tblGrid>
        <w:gridCol w:w="1625"/>
        <w:gridCol w:w="1860"/>
        <w:gridCol w:w="1766"/>
        <w:gridCol w:w="3833"/>
      </w:tblGrid>
      <w:tr w:rsidR="008237BB" w:rsidTr="001B78DC">
        <w:trPr>
          <w:cnfStyle w:val="100000000000" w:firstRow="1" w:lastRow="0" w:firstColumn="0" w:lastColumn="0" w:oddVBand="0" w:evenVBand="0" w:oddHBand="0" w:evenHBand="0" w:firstRowFirstColumn="0" w:firstRowLastColumn="0" w:lastRowFirstColumn="0" w:lastRowLastColumn="0"/>
          <w:cantSplit w:val="0"/>
          <w:trHeight w:val="649"/>
          <w:tblHeader/>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Erosion prone area segment number</w:t>
            </w:r>
          </w:p>
        </w:tc>
        <w:tc>
          <w:tcPr>
            <w:tcW w:w="1860" w:type="dxa"/>
          </w:tcPr>
          <w:p w:rsidR="008237BB" w:rsidRPr="00120C38" w:rsidRDefault="008237BB" w:rsidP="001D132F">
            <w:pPr>
              <w:pStyle w:val="Tabletextleft"/>
              <w:cnfStyle w:val="100000000000" w:firstRow="1" w:lastRow="0" w:firstColumn="0" w:lastColumn="0" w:oddVBand="0" w:evenVBand="0" w:oddHBand="0" w:evenHBand="0" w:firstRowFirstColumn="0" w:firstRowLastColumn="0" w:lastRowFirstColumn="0" w:lastRowLastColumn="0"/>
            </w:pPr>
            <w:r w:rsidRPr="00120C38">
              <w:t>Segment start longitude (degrees)</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Segment start latitude (degrees)</w:t>
            </w:r>
          </w:p>
        </w:tc>
        <w:tc>
          <w:tcPr>
            <w:tcW w:w="3833" w:type="dxa"/>
          </w:tcPr>
          <w:p w:rsidR="008237BB" w:rsidRPr="00120C38" w:rsidRDefault="008237BB" w:rsidP="001D132F">
            <w:pPr>
              <w:pStyle w:val="Tabletextleft"/>
              <w:cnfStyle w:val="100000000000" w:firstRow="1" w:lastRow="0" w:firstColumn="0" w:lastColumn="0" w:oddVBand="0" w:evenVBand="0" w:oddHBand="0" w:evenHBand="0" w:firstRowFirstColumn="0" w:firstRowLastColumn="0" w:lastRowFirstColumn="0" w:lastRowLastColumn="0"/>
            </w:pPr>
            <w:r w:rsidRPr="00120C38">
              <w:t>Erosion prone area width (metres)</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RoR001</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150.94512</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-23.55251</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400</w:t>
            </w:r>
            <w:r w:rsidR="00236C77">
              <w:t> </w:t>
            </w:r>
            <w:r w:rsidRPr="00120C38">
              <w:t>m</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RoR002</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150.86402</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-23.47200</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Transition from 300</w:t>
            </w:r>
            <w:r w:rsidR="00236C77">
              <w:t> </w:t>
            </w:r>
            <w:r w:rsidRPr="00120C38">
              <w:t>m to 135</w:t>
            </w:r>
            <w:r w:rsidR="00236C77">
              <w:t> </w:t>
            </w:r>
            <w:r w:rsidRPr="00120C38">
              <w:t>m</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RoR003</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150.81990</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-23.42384</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135</w:t>
            </w:r>
            <w:r w:rsidR="00236C77">
              <w:t> </w:t>
            </w:r>
            <w:r w:rsidRPr="00120C38">
              <w:t>m</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RoR004</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150.79689</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-23.36910</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240</w:t>
            </w:r>
            <w:r w:rsidR="00236C77">
              <w:t> </w:t>
            </w:r>
            <w:r w:rsidRPr="00120C38">
              <w:t>m</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RoR005</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150.79174</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-23.34885</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140</w:t>
            </w:r>
            <w:r w:rsidR="00236C77">
              <w:t> </w:t>
            </w:r>
            <w:r w:rsidRPr="00120C38">
              <w:t>m</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RoR006</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150.79190</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-23.33522</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0</w:t>
            </w:r>
            <w:r w:rsidR="00236C77">
              <w:t> </w:t>
            </w:r>
            <w:r w:rsidRPr="00120C38">
              <w:t>m</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RoR007</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150.79835</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-23.33773</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100</w:t>
            </w:r>
            <w:r w:rsidR="00236C77">
              <w:t> </w:t>
            </w:r>
            <w:r w:rsidRPr="00120C38">
              <w:t>m (Possible bedrock)</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RoR008</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150.79818</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-23.33610</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0</w:t>
            </w:r>
            <w:r w:rsidR="00236C77">
              <w:t> </w:t>
            </w:r>
            <w:r w:rsidRPr="00120C38">
              <w:t>m</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RoR009</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150.79525</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-23.33539</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100</w:t>
            </w:r>
            <w:r w:rsidR="00236C77">
              <w:t> </w:t>
            </w:r>
            <w:r w:rsidRPr="00120C38">
              <w:t>m</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RoR010</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150.79308</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-23.33130</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Transition from 100</w:t>
            </w:r>
            <w:r w:rsidR="00236C77">
              <w:t> </w:t>
            </w:r>
            <w:r w:rsidRPr="00120C38">
              <w:t>m to 70</w:t>
            </w:r>
            <w:r w:rsidR="00236C77">
              <w:t> </w:t>
            </w:r>
            <w:r w:rsidRPr="00120C38">
              <w:t>m</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RoR011</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150.79309</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-23.32499</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0</w:t>
            </w:r>
            <w:r w:rsidR="00236C77">
              <w:t> </w:t>
            </w:r>
            <w:r w:rsidRPr="00120C38">
              <w:t>m</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RoR012</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150.79073</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-23.32186</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400</w:t>
            </w:r>
            <w:r w:rsidR="00236C77">
              <w:t> </w:t>
            </w:r>
            <w:r w:rsidRPr="00120C38">
              <w:t>m</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RoR013</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150.79246</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-23.30795</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250</w:t>
            </w:r>
            <w:r w:rsidR="00236C77">
              <w:t> </w:t>
            </w:r>
            <w:r w:rsidRPr="00120C38">
              <w:t>m</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RoR014</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150.80035</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-23.29834</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400</w:t>
            </w:r>
            <w:r w:rsidR="00236C77">
              <w:t> </w:t>
            </w:r>
            <w:r w:rsidRPr="00120C38">
              <w:t>m</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RoR015</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150.81117</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-23.28709</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0</w:t>
            </w:r>
            <w:r w:rsidR="00236C77">
              <w:t> </w:t>
            </w:r>
            <w:r w:rsidRPr="00120C38">
              <w:t>m</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RoR016</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150.81390</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-23.28787</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125</w:t>
            </w:r>
            <w:r w:rsidR="00236C77">
              <w:t> </w:t>
            </w:r>
            <w:r w:rsidRPr="00120C38">
              <w:t>m</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RoR017</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150.82010</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-23.27926</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Transition from 125</w:t>
            </w:r>
            <w:r w:rsidR="00236C77">
              <w:t> </w:t>
            </w:r>
            <w:r w:rsidRPr="00120C38">
              <w:t>m to 40</w:t>
            </w:r>
            <w:r w:rsidR="00236C77">
              <w:t> </w:t>
            </w:r>
            <w:r w:rsidRPr="00120C38">
              <w:t>m</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RoR018</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150.82274</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-23.27850</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40</w:t>
            </w:r>
            <w:r w:rsidR="00236C77">
              <w:t> </w:t>
            </w:r>
            <w:r w:rsidRPr="00120C38">
              <w:t>m (Possible bedrock)</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RoR019</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150.82470</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-23.27921</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65</w:t>
            </w:r>
            <w:r w:rsidR="00236C77">
              <w:t> </w:t>
            </w:r>
            <w:r w:rsidRPr="00120C38">
              <w:t>m (Possible bedrock)</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RoR020</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150.82444</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-23.27831</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135</w:t>
            </w:r>
            <w:r w:rsidR="00236C77">
              <w:t> </w:t>
            </w:r>
            <w:r w:rsidRPr="00120C38">
              <w:t>m</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RoR021</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150.82482</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-23.27472</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0</w:t>
            </w:r>
            <w:r w:rsidR="00236C77">
              <w:t> </w:t>
            </w:r>
            <w:r w:rsidRPr="00120C38">
              <w:t>m</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RoR022</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150.82566</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-23.27321</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40</w:t>
            </w:r>
            <w:r w:rsidR="00236C77">
              <w:t> </w:t>
            </w:r>
            <w:r w:rsidRPr="00120C38">
              <w:t>m (Possible bedrock)</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RoR023</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150.82670</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-23.26927</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0</w:t>
            </w:r>
            <w:r w:rsidR="00236C77">
              <w:t> </w:t>
            </w:r>
            <w:r w:rsidRPr="00120C38">
              <w:t>m</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RoR024</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150.82792</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-23.26734</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140</w:t>
            </w:r>
            <w:r w:rsidR="00236C77">
              <w:t> </w:t>
            </w:r>
            <w:r w:rsidRPr="00120C38">
              <w:t>m</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RoR025</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150.82927</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-23.25885</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0</w:t>
            </w:r>
            <w:r w:rsidR="00236C77">
              <w:t> </w:t>
            </w:r>
            <w:r w:rsidRPr="00120C38">
              <w:t>m</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RoR026</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150.82908</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-23.25491</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160</w:t>
            </w:r>
            <w:r w:rsidR="00236C77">
              <w:t> </w:t>
            </w:r>
            <w:r w:rsidRPr="00120C38">
              <w:t>m</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RoR027</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150.82592</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-23.23959</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0</w:t>
            </w:r>
            <w:r w:rsidR="00236C77">
              <w:t> </w:t>
            </w:r>
            <w:r w:rsidRPr="00120C38">
              <w:t>m</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lastRenderedPageBreak/>
              <w:t>RoR028</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150.82599</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-23.23794</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160</w:t>
            </w:r>
            <w:r w:rsidR="00236C77">
              <w:t> </w:t>
            </w:r>
            <w:r w:rsidRPr="00120C38">
              <w:t>m (Possible bedrock)</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RoR029</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150.81951</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-23.22388</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0</w:t>
            </w:r>
            <w:r w:rsidR="00236C77">
              <w:t> </w:t>
            </w:r>
            <w:r w:rsidRPr="00120C38">
              <w:t>m</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RoR030</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150.81687</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-23.22189</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140</w:t>
            </w:r>
            <w:r w:rsidR="00236C77">
              <w:t> </w:t>
            </w:r>
            <w:r w:rsidRPr="00120C38">
              <w:t>m</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RoR031</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150.80031</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-23.22810</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400</w:t>
            </w:r>
            <w:r w:rsidR="00236C77">
              <w:t> </w:t>
            </w:r>
            <w:r w:rsidRPr="00120C38">
              <w:t>m</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RoR032</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150.79731</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-23.22587</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140</w:t>
            </w:r>
            <w:r w:rsidR="00236C77">
              <w:t> </w:t>
            </w:r>
            <w:r w:rsidRPr="00120C38">
              <w:t>m (measured from old creek bank)</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RoR033</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150.79619</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-23.22196</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215</w:t>
            </w:r>
            <w:r w:rsidR="00236C77">
              <w:t> </w:t>
            </w:r>
            <w:r w:rsidRPr="00120C38">
              <w:t>m</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RoR034</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150.78919</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-23.20690</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140</w:t>
            </w:r>
            <w:r w:rsidR="00236C77">
              <w:t> </w:t>
            </w:r>
            <w:r w:rsidRPr="00120C38">
              <w:t>m</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RoR035</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150.78907</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-23.19924</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0</w:t>
            </w:r>
            <w:r w:rsidR="00236C77">
              <w:t> </w:t>
            </w:r>
            <w:r w:rsidRPr="00120C38">
              <w:t>m</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RoR036</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150.79193</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-23.19609</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140</w:t>
            </w:r>
            <w:r w:rsidR="00236C77">
              <w:t> </w:t>
            </w:r>
            <w:r w:rsidRPr="00120C38">
              <w:t>m</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RoR037</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150.79460</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-23.18446</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0</w:t>
            </w:r>
            <w:r w:rsidR="00236C77">
              <w:t> </w:t>
            </w:r>
            <w:r w:rsidRPr="00120C38">
              <w:t>m</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RoR038</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150.79384</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-23.17862</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120</w:t>
            </w:r>
            <w:r w:rsidR="00236C77">
              <w:t> </w:t>
            </w:r>
            <w:r w:rsidRPr="00120C38">
              <w:t>m</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RoR039</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150.79268</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-23.16407</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0</w:t>
            </w:r>
            <w:r w:rsidR="00236C77">
              <w:t> </w:t>
            </w:r>
            <w:r w:rsidRPr="00120C38">
              <w:t>m</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RoR040</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150.78351</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-23.16571</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140</w:t>
            </w:r>
            <w:r w:rsidR="00236C77">
              <w:t> </w:t>
            </w:r>
            <w:r w:rsidRPr="00120C38">
              <w:t>m (Possible bedrock)</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RoR041</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150.77921</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-23.16587</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0</w:t>
            </w:r>
            <w:r w:rsidR="00236C77">
              <w:t> </w:t>
            </w:r>
            <w:r w:rsidRPr="00120C38">
              <w:t>m</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RoR042</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150.77636</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-23.16529</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w:t>
            </w:r>
            <w:r w:rsidR="00236C77">
              <w:t> </w:t>
            </w:r>
            <w:r w:rsidRPr="00120C38">
              <w:t>m</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RoR043</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150.76400</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-23.14554</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0</w:t>
            </w:r>
            <w:r w:rsidR="00236C77">
              <w:t> </w:t>
            </w:r>
            <w:r w:rsidRPr="00120C38">
              <w:t>m</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RoR044</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150.76137</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-23.14281</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w:t>
            </w:r>
            <w:r w:rsidR="00236C77">
              <w:t> </w:t>
            </w:r>
            <w:r w:rsidRPr="00120C38">
              <w:t>m</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RoR045</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150.75912</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-23.14025</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0</w:t>
            </w:r>
            <w:r w:rsidR="00236C77">
              <w:t> </w:t>
            </w:r>
            <w:r w:rsidRPr="00120C38">
              <w:t>m</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RoR046</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150.75487</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-23.13891</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40</w:t>
            </w:r>
            <w:r w:rsidR="00236C77">
              <w:t> </w:t>
            </w:r>
            <w:r w:rsidRPr="00120C38">
              <w:t>m (Possible bedrock)</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RoR047</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150.75192</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-23.13668</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125</w:t>
            </w:r>
            <w:r w:rsidR="00236C77">
              <w:t> </w:t>
            </w:r>
            <w:r w:rsidRPr="00120C38">
              <w:t>m</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RoR048</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150.74961</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-23.12833</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0</w:t>
            </w:r>
            <w:r w:rsidR="00236C77">
              <w:t> </w:t>
            </w:r>
            <w:r w:rsidRPr="00120C38">
              <w:t>m</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RoR049</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150.74978</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-23.12592</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135</w:t>
            </w:r>
            <w:r w:rsidR="00236C77">
              <w:t> </w:t>
            </w:r>
            <w:r w:rsidRPr="00120C38">
              <w:t>m</w:t>
            </w:r>
          </w:p>
        </w:tc>
      </w:tr>
      <w:tr w:rsidR="008237BB" w:rsidTr="001B78DC">
        <w:trPr>
          <w:cnfStyle w:val="000000010000" w:firstRow="0" w:lastRow="0" w:firstColumn="0" w:lastColumn="0" w:oddVBand="0" w:evenVBand="0" w:oddHBand="0" w:evenHBand="1"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RoR050</w:t>
            </w:r>
          </w:p>
        </w:tc>
        <w:tc>
          <w:tcPr>
            <w:tcW w:w="1860"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150.75139</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-23.10809</w:t>
            </w:r>
          </w:p>
        </w:tc>
        <w:tc>
          <w:tcPr>
            <w:tcW w:w="3833" w:type="dxa"/>
          </w:tcPr>
          <w:p w:rsidR="008237BB" w:rsidRPr="00120C38"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20C38">
              <w:t>185</w:t>
            </w:r>
            <w:r w:rsidR="00236C77">
              <w:t> </w:t>
            </w:r>
            <w:r w:rsidRPr="00120C38">
              <w:t>m</w:t>
            </w:r>
          </w:p>
        </w:tc>
      </w:tr>
      <w:tr w:rsidR="008237BB" w:rsidTr="001B78DC">
        <w:trPr>
          <w:cnfStyle w:val="000000100000" w:firstRow="0" w:lastRow="0" w:firstColumn="0" w:lastColumn="0" w:oddVBand="0" w:evenVBand="0" w:oddHBand="1" w:evenHBand="0" w:firstRowFirstColumn="0" w:firstRowLastColumn="0" w:lastRowFirstColumn="0" w:lastRowLastColumn="0"/>
          <w:trHeight w:val="247"/>
        </w:trPr>
        <w:tc>
          <w:tcPr>
            <w:cnfStyle w:val="000010000000" w:firstRow="0" w:lastRow="0" w:firstColumn="0" w:lastColumn="0" w:oddVBand="1" w:evenVBand="0" w:oddHBand="0" w:evenHBand="0" w:firstRowFirstColumn="0" w:firstRowLastColumn="0" w:lastRowFirstColumn="0" w:lastRowLastColumn="0"/>
            <w:tcW w:w="1625" w:type="dxa"/>
          </w:tcPr>
          <w:p w:rsidR="008237BB" w:rsidRPr="00120C38" w:rsidRDefault="008237BB" w:rsidP="001D132F">
            <w:pPr>
              <w:pStyle w:val="Tabletextleft"/>
            </w:pPr>
            <w:r w:rsidRPr="00120C38">
              <w:t>RoR051</w:t>
            </w:r>
          </w:p>
        </w:tc>
        <w:tc>
          <w:tcPr>
            <w:tcW w:w="1860"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150.75121</w:t>
            </w:r>
          </w:p>
        </w:tc>
        <w:tc>
          <w:tcPr>
            <w:cnfStyle w:val="000010000000" w:firstRow="0" w:lastRow="0" w:firstColumn="0" w:lastColumn="0" w:oddVBand="1" w:evenVBand="0" w:oddHBand="0" w:evenHBand="0" w:firstRowFirstColumn="0" w:firstRowLastColumn="0" w:lastRowFirstColumn="0" w:lastRowLastColumn="0"/>
            <w:tcW w:w="1766" w:type="dxa"/>
          </w:tcPr>
          <w:p w:rsidR="008237BB" w:rsidRPr="00120C38" w:rsidRDefault="008237BB" w:rsidP="001D132F">
            <w:pPr>
              <w:pStyle w:val="Tabletextleft"/>
            </w:pPr>
            <w:r w:rsidRPr="00120C38">
              <w:t>-23.10570</w:t>
            </w:r>
          </w:p>
        </w:tc>
        <w:tc>
          <w:tcPr>
            <w:tcW w:w="3833" w:type="dxa"/>
          </w:tcPr>
          <w:p w:rsidR="008237BB" w:rsidRPr="00120C38"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20C38">
              <w:t>235</w:t>
            </w:r>
            <w:r w:rsidR="00236C77">
              <w:t> </w:t>
            </w:r>
            <w:r w:rsidRPr="00120C38">
              <w:t>m</w:t>
            </w:r>
          </w:p>
        </w:tc>
      </w:tr>
    </w:tbl>
    <w:p w:rsidR="008237BB" w:rsidRDefault="008237BB" w:rsidP="008237BB">
      <w:pPr>
        <w:pStyle w:val="BodyText"/>
      </w:pPr>
    </w:p>
    <w:p w:rsidR="008237BB" w:rsidRPr="0017121D" w:rsidRDefault="008237BB" w:rsidP="009340CE">
      <w:pPr>
        <w:pStyle w:val="Headingappendix4"/>
      </w:pPr>
      <w:bookmarkStart w:id="5121" w:name="_Toc341445308"/>
      <w:bookmarkStart w:id="5122" w:name="_Toc342638538"/>
      <w:bookmarkStart w:id="5123" w:name="_Toc346261038"/>
      <w:bookmarkStart w:id="5124" w:name="_Toc346632600"/>
      <w:bookmarkStart w:id="5125" w:name="_Toc347402535"/>
      <w:bookmarkStart w:id="5126" w:name="_Toc349055108"/>
      <w:bookmarkStart w:id="5127" w:name="_Toc349117018"/>
      <w:bookmarkStart w:id="5128" w:name="_Toc354402072"/>
      <w:bookmarkStart w:id="5129" w:name="_Toc354476569"/>
      <w:bookmarkStart w:id="5130" w:name="_Toc354492798"/>
      <w:bookmarkStart w:id="5131" w:name="_Toc354493045"/>
      <w:bookmarkStart w:id="5132" w:name="_Toc354493176"/>
      <w:bookmarkStart w:id="5133" w:name="_Toc354493337"/>
      <w:bookmarkStart w:id="5134" w:name="_Toc355164260"/>
      <w:r w:rsidRPr="0017121D">
        <w:t>Spatial Analysis</w:t>
      </w:r>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p>
    <w:p w:rsidR="002F691C" w:rsidRDefault="008237BB" w:rsidP="008237BB">
      <w:pPr>
        <w:pStyle w:val="BodyText"/>
      </w:pPr>
      <w:r>
        <w:t xml:space="preserve">The future-climate erosion hazard was developed by creating spatial data (points) from the latitude and longitude data for each of erosion-prone area segment boundaries as shown in </w:t>
      </w:r>
      <w:r w:rsidR="00FF40D0">
        <w:fldChar w:fldCharType="begin"/>
      </w:r>
      <w:r w:rsidR="00FF40D0">
        <w:instrText xml:space="preserve"> REF _Ref354581578 \h </w:instrText>
      </w:r>
      <w:r w:rsidR="00FF40D0">
        <w:fldChar w:fldCharType="separate"/>
      </w:r>
      <w:r w:rsidR="00413858">
        <w:t xml:space="preserve">Appendix Table </w:t>
      </w:r>
      <w:r w:rsidR="00413858">
        <w:rPr>
          <w:noProof/>
        </w:rPr>
        <w:t>D</w:t>
      </w:r>
      <w:r w:rsidR="00413858">
        <w:t>.</w:t>
      </w:r>
      <w:r w:rsidR="00413858">
        <w:rPr>
          <w:noProof/>
        </w:rPr>
        <w:t>1</w:t>
      </w:r>
      <w:r w:rsidR="00FF40D0">
        <w:fldChar w:fldCharType="end"/>
      </w:r>
      <w:r>
        <w:t>. The boundary points were co-located on the current coastline digitised for the current-climate erosion overlays. The segment of coastline between the two erosion-prone area boundaries points was then buffered landward by the erosion prone area width (in metres) calculated by DERM (2012a) to create the polygon showing the aerial extent of the future-climate erosion hazard.</w:t>
      </w:r>
    </w:p>
    <w:p w:rsidR="008237BB" w:rsidRDefault="008237BB" w:rsidP="006B24B4">
      <w:pPr>
        <w:pStyle w:val="Headingappendix2"/>
      </w:pPr>
      <w:bookmarkStart w:id="5135" w:name="_Toc341445309"/>
      <w:bookmarkStart w:id="5136" w:name="_Toc342638539"/>
      <w:bookmarkStart w:id="5137" w:name="_Toc346261039"/>
      <w:bookmarkStart w:id="5138" w:name="_Toc346632601"/>
      <w:bookmarkStart w:id="5139" w:name="_Toc346632812"/>
      <w:bookmarkStart w:id="5140" w:name="_Toc346632924"/>
      <w:bookmarkStart w:id="5141" w:name="_Toc346633036"/>
      <w:bookmarkStart w:id="5142" w:name="_Toc346633260"/>
      <w:bookmarkStart w:id="5143" w:name="_Toc347401693"/>
      <w:bookmarkStart w:id="5144" w:name="_Toc347401805"/>
      <w:bookmarkStart w:id="5145" w:name="_Toc347401917"/>
      <w:bookmarkStart w:id="5146" w:name="_Toc347402141"/>
      <w:bookmarkStart w:id="5147" w:name="_Toc347402536"/>
      <w:bookmarkStart w:id="5148" w:name="_Toc349055109"/>
      <w:bookmarkStart w:id="5149" w:name="_Toc349055322"/>
      <w:bookmarkStart w:id="5150" w:name="_Toc349055435"/>
      <w:bookmarkStart w:id="5151" w:name="_Toc349055548"/>
      <w:bookmarkStart w:id="5152" w:name="_Toc349055774"/>
      <w:bookmarkStart w:id="5153" w:name="_Toc349117019"/>
      <w:bookmarkStart w:id="5154" w:name="_Toc350330100"/>
      <w:bookmarkStart w:id="5155" w:name="_Toc350344079"/>
      <w:bookmarkStart w:id="5156" w:name="_Toc354402073"/>
      <w:bookmarkStart w:id="5157" w:name="_Toc354404083"/>
      <w:bookmarkStart w:id="5158" w:name="_Toc354476570"/>
      <w:bookmarkStart w:id="5159" w:name="_Toc354492799"/>
      <w:bookmarkStart w:id="5160" w:name="_Toc354492918"/>
      <w:bookmarkStart w:id="5161" w:name="_Toc354493046"/>
      <w:bookmarkStart w:id="5162" w:name="_Toc354493177"/>
      <w:bookmarkStart w:id="5163" w:name="_Toc354493338"/>
      <w:bookmarkStart w:id="5164" w:name="_Toc354493787"/>
      <w:bookmarkStart w:id="5165" w:name="_Toc354494322"/>
      <w:bookmarkStart w:id="5166" w:name="_Toc354494752"/>
      <w:bookmarkStart w:id="5167" w:name="_Toc354495046"/>
      <w:bookmarkStart w:id="5168" w:name="_Toc354497928"/>
      <w:bookmarkStart w:id="5169" w:name="_Toc354561343"/>
      <w:bookmarkStart w:id="5170" w:name="_Toc355164261"/>
      <w:bookmarkStart w:id="5171" w:name="_Toc355249684"/>
      <w:r>
        <w:lastRenderedPageBreak/>
        <w:t>Results</w:t>
      </w:r>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p>
    <w:p w:rsidR="008237BB" w:rsidRPr="00527072" w:rsidRDefault="008237BB" w:rsidP="00935848">
      <w:pPr>
        <w:pStyle w:val="Headingappendix3"/>
      </w:pPr>
      <w:bookmarkStart w:id="5172" w:name="_Toc341445310"/>
      <w:bookmarkStart w:id="5173" w:name="_Toc342638540"/>
      <w:bookmarkStart w:id="5174" w:name="_Toc346261040"/>
      <w:bookmarkStart w:id="5175" w:name="_Toc346632602"/>
      <w:bookmarkStart w:id="5176" w:name="_Toc346632813"/>
      <w:bookmarkStart w:id="5177" w:name="_Toc346632925"/>
      <w:bookmarkStart w:id="5178" w:name="_Toc346633037"/>
      <w:bookmarkStart w:id="5179" w:name="_Toc346633261"/>
      <w:bookmarkStart w:id="5180" w:name="_Toc347401694"/>
      <w:bookmarkStart w:id="5181" w:name="_Toc347401806"/>
      <w:bookmarkStart w:id="5182" w:name="_Toc347401918"/>
      <w:bookmarkStart w:id="5183" w:name="_Toc347402142"/>
      <w:bookmarkStart w:id="5184" w:name="_Toc347402537"/>
      <w:bookmarkStart w:id="5185" w:name="_Toc349055110"/>
      <w:bookmarkStart w:id="5186" w:name="_Toc349055323"/>
      <w:bookmarkStart w:id="5187" w:name="_Toc349055436"/>
      <w:bookmarkStart w:id="5188" w:name="_Toc349055549"/>
      <w:bookmarkStart w:id="5189" w:name="_Toc349055775"/>
      <w:bookmarkStart w:id="5190" w:name="_Toc349117020"/>
      <w:bookmarkStart w:id="5191" w:name="_Toc350330101"/>
      <w:bookmarkStart w:id="5192" w:name="_Toc350344080"/>
      <w:bookmarkStart w:id="5193" w:name="_Toc354402074"/>
      <w:bookmarkStart w:id="5194" w:name="_Toc354476571"/>
      <w:bookmarkStart w:id="5195" w:name="_Toc354492800"/>
      <w:bookmarkStart w:id="5196" w:name="_Toc354492919"/>
      <w:bookmarkStart w:id="5197" w:name="_Toc354493047"/>
      <w:bookmarkStart w:id="5198" w:name="_Toc354493178"/>
      <w:bookmarkStart w:id="5199" w:name="_Toc354493339"/>
      <w:bookmarkStart w:id="5200" w:name="_Toc354493788"/>
      <w:bookmarkStart w:id="5201" w:name="_Toc354494323"/>
      <w:bookmarkStart w:id="5202" w:name="_Toc354494753"/>
      <w:bookmarkStart w:id="5203" w:name="_Toc354495047"/>
      <w:bookmarkStart w:id="5204" w:name="_Toc354497929"/>
      <w:bookmarkStart w:id="5205" w:name="_Toc354561344"/>
      <w:bookmarkStart w:id="5206" w:name="_Toc355164262"/>
      <w:bookmarkStart w:id="5207" w:name="_Toc355249685"/>
      <w:r>
        <w:t>Current Climate</w:t>
      </w:r>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p>
    <w:p w:rsidR="002F691C" w:rsidRDefault="008237BB" w:rsidP="008237BB">
      <w:pPr>
        <w:pStyle w:val="BodyText"/>
      </w:pPr>
      <w:r w:rsidRPr="00C26233">
        <w:t>The coastal erosion hazard</w:t>
      </w:r>
      <w:r>
        <w:t xml:space="preserve"> is shown in </w:t>
      </w:r>
      <w:r>
        <w:fldChar w:fldCharType="begin"/>
      </w:r>
      <w:r>
        <w:instrText xml:space="preserve"> REF _Ref350339630 \h </w:instrText>
      </w:r>
      <w:r>
        <w:fldChar w:fldCharType="separate"/>
      </w:r>
      <w:r w:rsidR="00413858">
        <w:t xml:space="preserve">Appendix Figure </w:t>
      </w:r>
      <w:r w:rsidR="00413858">
        <w:rPr>
          <w:noProof/>
        </w:rPr>
        <w:t>D</w:t>
      </w:r>
      <w:r w:rsidR="00413858">
        <w:t>.</w:t>
      </w:r>
      <w:r w:rsidR="00413858">
        <w:rPr>
          <w:noProof/>
        </w:rPr>
        <w:t>5</w:t>
      </w:r>
      <w:r>
        <w:fldChar w:fldCharType="end"/>
      </w:r>
      <w:r>
        <w:t xml:space="preserve"> and </w:t>
      </w:r>
      <w:r>
        <w:fldChar w:fldCharType="begin"/>
      </w:r>
      <w:r>
        <w:instrText xml:space="preserve"> REF _Ref350339645 \h </w:instrText>
      </w:r>
      <w:r>
        <w:fldChar w:fldCharType="separate"/>
      </w:r>
      <w:r w:rsidR="00413858">
        <w:t xml:space="preserve">Appendix Figure </w:t>
      </w:r>
      <w:r w:rsidR="00413858">
        <w:rPr>
          <w:noProof/>
        </w:rPr>
        <w:t>D</w:t>
      </w:r>
      <w:r w:rsidR="00413858">
        <w:t>.</w:t>
      </w:r>
      <w:r w:rsidR="00413858">
        <w:rPr>
          <w:noProof/>
        </w:rPr>
        <w:t>6</w:t>
      </w:r>
      <w:r>
        <w:fldChar w:fldCharType="end"/>
      </w:r>
      <w:r>
        <w:t>,</w:t>
      </w:r>
      <w:r w:rsidR="009E1AAE">
        <w:t xml:space="preserve"> </w:t>
      </w:r>
      <w:r>
        <w:t>and</w:t>
      </w:r>
      <w:r w:rsidRPr="00C26233">
        <w:t xml:space="preserve"> has</w:t>
      </w:r>
      <w:r>
        <w:t xml:space="preserve"> also</w:t>
      </w:r>
      <w:r w:rsidRPr="00C26233">
        <w:t xml:space="preserve"> been presented as an A3 overview map shee</w:t>
      </w:r>
      <w:r>
        <w:t>t</w:t>
      </w:r>
      <w:r w:rsidRPr="00C26233">
        <w:t xml:space="preserve">. The overview map sheet </w:t>
      </w:r>
      <w:r>
        <w:t>only</w:t>
      </w:r>
      <w:r w:rsidRPr="00C26233">
        <w:t xml:space="preserve"> </w:t>
      </w:r>
      <w:r w:rsidRPr="001D70BF">
        <w:t>display</w:t>
      </w:r>
      <w:r>
        <w:t>s</w:t>
      </w:r>
      <w:r w:rsidRPr="001D70BF">
        <w:t xml:space="preserve"> the coastline</w:t>
      </w:r>
      <w:r w:rsidRPr="00C26233">
        <w:t xml:space="preserve"> that is vulnerable and does not</w:t>
      </w:r>
      <w:r>
        <w:t xml:space="preserve"> </w:t>
      </w:r>
      <w:r w:rsidRPr="00C26233">
        <w:t xml:space="preserve">identify the </w:t>
      </w:r>
      <w:r>
        <w:t>extent of coastal erosion. This</w:t>
      </w:r>
      <w:r w:rsidRPr="00C26233">
        <w:t xml:space="preserve"> data has been symbolised with a greater</w:t>
      </w:r>
      <w:r>
        <w:t xml:space="preserve"> </w:t>
      </w:r>
      <w:r w:rsidRPr="00C26233">
        <w:t xml:space="preserve">line width so as to be </w:t>
      </w:r>
      <w:r>
        <w:t>visible</w:t>
      </w:r>
      <w:r w:rsidRPr="00C26233">
        <w:t xml:space="preserve"> when viewed at the standard</w:t>
      </w:r>
      <w:r>
        <w:t xml:space="preserve"> map</w:t>
      </w:r>
      <w:r w:rsidRPr="00C26233">
        <w:t xml:space="preserve"> extent. Th</w:t>
      </w:r>
      <w:r>
        <w:t>e recession extent is either 10 </w:t>
      </w:r>
      <w:r w:rsidRPr="00C26233">
        <w:t>m or 40</w:t>
      </w:r>
      <w:r>
        <w:t> </w:t>
      </w:r>
      <w:r w:rsidRPr="00C26233">
        <w:t>m, as described above, and</w:t>
      </w:r>
      <w:r>
        <w:t xml:space="preserve"> </w:t>
      </w:r>
      <w:r w:rsidRPr="008C6380">
        <w:t>this is provided within the large scale</w:t>
      </w:r>
      <w:r>
        <w:t xml:space="preserve"> hazard maps.</w:t>
      </w:r>
    </w:p>
    <w:p w:rsidR="008237BB" w:rsidRDefault="008237BB" w:rsidP="0045431D">
      <w:pPr>
        <w:pStyle w:val="Figuresandimagesleft"/>
      </w:pPr>
      <w:r>
        <w:rPr>
          <w:noProof/>
        </w:rPr>
        <w:drawing>
          <wp:inline distT="0" distB="0" distL="0" distR="0" wp14:anchorId="19669819" wp14:editId="0FE5B520">
            <wp:extent cx="5400675" cy="3600450"/>
            <wp:effectExtent l="0" t="0" r="9525" b="0"/>
            <wp:docPr id="6" name="Picture 6" descr="This figure identifies current climate erosion within the study region. The extent is not accurate at this scale as the line weight has been increased to show clearly where coastal erosion is occurring. Coastal erosion occurs on the coastline from the northern extent of the study region down through Yeppoon to Bluff Point.&#10;&#10;Erosion has also been identified around Emu Park (Tanby Point through to Zilzie Point) and at Keppel S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This figure identifies current climate erosion within the study region. The extent is not accurate at this scale as the line weight has been increased to show clearly where coastal erosion is occurring. Coastal erosion occurs on the coastline from the northern extent of the study region down through Yeppoon to Bluff Point.&#10;&#10;Erosion has also been identified around Emu Park (Tanby Point through to Zilzie Point) and at Keppel Sand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237BB" w:rsidRDefault="00414D8E" w:rsidP="00797F73">
      <w:pPr>
        <w:pStyle w:val="Caption"/>
      </w:pPr>
      <w:bookmarkStart w:id="5208" w:name="_Ref350339630"/>
      <w:bookmarkStart w:id="5209" w:name="_Toc342638687"/>
      <w:bookmarkStart w:id="5210" w:name="_Toc349055217"/>
      <w:bookmarkStart w:id="5211" w:name="_Toc349055880"/>
      <w:bookmarkStart w:id="5212" w:name="_Toc349114965"/>
      <w:bookmarkStart w:id="5213" w:name="_Toc349115195"/>
      <w:bookmarkStart w:id="5214" w:name="_Toc349115772"/>
      <w:bookmarkStart w:id="5215" w:name="_Toc350325353"/>
      <w:bookmarkStart w:id="5216" w:name="_Toc350325628"/>
      <w:bookmarkStart w:id="5217" w:name="_Toc350327052"/>
      <w:bookmarkStart w:id="5218" w:name="_Toc350327330"/>
      <w:bookmarkStart w:id="5219" w:name="_Toc350330277"/>
      <w:bookmarkStart w:id="5220" w:name="_Toc350339859"/>
      <w:bookmarkStart w:id="5221" w:name="_Toc350341532"/>
      <w:bookmarkStart w:id="5222" w:name="_Toc350341686"/>
      <w:bookmarkStart w:id="5223" w:name="_Toc351449971"/>
      <w:bookmarkStart w:id="5224" w:name="_Toc352242354"/>
      <w:bookmarkStart w:id="5225" w:name="_Toc352243782"/>
      <w:bookmarkStart w:id="5226" w:name="_Toc352243913"/>
      <w:bookmarkStart w:id="5227" w:name="_Toc352244553"/>
      <w:bookmarkStart w:id="5228" w:name="_Toc354403659"/>
      <w:bookmarkStart w:id="5229" w:name="_Toc354476664"/>
      <w:bookmarkStart w:id="5230" w:name="_Toc354493421"/>
      <w:bookmarkStart w:id="5231" w:name="_Toc354493550"/>
      <w:bookmarkStart w:id="5232" w:name="_Toc354493962"/>
      <w:bookmarkStart w:id="5233" w:name="_Toc354494834"/>
      <w:bookmarkStart w:id="5234" w:name="_Toc354497578"/>
      <w:bookmarkStart w:id="5235" w:name="_Toc354497650"/>
      <w:bookmarkStart w:id="5236" w:name="_Toc354561241"/>
      <w:bookmarkStart w:id="5237" w:name="_Toc354561425"/>
      <w:bookmarkStart w:id="5238" w:name="_Toc354561497"/>
      <w:bookmarkStart w:id="5239" w:name="_Toc354561569"/>
      <w:r>
        <w:t>Appendix Figure</w:t>
      </w:r>
      <w:r w:rsidR="008237BB">
        <w:t xml:space="preserve"> </w:t>
      </w:r>
      <w:r w:rsidR="007F11CF">
        <w:fldChar w:fldCharType="begin"/>
      </w:r>
      <w:r w:rsidR="007F11CF">
        <w:instrText xml:space="preserve"> STYLERE</w:instrText>
      </w:r>
      <w:r w:rsidR="007F11CF">
        <w:instrText xml:space="preserve">F 9 \s </w:instrText>
      </w:r>
      <w:r w:rsidR="007F11CF">
        <w:fldChar w:fldCharType="separate"/>
      </w:r>
      <w:r w:rsidR="00413858">
        <w:rPr>
          <w:noProof/>
        </w:rPr>
        <w:t>D</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5</w:t>
      </w:r>
      <w:r w:rsidR="007F11CF">
        <w:rPr>
          <w:noProof/>
        </w:rPr>
        <w:fldChar w:fldCharType="end"/>
      </w:r>
      <w:bookmarkEnd w:id="5208"/>
      <w:r w:rsidR="008237BB">
        <w:t xml:space="preserve">. </w:t>
      </w:r>
      <w:r w:rsidR="00FF40D0">
        <w:t>Current climate c</w:t>
      </w:r>
      <w:r w:rsidR="008237BB">
        <w:t>oastal erosion exposed coastline</w:t>
      </w:r>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p>
    <w:p w:rsidR="008237BB" w:rsidRDefault="008237BB" w:rsidP="00935848">
      <w:pPr>
        <w:pStyle w:val="Headingappendix3"/>
      </w:pPr>
      <w:bookmarkStart w:id="5240" w:name="_Toc341445311"/>
      <w:bookmarkStart w:id="5241" w:name="_Toc342638541"/>
      <w:bookmarkStart w:id="5242" w:name="_Toc346261041"/>
      <w:bookmarkStart w:id="5243" w:name="_Toc346632603"/>
      <w:bookmarkStart w:id="5244" w:name="_Toc346632814"/>
      <w:bookmarkStart w:id="5245" w:name="_Toc346632926"/>
      <w:bookmarkStart w:id="5246" w:name="_Toc346633038"/>
      <w:bookmarkStart w:id="5247" w:name="_Toc346633262"/>
      <w:bookmarkStart w:id="5248" w:name="_Toc347401695"/>
      <w:bookmarkStart w:id="5249" w:name="_Toc347401807"/>
      <w:bookmarkStart w:id="5250" w:name="_Toc347401919"/>
      <w:bookmarkStart w:id="5251" w:name="_Toc347402143"/>
      <w:bookmarkStart w:id="5252" w:name="_Toc347402538"/>
      <w:bookmarkStart w:id="5253" w:name="_Toc349055111"/>
      <w:bookmarkStart w:id="5254" w:name="_Toc349055324"/>
      <w:bookmarkStart w:id="5255" w:name="_Toc349055437"/>
      <w:bookmarkStart w:id="5256" w:name="_Toc349055550"/>
      <w:bookmarkStart w:id="5257" w:name="_Toc349055776"/>
      <w:bookmarkStart w:id="5258" w:name="_Toc349117021"/>
      <w:bookmarkStart w:id="5259" w:name="_Toc350330102"/>
      <w:bookmarkStart w:id="5260" w:name="_Toc350344081"/>
      <w:bookmarkStart w:id="5261" w:name="_Toc354402075"/>
      <w:bookmarkStart w:id="5262" w:name="_Toc354476572"/>
      <w:bookmarkStart w:id="5263" w:name="_Toc354492801"/>
      <w:bookmarkStart w:id="5264" w:name="_Toc354492920"/>
      <w:bookmarkStart w:id="5265" w:name="_Toc354493048"/>
      <w:bookmarkStart w:id="5266" w:name="_Toc354493179"/>
      <w:bookmarkStart w:id="5267" w:name="_Toc354493340"/>
      <w:bookmarkStart w:id="5268" w:name="_Toc354493789"/>
      <w:bookmarkStart w:id="5269" w:name="_Toc354494324"/>
      <w:bookmarkStart w:id="5270" w:name="_Toc354494754"/>
      <w:bookmarkStart w:id="5271" w:name="_Toc354495048"/>
      <w:bookmarkStart w:id="5272" w:name="_Toc354497930"/>
      <w:bookmarkStart w:id="5273" w:name="_Toc354561345"/>
      <w:bookmarkStart w:id="5274" w:name="_Toc355164263"/>
      <w:bookmarkStart w:id="5275" w:name="_Toc355249686"/>
      <w:r>
        <w:lastRenderedPageBreak/>
        <w:t>Future Climate</w:t>
      </w:r>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p>
    <w:p w:rsidR="008237BB" w:rsidRDefault="008237BB" w:rsidP="0045431D">
      <w:pPr>
        <w:pStyle w:val="Figuresandimagesleft"/>
      </w:pPr>
      <w:r>
        <w:rPr>
          <w:noProof/>
        </w:rPr>
        <w:drawing>
          <wp:inline distT="0" distB="0" distL="0" distR="0" wp14:anchorId="7A624F62" wp14:editId="288C5CBD">
            <wp:extent cx="5400675" cy="3590925"/>
            <wp:effectExtent l="0" t="0" r="9525" b="9525"/>
            <wp:docPr id="5" name="Picture 5" descr="This figure shows the future climate (2100) coastal erosion hazard. Coastal erosion is identifed extending from the coastline at the northern extent of the study region and extending all the way down the coastline to the mouth of the Fitzroy River. &#10;&#10;As for the current climate the future climater erosion hazard identified is not accurately showing the extent of the hazard as the line weight has been increased to show clearly, at the scale presented, where the hazard is predicted to occ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This figure shows the future climate (2100) coastal erosion hazard. Coastal erosion is identifed extending from the coastline at the northern extent of the study region and extending all the way down the coastline to the mouth of the Fitzroy River. &#10;&#10;As for the current climate the future climater erosion hazard identified is not accurately showing the extent of the hazard as the line weight has been increased to show clearly, at the scale presented, where the hazard is predicted to occu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00675" cy="3590925"/>
                    </a:xfrm>
                    <a:prstGeom prst="rect">
                      <a:avLst/>
                    </a:prstGeom>
                    <a:noFill/>
                    <a:ln>
                      <a:noFill/>
                    </a:ln>
                  </pic:spPr>
                </pic:pic>
              </a:graphicData>
            </a:graphic>
          </wp:inline>
        </w:drawing>
      </w:r>
    </w:p>
    <w:p w:rsidR="008237BB" w:rsidRDefault="00414D8E" w:rsidP="00797F73">
      <w:pPr>
        <w:pStyle w:val="Caption"/>
      </w:pPr>
      <w:bookmarkStart w:id="5276" w:name="_Ref350339645"/>
      <w:bookmarkStart w:id="5277" w:name="_Toc342638688"/>
      <w:bookmarkStart w:id="5278" w:name="_Toc349055218"/>
      <w:bookmarkStart w:id="5279" w:name="_Toc349055881"/>
      <w:bookmarkStart w:id="5280" w:name="_Toc349114966"/>
      <w:bookmarkStart w:id="5281" w:name="_Toc349115196"/>
      <w:bookmarkStart w:id="5282" w:name="_Toc349115773"/>
      <w:bookmarkStart w:id="5283" w:name="_Toc350325354"/>
      <w:bookmarkStart w:id="5284" w:name="_Toc350325629"/>
      <w:bookmarkStart w:id="5285" w:name="_Toc350327053"/>
      <w:bookmarkStart w:id="5286" w:name="_Toc350327331"/>
      <w:bookmarkStart w:id="5287" w:name="_Toc350330278"/>
      <w:bookmarkStart w:id="5288" w:name="_Toc350339860"/>
      <w:bookmarkStart w:id="5289" w:name="_Toc350341533"/>
      <w:bookmarkStart w:id="5290" w:name="_Toc350341687"/>
      <w:bookmarkStart w:id="5291" w:name="_Toc351449972"/>
      <w:bookmarkStart w:id="5292" w:name="_Toc352242355"/>
      <w:bookmarkStart w:id="5293" w:name="_Toc352243783"/>
      <w:bookmarkStart w:id="5294" w:name="_Toc352243914"/>
      <w:bookmarkStart w:id="5295" w:name="_Toc352244554"/>
      <w:bookmarkStart w:id="5296" w:name="_Toc354403660"/>
      <w:bookmarkStart w:id="5297" w:name="_Toc354476665"/>
      <w:bookmarkStart w:id="5298" w:name="_Toc354493422"/>
      <w:bookmarkStart w:id="5299" w:name="_Toc354493551"/>
      <w:bookmarkStart w:id="5300" w:name="_Toc354493963"/>
      <w:bookmarkStart w:id="5301" w:name="_Toc354494835"/>
      <w:bookmarkStart w:id="5302" w:name="_Toc354497579"/>
      <w:bookmarkStart w:id="5303" w:name="_Toc354497651"/>
      <w:bookmarkStart w:id="5304" w:name="_Toc354561242"/>
      <w:bookmarkStart w:id="5305" w:name="_Toc354561426"/>
      <w:bookmarkStart w:id="5306" w:name="_Toc354561498"/>
      <w:bookmarkStart w:id="5307" w:name="_Toc354561570"/>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D</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6</w:t>
      </w:r>
      <w:r w:rsidR="007F11CF">
        <w:rPr>
          <w:noProof/>
        </w:rPr>
        <w:fldChar w:fldCharType="end"/>
      </w:r>
      <w:bookmarkEnd w:id="5276"/>
      <w:r w:rsidR="008237BB">
        <w:t>. Future-climate (2100) coastal erosion exposed coastline.</w:t>
      </w:r>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p>
    <w:p w:rsidR="008237BB" w:rsidRDefault="00797F73" w:rsidP="006B24B4">
      <w:pPr>
        <w:pStyle w:val="Headingappendix2"/>
      </w:pPr>
      <w:bookmarkStart w:id="5308" w:name="_Toc341445312"/>
      <w:bookmarkStart w:id="5309" w:name="_Toc342638542"/>
      <w:bookmarkStart w:id="5310" w:name="_Toc346261042"/>
      <w:bookmarkStart w:id="5311" w:name="_Toc346632604"/>
      <w:bookmarkStart w:id="5312" w:name="_Toc346632815"/>
      <w:bookmarkStart w:id="5313" w:name="_Toc346632927"/>
      <w:bookmarkStart w:id="5314" w:name="_Toc346633039"/>
      <w:bookmarkStart w:id="5315" w:name="_Toc346633263"/>
      <w:bookmarkStart w:id="5316" w:name="_Toc347401696"/>
      <w:bookmarkStart w:id="5317" w:name="_Toc347401808"/>
      <w:bookmarkStart w:id="5318" w:name="_Toc347401920"/>
      <w:bookmarkStart w:id="5319" w:name="_Toc347402144"/>
      <w:bookmarkStart w:id="5320" w:name="_Toc347402539"/>
      <w:bookmarkStart w:id="5321" w:name="_Toc349055112"/>
      <w:bookmarkStart w:id="5322" w:name="_Toc349055325"/>
      <w:bookmarkStart w:id="5323" w:name="_Toc349055438"/>
      <w:bookmarkStart w:id="5324" w:name="_Toc349055551"/>
      <w:bookmarkStart w:id="5325" w:name="_Toc349055777"/>
      <w:bookmarkStart w:id="5326" w:name="_Toc349117022"/>
      <w:bookmarkStart w:id="5327" w:name="_Toc350330103"/>
      <w:bookmarkStart w:id="5328" w:name="_Toc350344082"/>
      <w:bookmarkStart w:id="5329" w:name="_Toc354402076"/>
      <w:bookmarkStart w:id="5330" w:name="_Toc354404084"/>
      <w:bookmarkStart w:id="5331" w:name="_Toc354476573"/>
      <w:bookmarkStart w:id="5332" w:name="_Toc354492802"/>
      <w:bookmarkStart w:id="5333" w:name="_Toc354492921"/>
      <w:bookmarkStart w:id="5334" w:name="_Toc354493049"/>
      <w:bookmarkStart w:id="5335" w:name="_Toc354493180"/>
      <w:bookmarkStart w:id="5336" w:name="_Toc354493341"/>
      <w:bookmarkStart w:id="5337" w:name="_Toc354493790"/>
      <w:bookmarkStart w:id="5338" w:name="_Toc354494325"/>
      <w:bookmarkStart w:id="5339" w:name="_Toc354494755"/>
      <w:bookmarkStart w:id="5340" w:name="_Toc354495049"/>
      <w:bookmarkStart w:id="5341" w:name="_Toc354497931"/>
      <w:bookmarkStart w:id="5342" w:name="_Toc354561346"/>
      <w:r>
        <w:br w:type="page"/>
      </w:r>
      <w:bookmarkStart w:id="5343" w:name="_Toc355164264"/>
      <w:bookmarkStart w:id="5344" w:name="_Toc355249687"/>
      <w:r w:rsidR="008237BB">
        <w:lastRenderedPageBreak/>
        <w:t>Discussion</w:t>
      </w:r>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p>
    <w:p w:rsidR="008237BB" w:rsidRPr="00527072" w:rsidRDefault="008237BB" w:rsidP="00935848">
      <w:pPr>
        <w:pStyle w:val="Headingappendix3"/>
      </w:pPr>
      <w:bookmarkStart w:id="5345" w:name="_Toc341445313"/>
      <w:bookmarkStart w:id="5346" w:name="_Toc342638543"/>
      <w:bookmarkStart w:id="5347" w:name="_Toc346261043"/>
      <w:bookmarkStart w:id="5348" w:name="_Toc346632605"/>
      <w:bookmarkStart w:id="5349" w:name="_Toc346632816"/>
      <w:bookmarkStart w:id="5350" w:name="_Toc346632928"/>
      <w:bookmarkStart w:id="5351" w:name="_Toc346633040"/>
      <w:bookmarkStart w:id="5352" w:name="_Toc346633264"/>
      <w:bookmarkStart w:id="5353" w:name="_Toc347401697"/>
      <w:bookmarkStart w:id="5354" w:name="_Toc347401809"/>
      <w:bookmarkStart w:id="5355" w:name="_Toc347401921"/>
      <w:bookmarkStart w:id="5356" w:name="_Toc347402145"/>
      <w:bookmarkStart w:id="5357" w:name="_Toc347402540"/>
      <w:bookmarkStart w:id="5358" w:name="_Toc349055113"/>
      <w:bookmarkStart w:id="5359" w:name="_Toc349055326"/>
      <w:bookmarkStart w:id="5360" w:name="_Toc349055439"/>
      <w:bookmarkStart w:id="5361" w:name="_Toc349055552"/>
      <w:bookmarkStart w:id="5362" w:name="_Toc349055778"/>
      <w:bookmarkStart w:id="5363" w:name="_Toc349117023"/>
      <w:bookmarkStart w:id="5364" w:name="_Toc350330104"/>
      <w:bookmarkStart w:id="5365" w:name="_Toc350344083"/>
      <w:bookmarkStart w:id="5366" w:name="_Toc354402077"/>
      <w:bookmarkStart w:id="5367" w:name="_Toc354476574"/>
      <w:bookmarkStart w:id="5368" w:name="_Toc354492803"/>
      <w:bookmarkStart w:id="5369" w:name="_Toc354492922"/>
      <w:bookmarkStart w:id="5370" w:name="_Toc354493050"/>
      <w:bookmarkStart w:id="5371" w:name="_Toc354493181"/>
      <w:bookmarkStart w:id="5372" w:name="_Toc354493342"/>
      <w:bookmarkStart w:id="5373" w:name="_Toc354493791"/>
      <w:bookmarkStart w:id="5374" w:name="_Toc354494326"/>
      <w:bookmarkStart w:id="5375" w:name="_Toc354494756"/>
      <w:bookmarkStart w:id="5376" w:name="_Toc354495050"/>
      <w:bookmarkStart w:id="5377" w:name="_Toc354497932"/>
      <w:bookmarkStart w:id="5378" w:name="_Toc354561347"/>
      <w:bookmarkStart w:id="5379" w:name="_Toc355164265"/>
      <w:bookmarkStart w:id="5380" w:name="_Toc355249688"/>
      <w:r>
        <w:t>Current Climate</w:t>
      </w:r>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p>
    <w:p w:rsidR="008237BB" w:rsidRDefault="008237BB" w:rsidP="008237BB">
      <w:pPr>
        <w:pStyle w:val="BodyText"/>
      </w:pPr>
      <w:r>
        <w:t>The current-climate vulnerability to coastal erosion is largely confined to the sections of coastline including:</w:t>
      </w:r>
    </w:p>
    <w:p w:rsidR="008237BB" w:rsidRDefault="008237BB" w:rsidP="007B6C0C">
      <w:pPr>
        <w:pStyle w:val="Bulletlevel1"/>
      </w:pPr>
      <w:r>
        <w:t>East facing and directly open to the prevailing wave climate, e.g. Rocky Point Beach and the northern section Long Beach</w:t>
      </w:r>
    </w:p>
    <w:p w:rsidR="008237BB" w:rsidRDefault="008237BB" w:rsidP="007B6C0C">
      <w:pPr>
        <w:pStyle w:val="Bulletlevel1"/>
      </w:pPr>
      <w:r>
        <w:t>The southern sections of the predominantly E to ENE facing beaches due to wave refraction by the southern headlands concentrating the wave energy, e.g. Tanby Point. This is a natural phenomenon and will continue under current climate</w:t>
      </w:r>
    </w:p>
    <w:p w:rsidR="008237BB" w:rsidRDefault="008237BB" w:rsidP="007B6C0C">
      <w:pPr>
        <w:pStyle w:val="Bulletlevel1"/>
      </w:pPr>
      <w:r>
        <w:t>Beaches where there has been significant anthropogenic activity resulting the loss of sediment from the beach system resulting in erosion, and often leading to the construction of hard engineering structures to prevent further losses. For example, southern section of Farnborough Beach.</w:t>
      </w:r>
    </w:p>
    <w:p w:rsidR="008237BB" w:rsidRDefault="008237BB" w:rsidP="008237BB">
      <w:pPr>
        <w:pStyle w:val="BodyText"/>
      </w:pPr>
      <w:r>
        <w:t xml:space="preserve">As the recent sediment study identified (Ryan </w:t>
      </w:r>
      <w:r w:rsidRPr="007B6C0C">
        <w:rPr>
          <w:rStyle w:val="Bodytextitalic"/>
        </w:rPr>
        <w:t>et al.,</w:t>
      </w:r>
      <w:r>
        <w:t xml:space="preserve"> 2009) there is very little additional sediment being delivered to the Rockhampton beaches north of Keppel Bay under the present wave climate. Most of the sediment being transported northwards from the Fitzroy River discharge is being transported via the deeper offshore pathways (Ryan </w:t>
      </w:r>
      <w:r w:rsidRPr="007B6C0C">
        <w:rPr>
          <w:rStyle w:val="Bodytextitalic"/>
        </w:rPr>
        <w:t xml:space="preserve">et al., </w:t>
      </w:r>
      <w:r>
        <w:t>2009). Under present conditions, there is very little sediment available to naturally renourish the currently eroding beaches. Therefore, where there is an existing coastal erosion hazard under current climate, this is likely to continue at similar rates.</w:t>
      </w:r>
    </w:p>
    <w:p w:rsidR="008237BB" w:rsidRDefault="008237BB" w:rsidP="008237BB">
      <w:pPr>
        <w:pStyle w:val="BodyText"/>
      </w:pPr>
      <w:r>
        <w:t xml:space="preserve">The “erosion prone area” guidelines in the QCHG are currently the best available to the </w:t>
      </w:r>
      <w:r w:rsidRPr="005C26CA">
        <w:t>Rockhampton Regional Council</w:t>
      </w:r>
      <w:r>
        <w:t xml:space="preserve"> on which to base planning decisions.</w:t>
      </w:r>
    </w:p>
    <w:p w:rsidR="008237BB" w:rsidRPr="0017121D" w:rsidRDefault="008237BB" w:rsidP="00935848">
      <w:pPr>
        <w:pStyle w:val="Headingappendix3"/>
      </w:pPr>
      <w:bookmarkStart w:id="5381" w:name="_Toc341445314"/>
      <w:bookmarkStart w:id="5382" w:name="_Toc342638544"/>
      <w:bookmarkStart w:id="5383" w:name="_Toc346261044"/>
      <w:bookmarkStart w:id="5384" w:name="_Toc346632606"/>
      <w:bookmarkStart w:id="5385" w:name="_Toc346632817"/>
      <w:bookmarkStart w:id="5386" w:name="_Toc346632929"/>
      <w:bookmarkStart w:id="5387" w:name="_Toc346633041"/>
      <w:bookmarkStart w:id="5388" w:name="_Toc346633265"/>
      <w:bookmarkStart w:id="5389" w:name="_Toc347401698"/>
      <w:bookmarkStart w:id="5390" w:name="_Toc347401810"/>
      <w:bookmarkStart w:id="5391" w:name="_Toc347401922"/>
      <w:bookmarkStart w:id="5392" w:name="_Toc347402146"/>
      <w:bookmarkStart w:id="5393" w:name="_Toc347402541"/>
      <w:bookmarkStart w:id="5394" w:name="_Toc349055114"/>
      <w:bookmarkStart w:id="5395" w:name="_Toc349055327"/>
      <w:bookmarkStart w:id="5396" w:name="_Toc349055440"/>
      <w:bookmarkStart w:id="5397" w:name="_Toc349055553"/>
      <w:bookmarkStart w:id="5398" w:name="_Toc349055779"/>
      <w:bookmarkStart w:id="5399" w:name="_Toc349117024"/>
      <w:bookmarkStart w:id="5400" w:name="_Toc350330105"/>
      <w:bookmarkStart w:id="5401" w:name="_Toc350344084"/>
      <w:bookmarkStart w:id="5402" w:name="_Toc354402078"/>
      <w:bookmarkStart w:id="5403" w:name="_Toc354476575"/>
      <w:bookmarkStart w:id="5404" w:name="_Toc354492804"/>
      <w:bookmarkStart w:id="5405" w:name="_Toc354492923"/>
      <w:bookmarkStart w:id="5406" w:name="_Toc354493051"/>
      <w:bookmarkStart w:id="5407" w:name="_Toc354493182"/>
      <w:bookmarkStart w:id="5408" w:name="_Toc354493343"/>
      <w:bookmarkStart w:id="5409" w:name="_Toc354493792"/>
      <w:bookmarkStart w:id="5410" w:name="_Toc354494327"/>
      <w:bookmarkStart w:id="5411" w:name="_Toc354494757"/>
      <w:bookmarkStart w:id="5412" w:name="_Toc354495051"/>
      <w:bookmarkStart w:id="5413" w:name="_Toc354497933"/>
      <w:bookmarkStart w:id="5414" w:name="_Toc354561348"/>
      <w:bookmarkStart w:id="5415" w:name="_Toc355164266"/>
      <w:bookmarkStart w:id="5416" w:name="_Toc355249689"/>
      <w:r>
        <w:t>Future Climate</w:t>
      </w:r>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p>
    <w:p w:rsidR="002F691C" w:rsidRDefault="008237BB" w:rsidP="008237BB">
      <w:pPr>
        <w:pStyle w:val="BodyText"/>
      </w:pPr>
      <w:r>
        <w:t xml:space="preserve">There have been very few studies of the macrotidal beaches in the southern and central part of Queensland (e.g. Brooke </w:t>
      </w:r>
      <w:r w:rsidRPr="009E1AAE">
        <w:rPr>
          <w:rStyle w:val="Bodytextitalic"/>
        </w:rPr>
        <w:t>et al</w:t>
      </w:r>
      <w:r w:rsidR="009E1AAE" w:rsidRPr="009E1AAE">
        <w:rPr>
          <w:rStyle w:val="Bodytextitalic"/>
        </w:rPr>
        <w:t>.</w:t>
      </w:r>
      <w:r>
        <w:t xml:space="preserve">, 2008; Webster and Ford, 2008); of those undertaken even fewer have attempted to model them (Masselink, 1993; Masselink and Short, 1993; Masselink and Hegge, 1995). As a consequence there is considerable uncertainty around how the beaches within the </w:t>
      </w:r>
      <w:r w:rsidRPr="005C26CA">
        <w:t>Rockhampton Regional Council</w:t>
      </w:r>
      <w:r>
        <w:t xml:space="preserve"> area are responding under current-climate conditions and even greater uncertainty about the morphodynamic response of these beaches to the impacts of climate change.</w:t>
      </w:r>
    </w:p>
    <w:p w:rsidR="008237BB" w:rsidRDefault="008237BB" w:rsidP="008237BB">
      <w:pPr>
        <w:pStyle w:val="BodyText"/>
      </w:pPr>
      <w:r>
        <w:t>The lack of fundamental data, both observational (e.g. near-shore wave climate and storm-tide run</w:t>
      </w:r>
      <w:r>
        <w:noBreakHyphen/>
        <w:t xml:space="preserve">up levels) and instrumental (e.g. bathymetry), in the </w:t>
      </w:r>
      <w:r w:rsidRPr="005C26CA">
        <w:t>Rockhampton Regional Council</w:t>
      </w:r>
      <w:r>
        <w:t xml:space="preserve"> local government area along with an absence of any suitable morphodynamic models to predict shoreline change on these meso- to macro-tidal beaches (Della Pozza, pers comm.) was a significant limitation to this study. Insufficient data exists to gain an understanding of the current beach behaviour from which to predict or forecast beach behaviour under future climate.</w:t>
      </w:r>
    </w:p>
    <w:p w:rsidR="002F691C" w:rsidRDefault="008237BB" w:rsidP="008237BB">
      <w:pPr>
        <w:pStyle w:val="BodyText"/>
      </w:pPr>
      <w:r>
        <w:t>In recognition of these data and modelling gaps, the Queensland government’s erosion-prone area width estimates used in this study to generate future-climate coastal erosion overlays are the best available but are to be considered as indicative only.</w:t>
      </w:r>
    </w:p>
    <w:p w:rsidR="00884478" w:rsidRDefault="00884478" w:rsidP="00884478">
      <w:pPr>
        <w:pStyle w:val="Bodyblankpage"/>
      </w:pPr>
      <w:r>
        <w:lastRenderedPageBreak/>
        <w:t>This page is intentionally blank</w:t>
      </w:r>
    </w:p>
    <w:p w:rsidR="008237BB" w:rsidRDefault="008237BB" w:rsidP="006B24B4">
      <w:pPr>
        <w:pStyle w:val="Heading9"/>
      </w:pPr>
      <w:bookmarkStart w:id="5417" w:name="_Ref345578756"/>
      <w:bookmarkStart w:id="5418" w:name="_Toc346261518"/>
      <w:bookmarkStart w:id="5419" w:name="_Toc346632818"/>
      <w:bookmarkStart w:id="5420" w:name="_Toc346632930"/>
      <w:bookmarkStart w:id="5421" w:name="_Toc346633042"/>
      <w:bookmarkStart w:id="5422" w:name="_Toc346633154"/>
      <w:bookmarkStart w:id="5423" w:name="_Toc347401699"/>
      <w:bookmarkStart w:id="5424" w:name="_Toc347401811"/>
      <w:bookmarkStart w:id="5425" w:name="_Toc347401923"/>
      <w:bookmarkStart w:id="5426" w:name="_Toc347402035"/>
      <w:bookmarkStart w:id="5427" w:name="_Toc347402147"/>
      <w:bookmarkStart w:id="5428" w:name="_Toc349055328"/>
      <w:bookmarkStart w:id="5429" w:name="_Toc349055441"/>
      <w:bookmarkStart w:id="5430" w:name="_Toc349055554"/>
      <w:bookmarkStart w:id="5431" w:name="_Toc349055667"/>
      <w:bookmarkStart w:id="5432" w:name="_Toc349055780"/>
      <w:bookmarkStart w:id="5433" w:name="_Toc349117025"/>
      <w:bookmarkStart w:id="5434" w:name="_Toc350330106"/>
      <w:bookmarkStart w:id="5435" w:name="_Toc350344085"/>
      <w:bookmarkStart w:id="5436" w:name="_Toc354492805"/>
      <w:bookmarkStart w:id="5437" w:name="_Toc354493052"/>
      <w:bookmarkStart w:id="5438" w:name="_Toc354493183"/>
      <w:bookmarkStart w:id="5439" w:name="_Toc354493344"/>
      <w:bookmarkStart w:id="5440" w:name="_Toc357586100"/>
      <w:bookmarkStart w:id="5441" w:name="_Ref340733350"/>
      <w:r>
        <w:lastRenderedPageBreak/>
        <w:t>Sea-level Rise</w:t>
      </w:r>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p>
    <w:p w:rsidR="006B7794" w:rsidRDefault="008237BB" w:rsidP="00462463">
      <w:pPr>
        <w:pStyle w:val="HeadingApxnonumbers"/>
        <w:rPr>
          <w:noProof/>
        </w:rPr>
      </w:pPr>
      <w:bookmarkStart w:id="5442" w:name="_Toc349117026"/>
      <w:bookmarkStart w:id="5443" w:name="_Toc350330107"/>
      <w:bookmarkStart w:id="5444" w:name="_Toc350344086"/>
      <w:bookmarkStart w:id="5445" w:name="_Toc354494758"/>
      <w:bookmarkStart w:id="5446" w:name="_Toc354495052"/>
      <w:bookmarkStart w:id="5447" w:name="_Toc354497934"/>
      <w:bookmarkStart w:id="5448" w:name="_Toc354561349"/>
      <w:bookmarkStart w:id="5449" w:name="_Toc355164268"/>
      <w:bookmarkStart w:id="5450" w:name="_Toc355249690"/>
      <w:r>
        <w:t>Contents</w:t>
      </w:r>
      <w:bookmarkEnd w:id="5442"/>
      <w:bookmarkEnd w:id="5443"/>
      <w:bookmarkEnd w:id="5444"/>
      <w:bookmarkEnd w:id="5445"/>
      <w:bookmarkEnd w:id="5446"/>
      <w:bookmarkEnd w:id="5447"/>
      <w:bookmarkEnd w:id="5448"/>
      <w:bookmarkEnd w:id="5449"/>
      <w:bookmarkEnd w:id="5450"/>
      <w:r>
        <w:fldChar w:fldCharType="begin"/>
      </w:r>
      <w:r>
        <w:instrText xml:space="preserve"> TOC \o "1-3" \h \z \u </w:instrText>
      </w:r>
      <w:r>
        <w:fldChar w:fldCharType="separate"/>
      </w:r>
    </w:p>
    <w:p w:rsidR="006B7794" w:rsidRDefault="007F11CF" w:rsidP="000067F7">
      <w:pPr>
        <w:pStyle w:val="TOC2"/>
        <w:rPr>
          <w:rFonts w:asciiTheme="minorHAnsi" w:eastAsiaTheme="minorEastAsia" w:hAnsiTheme="minorHAnsi" w:cstheme="minorBidi"/>
          <w:sz w:val="22"/>
          <w:szCs w:val="22"/>
        </w:rPr>
      </w:pPr>
      <w:hyperlink w:anchor="_Toc354495053" w:history="1">
        <w:r w:rsidR="006B7794" w:rsidRPr="0069617A">
          <w:rPr>
            <w:rStyle w:val="Hyperlink"/>
          </w:rPr>
          <w:t>Figures</w:t>
        </w:r>
        <w:r w:rsidR="006B7794">
          <w:rPr>
            <w:webHidden/>
          </w:rPr>
          <w:tab/>
        </w:r>
        <w:r w:rsidR="006B7794">
          <w:rPr>
            <w:webHidden/>
          </w:rPr>
          <w:fldChar w:fldCharType="begin"/>
        </w:r>
        <w:r w:rsidR="006B7794">
          <w:rPr>
            <w:webHidden/>
          </w:rPr>
          <w:instrText xml:space="preserve"> PAGEREF _Toc354495053 \h </w:instrText>
        </w:r>
        <w:r w:rsidR="006B7794">
          <w:rPr>
            <w:webHidden/>
          </w:rPr>
        </w:r>
        <w:r w:rsidR="006B7794">
          <w:rPr>
            <w:webHidden/>
          </w:rPr>
          <w:fldChar w:fldCharType="separate"/>
        </w:r>
        <w:r w:rsidR="00413858">
          <w:rPr>
            <w:webHidden/>
          </w:rPr>
          <w:t>133</w:t>
        </w:r>
        <w:r w:rsidR="006B7794">
          <w:rPr>
            <w:webHidden/>
          </w:rPr>
          <w:fldChar w:fldCharType="end"/>
        </w:r>
      </w:hyperlink>
    </w:p>
    <w:p w:rsidR="006B7794" w:rsidRDefault="007F11CF" w:rsidP="000067F7">
      <w:pPr>
        <w:pStyle w:val="TOC2"/>
        <w:rPr>
          <w:rFonts w:asciiTheme="minorHAnsi" w:eastAsiaTheme="minorEastAsia" w:hAnsiTheme="minorHAnsi" w:cstheme="minorBidi"/>
          <w:sz w:val="22"/>
          <w:szCs w:val="22"/>
        </w:rPr>
      </w:pPr>
      <w:hyperlink w:anchor="_Toc354495054" w:history="1">
        <w:r w:rsidR="006B7794" w:rsidRPr="0069617A">
          <w:rPr>
            <w:rStyle w:val="Hyperlink"/>
          </w:rPr>
          <w:t>E.1. Method</w:t>
        </w:r>
        <w:r w:rsidR="006B7794">
          <w:rPr>
            <w:webHidden/>
          </w:rPr>
          <w:tab/>
        </w:r>
        <w:r w:rsidR="006B7794">
          <w:rPr>
            <w:webHidden/>
          </w:rPr>
          <w:fldChar w:fldCharType="begin"/>
        </w:r>
        <w:r w:rsidR="006B7794">
          <w:rPr>
            <w:webHidden/>
          </w:rPr>
          <w:instrText xml:space="preserve"> PAGEREF _Toc354495054 \h </w:instrText>
        </w:r>
        <w:r w:rsidR="006B7794">
          <w:rPr>
            <w:webHidden/>
          </w:rPr>
        </w:r>
        <w:r w:rsidR="006B7794">
          <w:rPr>
            <w:webHidden/>
          </w:rPr>
          <w:fldChar w:fldCharType="separate"/>
        </w:r>
        <w:r w:rsidR="00413858">
          <w:rPr>
            <w:webHidden/>
          </w:rPr>
          <w:t>134</w:t>
        </w:r>
        <w:r w:rsidR="006B7794">
          <w:rPr>
            <w:webHidden/>
          </w:rPr>
          <w:fldChar w:fldCharType="end"/>
        </w:r>
      </w:hyperlink>
    </w:p>
    <w:p w:rsidR="006B7794" w:rsidRDefault="007F11CF" w:rsidP="000067F7">
      <w:pPr>
        <w:pStyle w:val="TOC3"/>
        <w:rPr>
          <w:rFonts w:asciiTheme="minorHAnsi" w:eastAsiaTheme="minorEastAsia" w:hAnsiTheme="minorHAnsi" w:cstheme="minorBidi"/>
          <w:sz w:val="22"/>
          <w:szCs w:val="22"/>
        </w:rPr>
      </w:pPr>
      <w:hyperlink w:anchor="_Toc354495055" w:history="1">
        <w:r w:rsidR="006B7794" w:rsidRPr="0069617A">
          <w:rPr>
            <w:rStyle w:val="Hyperlink"/>
          </w:rPr>
          <w:t>E.1.1. Spatial analysis</w:t>
        </w:r>
        <w:r w:rsidR="006B7794">
          <w:rPr>
            <w:webHidden/>
          </w:rPr>
          <w:tab/>
        </w:r>
        <w:r w:rsidR="006B7794">
          <w:rPr>
            <w:webHidden/>
          </w:rPr>
          <w:fldChar w:fldCharType="begin"/>
        </w:r>
        <w:r w:rsidR="006B7794">
          <w:rPr>
            <w:webHidden/>
          </w:rPr>
          <w:instrText xml:space="preserve"> PAGEREF _Toc354495055 \h </w:instrText>
        </w:r>
        <w:r w:rsidR="006B7794">
          <w:rPr>
            <w:webHidden/>
          </w:rPr>
        </w:r>
        <w:r w:rsidR="006B7794">
          <w:rPr>
            <w:webHidden/>
          </w:rPr>
          <w:fldChar w:fldCharType="separate"/>
        </w:r>
        <w:r w:rsidR="00413858">
          <w:rPr>
            <w:webHidden/>
          </w:rPr>
          <w:t>134</w:t>
        </w:r>
        <w:r w:rsidR="006B7794">
          <w:rPr>
            <w:webHidden/>
          </w:rPr>
          <w:fldChar w:fldCharType="end"/>
        </w:r>
      </w:hyperlink>
    </w:p>
    <w:p w:rsidR="006B7794" w:rsidRDefault="007F11CF" w:rsidP="000067F7">
      <w:pPr>
        <w:pStyle w:val="TOC2"/>
        <w:rPr>
          <w:rFonts w:asciiTheme="minorHAnsi" w:eastAsiaTheme="minorEastAsia" w:hAnsiTheme="minorHAnsi" w:cstheme="minorBidi"/>
          <w:sz w:val="22"/>
          <w:szCs w:val="22"/>
        </w:rPr>
      </w:pPr>
      <w:hyperlink w:anchor="_Toc354495056" w:history="1">
        <w:r w:rsidR="006B7794" w:rsidRPr="0069617A">
          <w:rPr>
            <w:rStyle w:val="Hyperlink"/>
          </w:rPr>
          <w:t>E.2. Results</w:t>
        </w:r>
        <w:r w:rsidR="006B7794">
          <w:rPr>
            <w:webHidden/>
          </w:rPr>
          <w:tab/>
        </w:r>
        <w:r w:rsidR="006B7794">
          <w:rPr>
            <w:webHidden/>
          </w:rPr>
          <w:fldChar w:fldCharType="begin"/>
        </w:r>
        <w:r w:rsidR="006B7794">
          <w:rPr>
            <w:webHidden/>
          </w:rPr>
          <w:instrText xml:space="preserve"> PAGEREF _Toc354495056 \h </w:instrText>
        </w:r>
        <w:r w:rsidR="006B7794">
          <w:rPr>
            <w:webHidden/>
          </w:rPr>
        </w:r>
        <w:r w:rsidR="006B7794">
          <w:rPr>
            <w:webHidden/>
          </w:rPr>
          <w:fldChar w:fldCharType="separate"/>
        </w:r>
        <w:r w:rsidR="00413858">
          <w:rPr>
            <w:webHidden/>
          </w:rPr>
          <w:t>134</w:t>
        </w:r>
        <w:r w:rsidR="006B7794">
          <w:rPr>
            <w:webHidden/>
          </w:rPr>
          <w:fldChar w:fldCharType="end"/>
        </w:r>
      </w:hyperlink>
    </w:p>
    <w:p w:rsidR="006B7794" w:rsidRDefault="007F11CF" w:rsidP="000067F7">
      <w:pPr>
        <w:pStyle w:val="TOC2"/>
        <w:rPr>
          <w:rFonts w:asciiTheme="minorHAnsi" w:eastAsiaTheme="minorEastAsia" w:hAnsiTheme="minorHAnsi" w:cstheme="minorBidi"/>
          <w:sz w:val="22"/>
          <w:szCs w:val="22"/>
        </w:rPr>
      </w:pPr>
      <w:hyperlink w:anchor="_Toc354495057" w:history="1">
        <w:r w:rsidR="006B7794" w:rsidRPr="0069617A">
          <w:rPr>
            <w:rStyle w:val="Hyperlink"/>
          </w:rPr>
          <w:t>E.3. Discussion and Limitations</w:t>
        </w:r>
        <w:r w:rsidR="006B7794">
          <w:rPr>
            <w:webHidden/>
          </w:rPr>
          <w:tab/>
        </w:r>
        <w:r w:rsidR="006B7794">
          <w:rPr>
            <w:webHidden/>
          </w:rPr>
          <w:fldChar w:fldCharType="begin"/>
        </w:r>
        <w:r w:rsidR="006B7794">
          <w:rPr>
            <w:webHidden/>
          </w:rPr>
          <w:instrText xml:space="preserve"> PAGEREF _Toc354495057 \h </w:instrText>
        </w:r>
        <w:r w:rsidR="006B7794">
          <w:rPr>
            <w:webHidden/>
          </w:rPr>
        </w:r>
        <w:r w:rsidR="006B7794">
          <w:rPr>
            <w:webHidden/>
          </w:rPr>
          <w:fldChar w:fldCharType="separate"/>
        </w:r>
        <w:r w:rsidR="00413858">
          <w:rPr>
            <w:webHidden/>
          </w:rPr>
          <w:t>135</w:t>
        </w:r>
        <w:r w:rsidR="006B7794">
          <w:rPr>
            <w:webHidden/>
          </w:rPr>
          <w:fldChar w:fldCharType="end"/>
        </w:r>
      </w:hyperlink>
    </w:p>
    <w:p w:rsidR="006B7794" w:rsidRDefault="008237BB" w:rsidP="00462463">
      <w:pPr>
        <w:pStyle w:val="HeadingApxnonumbers"/>
        <w:rPr>
          <w:noProof/>
        </w:rPr>
      </w:pPr>
      <w:r>
        <w:fldChar w:fldCharType="end"/>
      </w:r>
      <w:bookmarkStart w:id="5451" w:name="_Toc354495053"/>
      <w:bookmarkStart w:id="5452" w:name="_Toc354497935"/>
      <w:bookmarkStart w:id="5453" w:name="_Toc354561350"/>
      <w:bookmarkStart w:id="5454" w:name="_Toc355164269"/>
      <w:bookmarkStart w:id="5455" w:name="_Toc355249691"/>
      <w:r w:rsidR="006B7794">
        <w:t>Figures</w:t>
      </w:r>
      <w:bookmarkEnd w:id="5451"/>
      <w:bookmarkEnd w:id="5452"/>
      <w:bookmarkEnd w:id="5453"/>
      <w:bookmarkEnd w:id="5454"/>
      <w:bookmarkEnd w:id="5455"/>
      <w:r w:rsidR="006B7794">
        <w:fldChar w:fldCharType="begin"/>
      </w:r>
      <w:r w:rsidR="006B7794">
        <w:instrText xml:space="preserve"> TOC \h \z \c "Appendix Figure" </w:instrText>
      </w:r>
      <w:r w:rsidR="006B7794">
        <w:fldChar w:fldCharType="separate"/>
      </w:r>
    </w:p>
    <w:p w:rsidR="00DF77DB" w:rsidRDefault="007F11CF">
      <w:pPr>
        <w:pStyle w:val="TableofFigures"/>
      </w:pPr>
      <w:hyperlink w:anchor="_Toc354494836" w:history="1">
        <w:r w:rsidR="006B7794" w:rsidRPr="00494E7A">
          <w:rPr>
            <w:rStyle w:val="Hyperlink"/>
          </w:rPr>
          <w:t>Appendix Figure E.1. Sea-level rise inundation extent</w:t>
        </w:r>
        <w:r w:rsidR="006B7794">
          <w:rPr>
            <w:webHidden/>
          </w:rPr>
          <w:tab/>
        </w:r>
        <w:r w:rsidR="006B7794">
          <w:rPr>
            <w:webHidden/>
          </w:rPr>
          <w:fldChar w:fldCharType="begin"/>
        </w:r>
        <w:r w:rsidR="006B7794">
          <w:rPr>
            <w:webHidden/>
          </w:rPr>
          <w:instrText xml:space="preserve"> PAGEREF _Toc354494836 \h </w:instrText>
        </w:r>
        <w:r w:rsidR="006B7794">
          <w:rPr>
            <w:webHidden/>
          </w:rPr>
        </w:r>
        <w:r w:rsidR="006B7794">
          <w:rPr>
            <w:webHidden/>
          </w:rPr>
          <w:fldChar w:fldCharType="separate"/>
        </w:r>
        <w:r w:rsidR="00413858">
          <w:rPr>
            <w:webHidden/>
          </w:rPr>
          <w:t>135</w:t>
        </w:r>
        <w:r w:rsidR="006B7794">
          <w:rPr>
            <w:webHidden/>
          </w:rPr>
          <w:fldChar w:fldCharType="end"/>
        </w:r>
      </w:hyperlink>
    </w:p>
    <w:p w:rsidR="008237BB" w:rsidRPr="00F047CB" w:rsidRDefault="00DF77DB" w:rsidP="00DF77DB">
      <w:pPr>
        <w:pStyle w:val="Headingappendix2"/>
      </w:pPr>
      <w:r>
        <w:rPr>
          <w:noProof/>
        </w:rPr>
        <w:br w:type="page"/>
      </w:r>
      <w:r w:rsidR="006B7794">
        <w:lastRenderedPageBreak/>
        <w:fldChar w:fldCharType="end"/>
      </w:r>
      <w:bookmarkStart w:id="5456" w:name="_Toc341445316"/>
      <w:bookmarkStart w:id="5457" w:name="_Toc342638546"/>
      <w:bookmarkStart w:id="5458" w:name="_Toc346261046"/>
      <w:bookmarkStart w:id="5459" w:name="_Toc346632608"/>
      <w:bookmarkStart w:id="5460" w:name="_Toc346632819"/>
      <w:bookmarkStart w:id="5461" w:name="_Toc346632931"/>
      <w:bookmarkStart w:id="5462" w:name="_Toc346633043"/>
      <w:bookmarkStart w:id="5463" w:name="_Toc346633155"/>
      <w:bookmarkStart w:id="5464" w:name="_Toc347401700"/>
      <w:bookmarkStart w:id="5465" w:name="_Toc347401812"/>
      <w:bookmarkStart w:id="5466" w:name="_Toc347401924"/>
      <w:bookmarkStart w:id="5467" w:name="_Toc347402036"/>
      <w:bookmarkStart w:id="5468" w:name="_Toc347402543"/>
      <w:bookmarkStart w:id="5469" w:name="_Toc349055116"/>
      <w:bookmarkStart w:id="5470" w:name="_Toc349055329"/>
      <w:bookmarkStart w:id="5471" w:name="_Toc349055442"/>
      <w:bookmarkStart w:id="5472" w:name="_Toc349055555"/>
      <w:bookmarkStart w:id="5473" w:name="_Toc349055668"/>
      <w:bookmarkStart w:id="5474" w:name="_Toc349117028"/>
      <w:bookmarkStart w:id="5475" w:name="_Toc350330109"/>
      <w:bookmarkStart w:id="5476" w:name="_Toc350344088"/>
      <w:bookmarkStart w:id="5477" w:name="_Toc354402081"/>
      <w:bookmarkStart w:id="5478" w:name="_Toc354404086"/>
      <w:bookmarkStart w:id="5479" w:name="_Toc354476578"/>
      <w:bookmarkStart w:id="5480" w:name="_Toc354492807"/>
      <w:bookmarkStart w:id="5481" w:name="_Toc354492925"/>
      <w:bookmarkStart w:id="5482" w:name="_Toc354493054"/>
      <w:bookmarkStart w:id="5483" w:name="_Toc354493185"/>
      <w:bookmarkStart w:id="5484" w:name="_Toc354493346"/>
      <w:bookmarkStart w:id="5485" w:name="_Toc354493794"/>
      <w:bookmarkStart w:id="5486" w:name="_Toc354494329"/>
      <w:bookmarkStart w:id="5487" w:name="_Toc354494548"/>
      <w:bookmarkStart w:id="5488" w:name="_Toc354495054"/>
      <w:bookmarkStart w:id="5489" w:name="_Toc354497936"/>
      <w:bookmarkStart w:id="5490" w:name="_Toc354561351"/>
      <w:bookmarkStart w:id="5491" w:name="_Toc355164270"/>
      <w:bookmarkStart w:id="5492" w:name="_Toc355249692"/>
      <w:r w:rsidR="008237BB" w:rsidRPr="00F047CB">
        <w:t>M</w:t>
      </w:r>
      <w:r w:rsidR="008237BB">
        <w:t>ethod</w:t>
      </w:r>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p>
    <w:p w:rsidR="002F691C" w:rsidRDefault="008237BB" w:rsidP="008237BB">
      <w:pPr>
        <w:pStyle w:val="BodyText"/>
      </w:pPr>
      <w:r>
        <w:t>The sea-level rise analysis was completed through the addition of sea-level rise heights to the 2012 Highest Astronomical Tide (HAT: 3.9 m) value at Rockhampton</w:t>
      </w:r>
      <w:r w:rsidRPr="00055DCB">
        <w:rPr>
          <w:rStyle w:val="Superscript"/>
        </w:rPr>
        <w:footnoteReference w:id="34"/>
      </w:r>
      <w:r>
        <w:t>. HAT is defined by the Australian Hydrographic Service as “…The highest level of water which can be predicted to occur under any combination of astronomical conditions”</w:t>
      </w:r>
      <w:r w:rsidRPr="00055DCB">
        <w:rPr>
          <w:rStyle w:val="Superscript"/>
        </w:rPr>
        <w:footnoteReference w:id="35"/>
      </w:r>
      <w:r>
        <w:t>.</w:t>
      </w:r>
    </w:p>
    <w:p w:rsidR="008237BB" w:rsidRDefault="008237BB" w:rsidP="008237BB">
      <w:pPr>
        <w:pStyle w:val="BodyText"/>
      </w:pPr>
      <w:r>
        <w:t>The four sea</w:t>
      </w:r>
      <w:r>
        <w:noBreakHyphen/>
        <w:t>level rise scenarios are:</w:t>
      </w:r>
    </w:p>
    <w:p w:rsidR="008237BB" w:rsidRPr="005B6444" w:rsidRDefault="008237BB" w:rsidP="004B379B">
      <w:pPr>
        <w:pStyle w:val="Bulletlevel1"/>
      </w:pPr>
      <w:r w:rsidRPr="005B6444">
        <w:t>+ 0.3 m (QLD 2050)</w:t>
      </w:r>
    </w:p>
    <w:p w:rsidR="008237BB" w:rsidRPr="005B6444" w:rsidRDefault="008237BB" w:rsidP="004B379B">
      <w:pPr>
        <w:pStyle w:val="Bulletlevel1"/>
      </w:pPr>
      <w:r w:rsidRPr="005B6444">
        <w:t>+ 0.5 m (QLD 2070)</w:t>
      </w:r>
    </w:p>
    <w:p w:rsidR="008237BB" w:rsidRPr="005B6444" w:rsidRDefault="008237BB" w:rsidP="004B379B">
      <w:pPr>
        <w:pStyle w:val="Bulletlevel1"/>
      </w:pPr>
      <w:r w:rsidRPr="005B6444">
        <w:t>+ 0.8 m (QLD 2100)</w:t>
      </w:r>
    </w:p>
    <w:p w:rsidR="008237BB" w:rsidRDefault="008237BB" w:rsidP="004B379B">
      <w:pPr>
        <w:pStyle w:val="Bulletlevel1"/>
      </w:pPr>
      <w:r w:rsidRPr="005B6444">
        <w:t>+ 1.1 m (FED 2100)</w:t>
      </w:r>
    </w:p>
    <w:p w:rsidR="008237BB" w:rsidRDefault="008237BB" w:rsidP="008237BB">
      <w:pPr>
        <w:pStyle w:val="BodyText"/>
      </w:pPr>
      <w:r>
        <w:t>The three Queensland scenarios (2050, 2070 and 2100) are identified within the Queensland Coastal Plan</w:t>
      </w:r>
      <w:r w:rsidRPr="00055DCB">
        <w:rPr>
          <w:rStyle w:val="Superscript"/>
        </w:rPr>
        <w:footnoteReference w:id="36"/>
      </w:r>
      <w:r>
        <w:t>. The Federal scenario (+1.1 m by 2100) was identified by CSIRO from the Intergovernmental Panel on Climate Change’s 4</w:t>
      </w:r>
      <w:r w:rsidRPr="00C02F8E">
        <w:t>th</w:t>
      </w:r>
      <w:r>
        <w:t xml:space="preserve"> Assessment Report and subsequent research</w:t>
      </w:r>
      <w:r w:rsidRPr="00055DCB">
        <w:rPr>
          <w:rStyle w:val="Superscript"/>
        </w:rPr>
        <w:footnoteReference w:id="37"/>
      </w:r>
      <w:r>
        <w:t>. This 1.1 m scenario considers the “high-end” risk including the effects of warming trends on ice sheet dynamics.</w:t>
      </w:r>
    </w:p>
    <w:p w:rsidR="008237BB" w:rsidRPr="00C02F8E" w:rsidRDefault="008237BB" w:rsidP="00935848">
      <w:pPr>
        <w:pStyle w:val="Headingappendix3"/>
      </w:pPr>
      <w:bookmarkStart w:id="5493" w:name="_Toc341445317"/>
      <w:bookmarkStart w:id="5494" w:name="_Toc342638547"/>
      <w:bookmarkStart w:id="5495" w:name="_Toc346261047"/>
      <w:bookmarkStart w:id="5496" w:name="_Toc346632609"/>
      <w:bookmarkStart w:id="5497" w:name="_Toc346632820"/>
      <w:bookmarkStart w:id="5498" w:name="_Toc346632932"/>
      <w:bookmarkStart w:id="5499" w:name="_Toc346633044"/>
      <w:bookmarkStart w:id="5500" w:name="_Toc346633156"/>
      <w:bookmarkStart w:id="5501" w:name="_Toc347401701"/>
      <w:bookmarkStart w:id="5502" w:name="_Toc347401813"/>
      <w:bookmarkStart w:id="5503" w:name="_Toc347401925"/>
      <w:bookmarkStart w:id="5504" w:name="_Toc347402037"/>
      <w:bookmarkStart w:id="5505" w:name="_Toc347402544"/>
      <w:bookmarkStart w:id="5506" w:name="_Toc349055117"/>
      <w:bookmarkStart w:id="5507" w:name="_Toc349055330"/>
      <w:bookmarkStart w:id="5508" w:name="_Toc349055443"/>
      <w:bookmarkStart w:id="5509" w:name="_Toc349055556"/>
      <w:bookmarkStart w:id="5510" w:name="_Toc349055669"/>
      <w:bookmarkStart w:id="5511" w:name="_Toc349117029"/>
      <w:bookmarkStart w:id="5512" w:name="_Toc350330110"/>
      <w:bookmarkStart w:id="5513" w:name="_Toc350344089"/>
      <w:bookmarkStart w:id="5514" w:name="_Toc354402082"/>
      <w:bookmarkStart w:id="5515" w:name="_Toc354476579"/>
      <w:bookmarkStart w:id="5516" w:name="_Toc354492808"/>
      <w:bookmarkStart w:id="5517" w:name="_Toc354492926"/>
      <w:bookmarkStart w:id="5518" w:name="_Toc354493055"/>
      <w:bookmarkStart w:id="5519" w:name="_Toc354493186"/>
      <w:bookmarkStart w:id="5520" w:name="_Toc354493347"/>
      <w:bookmarkStart w:id="5521" w:name="_Toc354493795"/>
      <w:bookmarkStart w:id="5522" w:name="_Toc354494330"/>
      <w:bookmarkStart w:id="5523" w:name="_Toc354494549"/>
      <w:bookmarkStart w:id="5524" w:name="_Toc354495055"/>
      <w:bookmarkStart w:id="5525" w:name="_Toc354497937"/>
      <w:bookmarkStart w:id="5526" w:name="_Toc354561352"/>
      <w:bookmarkStart w:id="5527" w:name="_Toc355164271"/>
      <w:bookmarkStart w:id="5528" w:name="_Toc355249693"/>
      <w:r w:rsidRPr="00C02F8E">
        <w:t>Spatial analysis</w:t>
      </w:r>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p>
    <w:p w:rsidR="008237BB" w:rsidRDefault="008237BB" w:rsidP="008237BB">
      <w:pPr>
        <w:pStyle w:val="BodyText"/>
      </w:pPr>
      <w:r>
        <w:t>Utilising the high resolution, 1 m resolution raster, Digital Elevation Model (DEM) spatial queries were completed to identify bare-earth elevation values that were equal to or less than the scenario value. In the example of the QLD 2050 scenario, the elevation is identified where it is equal to or less than 4.2 m (3.9 m (HAT) + 0.3 m) above the Australian Height Datum (AHD).</w:t>
      </w:r>
    </w:p>
    <w:p w:rsidR="008237BB" w:rsidRDefault="008237BB" w:rsidP="006B24B4">
      <w:pPr>
        <w:pStyle w:val="Headingappendix2"/>
      </w:pPr>
      <w:bookmarkStart w:id="5529" w:name="_Toc341445318"/>
      <w:bookmarkStart w:id="5530" w:name="_Toc342638548"/>
      <w:bookmarkStart w:id="5531" w:name="_Toc346261048"/>
      <w:bookmarkStart w:id="5532" w:name="_Toc346632610"/>
      <w:bookmarkStart w:id="5533" w:name="_Toc346632821"/>
      <w:bookmarkStart w:id="5534" w:name="_Toc346632933"/>
      <w:bookmarkStart w:id="5535" w:name="_Toc346633045"/>
      <w:bookmarkStart w:id="5536" w:name="_Toc346633157"/>
      <w:bookmarkStart w:id="5537" w:name="_Toc347401702"/>
      <w:bookmarkStart w:id="5538" w:name="_Toc347401814"/>
      <w:bookmarkStart w:id="5539" w:name="_Toc347401926"/>
      <w:bookmarkStart w:id="5540" w:name="_Toc347402038"/>
      <w:bookmarkStart w:id="5541" w:name="_Toc347402545"/>
      <w:bookmarkStart w:id="5542" w:name="_Toc349055118"/>
      <w:bookmarkStart w:id="5543" w:name="_Toc349055331"/>
      <w:bookmarkStart w:id="5544" w:name="_Toc349055444"/>
      <w:bookmarkStart w:id="5545" w:name="_Toc349055557"/>
      <w:bookmarkStart w:id="5546" w:name="_Toc349055670"/>
      <w:bookmarkStart w:id="5547" w:name="_Toc349117030"/>
      <w:bookmarkStart w:id="5548" w:name="_Toc350330111"/>
      <w:bookmarkStart w:id="5549" w:name="_Toc350344090"/>
      <w:bookmarkStart w:id="5550" w:name="_Toc354402083"/>
      <w:bookmarkStart w:id="5551" w:name="_Toc354404087"/>
      <w:bookmarkStart w:id="5552" w:name="_Toc354476580"/>
      <w:bookmarkStart w:id="5553" w:name="_Toc354492809"/>
      <w:bookmarkStart w:id="5554" w:name="_Toc354492927"/>
      <w:bookmarkStart w:id="5555" w:name="_Toc354493056"/>
      <w:bookmarkStart w:id="5556" w:name="_Toc354493187"/>
      <w:bookmarkStart w:id="5557" w:name="_Toc354493348"/>
      <w:bookmarkStart w:id="5558" w:name="_Toc354493796"/>
      <w:bookmarkStart w:id="5559" w:name="_Toc354494331"/>
      <w:bookmarkStart w:id="5560" w:name="_Toc354494550"/>
      <w:bookmarkStart w:id="5561" w:name="_Toc354495056"/>
      <w:bookmarkStart w:id="5562" w:name="_Toc354497938"/>
      <w:bookmarkStart w:id="5563" w:name="_Toc354561353"/>
      <w:bookmarkStart w:id="5564" w:name="_Toc355164272"/>
      <w:bookmarkStart w:id="5565" w:name="_Toc355249694"/>
      <w:r>
        <w:t>Results</w:t>
      </w:r>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p>
    <w:p w:rsidR="002F691C" w:rsidRDefault="008237BB" w:rsidP="008237BB">
      <w:pPr>
        <w:pStyle w:val="BodyText"/>
      </w:pPr>
      <w:r>
        <w:t>As the hazard map shows (</w:t>
      </w:r>
      <w:r>
        <w:fldChar w:fldCharType="begin"/>
      </w:r>
      <w:r>
        <w:instrText xml:space="preserve"> REF _Ref350339671 \h </w:instrText>
      </w:r>
      <w:r>
        <w:fldChar w:fldCharType="separate"/>
      </w:r>
      <w:r w:rsidR="00413858">
        <w:t xml:space="preserve">Appendix Figure </w:t>
      </w:r>
      <w:r w:rsidR="00413858">
        <w:rPr>
          <w:noProof/>
        </w:rPr>
        <w:t>E</w:t>
      </w:r>
      <w:r w:rsidR="00413858">
        <w:t>.</w:t>
      </w:r>
      <w:r w:rsidR="00413858">
        <w:rPr>
          <w:noProof/>
        </w:rPr>
        <w:t>1</w:t>
      </w:r>
      <w:r>
        <w:fldChar w:fldCharType="end"/>
      </w:r>
      <w:r>
        <w:t>), there is significant inundation from a HAT event. The Yeppoon Road and the Scenic Highway,</w:t>
      </w:r>
      <w:r w:rsidRPr="00E30486">
        <w:t xml:space="preserve"> </w:t>
      </w:r>
      <w:r>
        <w:t>South of Yeppoon, is inundated by a HAT scenario. With the progressive addition of sea-level rise heights, the area inundated increases between 3.8% and 6.7%. The greatest extension to the inundation extent from the addition of SLR scenarios is on the floodplain downstream of Rockhampton.</w:t>
      </w:r>
    </w:p>
    <w:p w:rsidR="008237BB" w:rsidRDefault="008237BB" w:rsidP="0045431D">
      <w:pPr>
        <w:pStyle w:val="Figuresandimagesleft"/>
      </w:pPr>
      <w:r>
        <w:rPr>
          <w:noProof/>
        </w:rPr>
        <w:lastRenderedPageBreak/>
        <w:drawing>
          <wp:inline distT="0" distB="0" distL="0" distR="0" wp14:anchorId="2BCE74FC" wp14:editId="2A6AB579">
            <wp:extent cx="5220000" cy="3470793"/>
            <wp:effectExtent l="0" t="0" r="0" b="0"/>
            <wp:docPr id="4" name="Picture 4" descr="This figure shows the extent of current climate inundation hazard (Highest Astronomical Tide - HAT) and the further areas predicted to be inundated with the addition of sea-level rise increments as used in the storm-tide analysis.&#10;&#10;Distinct to the storm-tide analysis the sea-level rise method does not limit the inundation extent to 4 km from the coastline as the inundation occurs over a longer time period and may, therefore, reach further inland. &#10;&#10;The predictions show that the inundation identified from a HAT event is further extended, with the addition of SLR increments, within the Fitzroy River flood plain. The inundation on the open coastline north of the Fitzroy River mouth does not appreciably further extend inland with the addition of SLR inc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This figure shows the extent of current climate inundation hazard (Highest Astronomical Tide - HAT) and the further areas predicted to be inundated with the addition of sea-level rise increments as used in the storm-tide analysis.&#10;&#10;Distinct to the storm-tide analysis the sea-level rise method does not limit the inundation extent to 4 km from the coastline as the inundation occurs over a longer time period and may, therefore, reach further inland. &#10;&#10;The predictions show that the inundation identified from a HAT event is further extended, with the addition of SLR increments, within the Fitzroy River flood plain. The inundation on the open coastline north of the Fitzroy River mouth does not appreciably further extend inland with the addition of SLR increments."/>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20000" cy="3470793"/>
                    </a:xfrm>
                    <a:prstGeom prst="rect">
                      <a:avLst/>
                    </a:prstGeom>
                    <a:noFill/>
                    <a:ln>
                      <a:noFill/>
                    </a:ln>
                  </pic:spPr>
                </pic:pic>
              </a:graphicData>
            </a:graphic>
          </wp:inline>
        </w:drawing>
      </w:r>
    </w:p>
    <w:p w:rsidR="008237BB" w:rsidRDefault="00414D8E" w:rsidP="00797F73">
      <w:pPr>
        <w:pStyle w:val="Caption"/>
      </w:pPr>
      <w:bookmarkStart w:id="5566" w:name="_Ref350339671"/>
      <w:bookmarkStart w:id="5567" w:name="_Toc349055219"/>
      <w:bookmarkStart w:id="5568" w:name="_Toc349055882"/>
      <w:bookmarkStart w:id="5569" w:name="_Toc349114967"/>
      <w:bookmarkStart w:id="5570" w:name="_Toc349115058"/>
      <w:bookmarkStart w:id="5571" w:name="_Toc349115590"/>
      <w:bookmarkStart w:id="5572" w:name="_Toc349115774"/>
      <w:bookmarkStart w:id="5573" w:name="_Toc350325355"/>
      <w:bookmarkStart w:id="5574" w:name="_Toc350325630"/>
      <w:bookmarkStart w:id="5575" w:name="_Toc350327200"/>
      <w:bookmarkStart w:id="5576" w:name="_Toc350327332"/>
      <w:bookmarkStart w:id="5577" w:name="_Toc350330279"/>
      <w:bookmarkStart w:id="5578" w:name="_Toc350339861"/>
      <w:bookmarkStart w:id="5579" w:name="_Toc350341534"/>
      <w:bookmarkStart w:id="5580" w:name="_Toc350341688"/>
      <w:bookmarkStart w:id="5581" w:name="_Toc351450054"/>
      <w:bookmarkStart w:id="5582" w:name="_Toc352242356"/>
      <w:bookmarkStart w:id="5583" w:name="_Toc352243784"/>
      <w:bookmarkStart w:id="5584" w:name="_Toc352243915"/>
      <w:bookmarkStart w:id="5585" w:name="_Toc352244460"/>
      <w:bookmarkStart w:id="5586" w:name="_Toc354403661"/>
      <w:bookmarkStart w:id="5587" w:name="_Toc354476666"/>
      <w:bookmarkStart w:id="5588" w:name="_Toc354493423"/>
      <w:bookmarkStart w:id="5589" w:name="_Toc354493552"/>
      <w:bookmarkStart w:id="5590" w:name="_Toc354493964"/>
      <w:bookmarkStart w:id="5591" w:name="_Toc354494646"/>
      <w:bookmarkStart w:id="5592" w:name="_Toc354494836"/>
      <w:bookmarkStart w:id="5593" w:name="_Toc354497580"/>
      <w:bookmarkStart w:id="5594" w:name="_Toc354497652"/>
      <w:bookmarkStart w:id="5595" w:name="_Toc354561243"/>
      <w:bookmarkStart w:id="5596" w:name="_Toc354561427"/>
      <w:bookmarkStart w:id="5597" w:name="_Toc354561499"/>
      <w:bookmarkStart w:id="5598" w:name="_Toc354561571"/>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E</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w:t>
      </w:r>
      <w:r w:rsidR="007F11CF">
        <w:rPr>
          <w:noProof/>
        </w:rPr>
        <w:fldChar w:fldCharType="end"/>
      </w:r>
      <w:bookmarkEnd w:id="5566"/>
      <w:r w:rsidR="008237BB">
        <w:t>. Sea-level rise inundation extent</w:t>
      </w:r>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p>
    <w:p w:rsidR="008237BB" w:rsidRDefault="008237BB" w:rsidP="008237BB">
      <w:pPr>
        <w:pStyle w:val="BodyText"/>
      </w:pPr>
      <w:r>
        <w:t xml:space="preserve">Within the Fitzroy river </w:t>
      </w:r>
      <w:r w:rsidR="004C0284">
        <w:t>region</w:t>
      </w:r>
      <w:r>
        <w:t>, with the progressive addition of sea-level rise to HAT, it can be seen that the inundation extends on the south-western extent of the floodplain towards the Bruce Highway. In proximity to the city of Rockhampton, the Bruce Highway is shown as being exposed to the south of the Capricorn Highway intersection; however, this area of inundation is isolated from the main body of water. This phenomenon is also apparent upriver of Rockhampton in the Fitzroy river channel where there are disconnected areas of HAT and SLR + HAT inundation due to depth variations in the river channel.</w:t>
      </w:r>
    </w:p>
    <w:p w:rsidR="008237BB" w:rsidRPr="00F047CB" w:rsidRDefault="008237BB" w:rsidP="006B24B4">
      <w:pPr>
        <w:pStyle w:val="Headingappendix2"/>
      </w:pPr>
      <w:bookmarkStart w:id="5599" w:name="_Toc341445319"/>
      <w:bookmarkStart w:id="5600" w:name="_Toc342638549"/>
      <w:bookmarkStart w:id="5601" w:name="_Toc346261049"/>
      <w:bookmarkStart w:id="5602" w:name="_Toc346632611"/>
      <w:bookmarkStart w:id="5603" w:name="_Toc346632822"/>
      <w:bookmarkStart w:id="5604" w:name="_Toc346632934"/>
      <w:bookmarkStart w:id="5605" w:name="_Toc346633046"/>
      <w:bookmarkStart w:id="5606" w:name="_Toc346633158"/>
      <w:bookmarkStart w:id="5607" w:name="_Toc347401703"/>
      <w:bookmarkStart w:id="5608" w:name="_Toc347401815"/>
      <w:bookmarkStart w:id="5609" w:name="_Toc347401927"/>
      <w:bookmarkStart w:id="5610" w:name="_Toc347402039"/>
      <w:bookmarkStart w:id="5611" w:name="_Toc347402546"/>
      <w:bookmarkStart w:id="5612" w:name="_Toc349055119"/>
      <w:bookmarkStart w:id="5613" w:name="_Toc349055332"/>
      <w:bookmarkStart w:id="5614" w:name="_Toc349055445"/>
      <w:bookmarkStart w:id="5615" w:name="_Toc349055558"/>
      <w:bookmarkStart w:id="5616" w:name="_Toc349055671"/>
      <w:bookmarkStart w:id="5617" w:name="_Toc349117031"/>
      <w:bookmarkStart w:id="5618" w:name="_Toc350330112"/>
      <w:bookmarkStart w:id="5619" w:name="_Toc350344091"/>
      <w:bookmarkStart w:id="5620" w:name="_Toc354402084"/>
      <w:bookmarkStart w:id="5621" w:name="_Toc354404088"/>
      <w:bookmarkStart w:id="5622" w:name="_Toc354476581"/>
      <w:bookmarkStart w:id="5623" w:name="_Toc354492810"/>
      <w:bookmarkStart w:id="5624" w:name="_Toc354492928"/>
      <w:bookmarkStart w:id="5625" w:name="_Toc354493057"/>
      <w:bookmarkStart w:id="5626" w:name="_Toc354493188"/>
      <w:bookmarkStart w:id="5627" w:name="_Toc354493349"/>
      <w:bookmarkStart w:id="5628" w:name="_Toc354493797"/>
      <w:bookmarkStart w:id="5629" w:name="_Toc354494332"/>
      <w:bookmarkStart w:id="5630" w:name="_Toc354494551"/>
      <w:bookmarkStart w:id="5631" w:name="_Toc354495057"/>
      <w:bookmarkStart w:id="5632" w:name="_Toc354497939"/>
      <w:bookmarkStart w:id="5633" w:name="_Toc354561354"/>
      <w:bookmarkStart w:id="5634" w:name="_Toc355164273"/>
      <w:bookmarkStart w:id="5635" w:name="_Toc355249695"/>
      <w:r>
        <w:t xml:space="preserve">Discussion and </w:t>
      </w:r>
      <w:r w:rsidRPr="00F047CB">
        <w:t>Limitations</w:t>
      </w:r>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p>
    <w:p w:rsidR="008237BB" w:rsidRDefault="008237BB" w:rsidP="008237BB">
      <w:pPr>
        <w:pStyle w:val="BodyText"/>
      </w:pPr>
      <w:r>
        <w:t>As the exposure of the Bruce Highway indicates, this method identifies all elevation lower than the scenario height. This will tend to overestimate inundation where there are low elevations separated by areas of higher elevation, e.g. flood levies and dam walls.</w:t>
      </w:r>
    </w:p>
    <w:p w:rsidR="008237BB" w:rsidRDefault="008237BB" w:rsidP="008237BB">
      <w:pPr>
        <w:pStyle w:val="BodyText"/>
      </w:pPr>
      <w:r>
        <w:t xml:space="preserve">The high-resolution DEM has a vertical accuracy of +/-0.15 m. At the completion of the project, the inundation data will be provided to </w:t>
      </w:r>
      <w:r w:rsidR="00285E4F">
        <w:t>t</w:t>
      </w:r>
      <w:r>
        <w:t xml:space="preserve">he </w:t>
      </w:r>
      <w:r w:rsidR="00285E4F">
        <w:t xml:space="preserve">Rockhampton Regional </w:t>
      </w:r>
      <w:r>
        <w:t>Council with the inclusion of the uncertainty inundation extents. The uncertainty inundation extent represents another spatial query where the inundation value is altered through the addition or subtraction of 0.15 m. For the QLD 2050 scenario there will be three resulting raster datasets:</w:t>
      </w:r>
    </w:p>
    <w:p w:rsidR="008237BB" w:rsidRPr="004B379B" w:rsidRDefault="008237BB" w:rsidP="004B379B">
      <w:pPr>
        <w:pStyle w:val="Bulletlevel1"/>
      </w:pPr>
      <w:r w:rsidRPr="004B379B">
        <w:t>Scenario + Uncertainty (4.2 + 0.15 m)</w:t>
      </w:r>
    </w:p>
    <w:p w:rsidR="008237BB" w:rsidRPr="004B379B" w:rsidRDefault="008237BB" w:rsidP="004B379B">
      <w:pPr>
        <w:pStyle w:val="Bulletlevel1"/>
      </w:pPr>
      <w:r w:rsidRPr="004B379B">
        <w:t>Scenario (4.2 m)</w:t>
      </w:r>
    </w:p>
    <w:p w:rsidR="008237BB" w:rsidRPr="004B379B" w:rsidRDefault="008237BB" w:rsidP="004B379B">
      <w:pPr>
        <w:pStyle w:val="Bulletlevel1"/>
      </w:pPr>
      <w:r w:rsidRPr="004B379B">
        <w:t>Scenario – Uncertainty (4.2 – 0.15 m)</w:t>
      </w:r>
    </w:p>
    <w:p w:rsidR="008237BB" w:rsidRDefault="008237BB" w:rsidP="008237BB">
      <w:pPr>
        <w:pStyle w:val="BodyText"/>
      </w:pPr>
      <w:r>
        <w:t>The inundation analysis was constrained to areas covered by the DEM. This constraint is shown in the A3 sea-level rise hazard map as a dark blue border.</w:t>
      </w:r>
    </w:p>
    <w:p w:rsidR="00884478" w:rsidRDefault="00884478" w:rsidP="00884478">
      <w:pPr>
        <w:pStyle w:val="Bodyblankpage"/>
      </w:pPr>
      <w:r>
        <w:lastRenderedPageBreak/>
        <w:t>This page is intentionally blank</w:t>
      </w:r>
    </w:p>
    <w:p w:rsidR="008237BB" w:rsidRDefault="008237BB" w:rsidP="006B24B4">
      <w:pPr>
        <w:pStyle w:val="Heading9"/>
      </w:pPr>
      <w:bookmarkStart w:id="5636" w:name="_Ref341186839"/>
      <w:bookmarkStart w:id="5637" w:name="_Ref341271603"/>
      <w:bookmarkStart w:id="5638" w:name="_Toc346261523"/>
      <w:bookmarkStart w:id="5639" w:name="_Toc346632823"/>
      <w:bookmarkStart w:id="5640" w:name="_Toc346632935"/>
      <w:bookmarkStart w:id="5641" w:name="_Toc346633047"/>
      <w:bookmarkStart w:id="5642" w:name="_Toc346633159"/>
      <w:bookmarkStart w:id="5643" w:name="_Toc346633271"/>
      <w:bookmarkStart w:id="5644" w:name="_Toc347401704"/>
      <w:bookmarkStart w:id="5645" w:name="_Toc347401816"/>
      <w:bookmarkStart w:id="5646" w:name="_Toc347401928"/>
      <w:bookmarkStart w:id="5647" w:name="_Toc347402040"/>
      <w:bookmarkStart w:id="5648" w:name="_Toc347402152"/>
      <w:bookmarkStart w:id="5649" w:name="_Toc349055120"/>
      <w:bookmarkStart w:id="5650" w:name="_Toc349055333"/>
      <w:bookmarkStart w:id="5651" w:name="_Toc349055446"/>
      <w:bookmarkStart w:id="5652" w:name="_Toc349055559"/>
      <w:bookmarkStart w:id="5653" w:name="_Toc349055672"/>
      <w:bookmarkStart w:id="5654" w:name="_Toc349055785"/>
      <w:bookmarkStart w:id="5655" w:name="_Toc349117032"/>
      <w:bookmarkStart w:id="5656" w:name="_Toc350330113"/>
      <w:bookmarkStart w:id="5657" w:name="_Toc350344092"/>
      <w:bookmarkStart w:id="5658" w:name="_Toc354492811"/>
      <w:bookmarkStart w:id="5659" w:name="_Toc354493058"/>
      <w:bookmarkStart w:id="5660" w:name="_Toc354493189"/>
      <w:bookmarkStart w:id="5661" w:name="_Toc354493350"/>
      <w:bookmarkStart w:id="5662" w:name="_Toc357586101"/>
      <w:r>
        <w:lastRenderedPageBreak/>
        <w:t>Hazard Maps</w:t>
      </w:r>
      <w:bookmarkEnd w:id="5441"/>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p>
    <w:p w:rsidR="002F691C" w:rsidRDefault="008237BB" w:rsidP="008237BB">
      <w:pPr>
        <w:pStyle w:val="BodyText"/>
      </w:pPr>
      <w:bookmarkStart w:id="5663" w:name="_Toc340756107"/>
      <w:bookmarkStart w:id="5664" w:name="_Toc341445321"/>
      <w:bookmarkStart w:id="5665" w:name="_Toc342638551"/>
      <w:bookmarkStart w:id="5666" w:name="_Toc346261051"/>
      <w:bookmarkStart w:id="5667" w:name="_Toc346261524"/>
      <w:r w:rsidRPr="00BC7807">
        <w:t>A series of maps for each hazard and scenario has been produced. The map sheet is</w:t>
      </w:r>
      <w:r>
        <w:t xml:space="preserve"> presented</w:t>
      </w:r>
      <w:r w:rsidRPr="00BC7807">
        <w:t xml:space="preserve"> at the 1:50 000 scale and has been designed to be printed at an A3 paper size. </w:t>
      </w:r>
      <w:r>
        <w:fldChar w:fldCharType="begin"/>
      </w:r>
      <w:r>
        <w:instrText xml:space="preserve"> REF _Ref350339683 \h </w:instrText>
      </w:r>
      <w:r>
        <w:fldChar w:fldCharType="separate"/>
      </w:r>
      <w:r w:rsidR="00413858">
        <w:t xml:space="preserve">Appendix Figure </w:t>
      </w:r>
      <w:r w:rsidR="00413858">
        <w:rPr>
          <w:noProof/>
        </w:rPr>
        <w:t>F</w:t>
      </w:r>
      <w:r w:rsidR="00413858">
        <w:t>.</w:t>
      </w:r>
      <w:r w:rsidR="00413858">
        <w:rPr>
          <w:noProof/>
        </w:rPr>
        <w:t>1</w:t>
      </w:r>
      <w:r>
        <w:fldChar w:fldCharType="end"/>
      </w:r>
      <w:r>
        <w:t xml:space="preserve"> </w:t>
      </w:r>
      <w:r w:rsidR="00055DCB">
        <w:t xml:space="preserve">shows an example map </w:t>
      </w:r>
      <w:r w:rsidRPr="00BC7807">
        <w:t>sheet.</w:t>
      </w:r>
    </w:p>
    <w:p w:rsidR="008237BB" w:rsidRPr="00553E3F" w:rsidRDefault="00553E3F" w:rsidP="00553E3F">
      <w:pPr>
        <w:pStyle w:val="bodymappanel"/>
      </w:pPr>
      <w:r w:rsidRPr="00553E3F">
        <w:tab/>
        <w:t>Map panel</w:t>
      </w:r>
      <w:r w:rsidRPr="00553E3F">
        <w:tab/>
        <w:t xml:space="preserve">Reference panel </w:t>
      </w:r>
      <w:r w:rsidRPr="00553E3F">
        <mc:AlternateContent>
          <mc:Choice Requires="wpg">
            <w:drawing>
              <wp:inline distT="0" distB="0" distL="0" distR="0" wp14:anchorId="5AC0B933" wp14:editId="2E8DB5FE">
                <wp:extent cx="5283835" cy="0"/>
                <wp:effectExtent l="38100" t="76200" r="31115" b="95250"/>
                <wp:docPr id="11" name="Group 11" descr="Measurement line showing the width of the map and reference panels"/>
                <wp:cNvGraphicFramePr/>
                <a:graphic xmlns:a="http://schemas.openxmlformats.org/drawingml/2006/main">
                  <a:graphicData uri="http://schemas.microsoft.com/office/word/2010/wordprocessingGroup">
                    <wpg:wgp>
                      <wpg:cNvGrpSpPr/>
                      <wpg:grpSpPr>
                        <a:xfrm>
                          <a:off x="0" y="0"/>
                          <a:ext cx="5283835" cy="0"/>
                          <a:chOff x="0" y="0"/>
                          <a:chExt cx="5283835" cy="0"/>
                        </a:xfrm>
                      </wpg:grpSpPr>
                      <wps:wsp>
                        <wps:cNvPr id="95" name="Straight Connector 95" descr="The width of the arrow indicates on the figure the width of the map panel."/>
                        <wps:cNvCnPr>
                          <a:cxnSpLocks noChangeShapeType="1"/>
                        </wps:cNvCnPr>
                        <wps:spPr bwMode="auto">
                          <a:xfrm>
                            <a:off x="0" y="0"/>
                            <a:ext cx="3968115"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6" name="Straight Connector 96" descr="The width of the arrow indicates the width of the reference panel on the example map sheet."/>
                        <wps:cNvCnPr>
                          <a:cxnSpLocks noChangeShapeType="1"/>
                        </wps:cNvCnPr>
                        <wps:spPr bwMode="auto">
                          <a:xfrm>
                            <a:off x="3971925" y="0"/>
                            <a:ext cx="131191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11" o:spid="_x0000_s1026" alt="Measurement line showing the width of the map and reference panels" style="width:416.05pt;height:0;mso-position-horizontal-relative:char;mso-position-vertical-relative:line" coordsize="528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">
                <v:line id="Straight Connector 95" o:spid="_x0000_s1027" alt="The width of the arrow indicates on the figure the width of the map panel." style="position:absolute;visibility:visible;mso-wrap-style:square" from="0,0" to="396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QBWMQAAADbAAAADwAAAGRycy9kb3ducmV2LnhtbESPQWvCQBSE7wX/w/KE3pqNgqVNXUUE&#10;JZciVen5NftMotm3MbtmY399t1DocZiZb5j5cjCN6KlztWUFkyQFQVxYXXOp4HjYPL2AcB5ZY2OZ&#10;FNzJwXIxephjpm3gD+r3vhQRwi5DBZX3bSalKyoy6BLbEkfvZDuDPsqulLrDEOGmkdM0fZYGa44L&#10;Fba0rqi47G9GQRq+t/Is87rf5e/X0H6Fz+k1KPU4HlZvIDwN/j/81861gtcZ/H6JP0A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VAFYxAAAANsAAAAPAAAAAAAAAAAA&#10;AAAAAKECAABkcnMvZG93bnJldi54bWxQSwUGAAAAAAQABAD5AAAAkgMAAAAA&#10;">
                  <v:stroke startarrow="block" endarrow="block"/>
                </v:line>
                <v:line id="Straight Connector 96" o:spid="_x0000_s1028" alt="The width of the arrow indicates the width of the reference panel on the example map sheet." style="position:absolute;visibility:visible;mso-wrap-style:square" from="39719,0" to="528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afL8MAAADbAAAADwAAAGRycy9kb3ducmV2LnhtbESPQWvCQBSE7wX/w/IEb3WjB2mjq4ig&#10;5CJSW3p+Zp9JNPs2Ztds2l/vCoUeh5n5hlmselOLjlpXWVYwGScgiHOrKy4UfH1uX99AOI+ssbZM&#10;Cn7IwWo5eFlgqm3gD+qOvhARwi5FBaX3TSqly0sy6Ma2IY7e2bYGfZRtIXWLIcJNLadJMpMGK44L&#10;JTa0KSm/Hu9GQRJ+d/Iis6o7ZPtbaE7he3oLSo2G/XoOwlPv/8N/7UwreJ/B80v8AX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CGny/DAAAA2wAAAA8AAAAAAAAAAAAA&#10;AAAAoQIAAGRycy9kb3ducmV2LnhtbFBLBQYAAAAABAAEAPkAAACRAwAAAAA=&#10;">
                  <v:stroke startarrow="block" endarrow="block"/>
                </v:line>
                <w10:anchorlock/>
              </v:group>
            </w:pict>
          </mc:Fallback>
        </mc:AlternateContent>
      </w:r>
    </w:p>
    <w:p w:rsidR="008237BB" w:rsidRDefault="008237BB" w:rsidP="00553E3F">
      <w:pPr>
        <w:pStyle w:val="Figurewithheader"/>
      </w:pPr>
      <w:r>
        <w:drawing>
          <wp:inline distT="0" distB="0" distL="0" distR="0" wp14:anchorId="0D8B8A4C" wp14:editId="3D4541DA">
            <wp:extent cx="5400675" cy="3819525"/>
            <wp:effectExtent l="0" t="0" r="9525" b="9525"/>
            <wp:docPr id="3" name="Picture 3" descr="This figure shows an example map sheet. The map sheets have been provided so as to provide more detail to the reader of the report. The map sheets were designed to be printed at an A3 paper size and they contain a map panel, showing the hazard, and a reference panel that contains details such as the hazard, current or future climate, legend, scale bar, date and a smaller scale extent. At the base of the map sheet are the copyrigh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This figure shows an example map sheet. The map sheets have been provided so as to provide more detail to the reader of the report. The map sheets were designed to be printed at an A3 paper size and they contain a map panel, showing the hazard, and a reference panel that contains details such as the hazard, current or future climate, legend, scale bar, date and a smaller scale extent. At the base of the map sheet are the copyright details."/>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00675" cy="3819525"/>
                    </a:xfrm>
                    <a:prstGeom prst="rect">
                      <a:avLst/>
                    </a:prstGeom>
                    <a:noFill/>
                    <a:ln>
                      <a:noFill/>
                    </a:ln>
                  </pic:spPr>
                </pic:pic>
              </a:graphicData>
            </a:graphic>
          </wp:inline>
        </w:drawing>
      </w:r>
      <w:bookmarkStart w:id="5668" w:name="_Toc349055220"/>
      <w:bookmarkStart w:id="5669" w:name="_Toc349055883"/>
      <w:bookmarkStart w:id="5670" w:name="_Toc349114968"/>
      <w:bookmarkStart w:id="5671" w:name="_Toc349115059"/>
      <w:bookmarkStart w:id="5672" w:name="_Toc349115198"/>
      <w:bookmarkStart w:id="5673" w:name="_Toc349115591"/>
      <w:bookmarkStart w:id="5674" w:name="_Toc349115775"/>
      <w:bookmarkStart w:id="5675" w:name="_Toc350325356"/>
      <w:bookmarkStart w:id="5676" w:name="_Toc350325631"/>
    </w:p>
    <w:p w:rsidR="008237BB" w:rsidRDefault="00414D8E" w:rsidP="008237BB">
      <w:pPr>
        <w:pStyle w:val="Caption"/>
        <w:keepNext/>
      </w:pPr>
      <w:bookmarkStart w:id="5677" w:name="_Ref350339683"/>
      <w:bookmarkStart w:id="5678" w:name="_Toc350327055"/>
      <w:bookmarkStart w:id="5679" w:name="_Toc350327201"/>
      <w:bookmarkStart w:id="5680" w:name="_Toc350327333"/>
      <w:bookmarkStart w:id="5681" w:name="_Toc350330280"/>
      <w:bookmarkStart w:id="5682" w:name="_Toc350339862"/>
      <w:bookmarkStart w:id="5683" w:name="_Toc350341535"/>
      <w:bookmarkStart w:id="5684" w:name="_Toc350341689"/>
      <w:bookmarkStart w:id="5685" w:name="_Toc351449974"/>
      <w:bookmarkStart w:id="5686" w:name="_Toc351450055"/>
      <w:bookmarkStart w:id="5687" w:name="_Toc352242357"/>
      <w:bookmarkStart w:id="5688" w:name="_Toc352243785"/>
      <w:bookmarkStart w:id="5689" w:name="_Toc352243916"/>
      <w:bookmarkStart w:id="5690" w:name="_Toc352244461"/>
      <w:bookmarkStart w:id="5691" w:name="_Toc352244556"/>
      <w:bookmarkStart w:id="5692" w:name="_Toc354403662"/>
      <w:bookmarkStart w:id="5693" w:name="_Toc354476667"/>
      <w:bookmarkStart w:id="5694" w:name="_Toc354493424"/>
      <w:bookmarkStart w:id="5695" w:name="_Toc354493553"/>
      <w:bookmarkStart w:id="5696" w:name="_Toc354493965"/>
      <w:bookmarkStart w:id="5697" w:name="_Toc354494647"/>
      <w:bookmarkStart w:id="5698" w:name="_Toc354494837"/>
      <w:bookmarkStart w:id="5699" w:name="_Toc354497581"/>
      <w:bookmarkStart w:id="5700" w:name="_Toc354497653"/>
      <w:bookmarkStart w:id="5701" w:name="_Toc354561244"/>
      <w:bookmarkStart w:id="5702" w:name="_Toc354561428"/>
      <w:bookmarkStart w:id="5703" w:name="_Toc354561500"/>
      <w:bookmarkStart w:id="5704" w:name="_Toc354561572"/>
      <w:r>
        <w:t>Appendix Figure</w:t>
      </w:r>
      <w:r w:rsidR="008237BB">
        <w:t xml:space="preserve"> </w:t>
      </w:r>
      <w:r w:rsidR="007F11CF">
        <w:fldChar w:fldCharType="begin"/>
      </w:r>
      <w:r w:rsidR="007F11CF">
        <w:instrText xml:space="preserve"> STYLEREF 9 \s </w:instrText>
      </w:r>
      <w:r w:rsidR="007F11CF">
        <w:fldChar w:fldCharType="separate"/>
      </w:r>
      <w:r w:rsidR="00413858">
        <w:rPr>
          <w:noProof/>
        </w:rPr>
        <w:t>F</w:t>
      </w:r>
      <w:r w:rsidR="007F11CF">
        <w:rPr>
          <w:noProof/>
        </w:rPr>
        <w:fldChar w:fldCharType="end"/>
      </w:r>
      <w:r w:rsidR="00162079">
        <w:t>.</w:t>
      </w:r>
      <w:r w:rsidR="007F11CF">
        <w:fldChar w:fldCharType="begin"/>
      </w:r>
      <w:r w:rsidR="007F11CF">
        <w:instrText xml:space="preserve"> SEQ Appendix_Figure \* ARABIC \s 9 </w:instrText>
      </w:r>
      <w:r w:rsidR="007F11CF">
        <w:fldChar w:fldCharType="separate"/>
      </w:r>
      <w:r w:rsidR="00413858">
        <w:rPr>
          <w:noProof/>
        </w:rPr>
        <w:t>1</w:t>
      </w:r>
      <w:r w:rsidR="007F11CF">
        <w:rPr>
          <w:noProof/>
        </w:rPr>
        <w:fldChar w:fldCharType="end"/>
      </w:r>
      <w:bookmarkEnd w:id="5677"/>
      <w:r w:rsidR="008237BB">
        <w:t>. Example hazard map</w:t>
      </w:r>
      <w:bookmarkEnd w:id="5668"/>
      <w:bookmarkEnd w:id="5669"/>
      <w:bookmarkEnd w:id="5670"/>
      <w:bookmarkEnd w:id="5671"/>
      <w:bookmarkEnd w:id="5672"/>
      <w:bookmarkEnd w:id="5673"/>
      <w:bookmarkEnd w:id="5674"/>
      <w:bookmarkEnd w:id="5675"/>
      <w:bookmarkEnd w:id="5676"/>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r w:rsidR="00285E4F">
        <w:t>.</w:t>
      </w:r>
    </w:p>
    <w:p w:rsidR="008237BB" w:rsidRDefault="008237BB" w:rsidP="009E1AAE">
      <w:pPr>
        <w:pStyle w:val="Headingappendix2"/>
      </w:pPr>
      <w:bookmarkStart w:id="5705" w:name="_Toc346632613"/>
      <w:bookmarkStart w:id="5706" w:name="_Toc346632824"/>
      <w:bookmarkStart w:id="5707" w:name="_Toc346632936"/>
      <w:bookmarkStart w:id="5708" w:name="_Toc346633048"/>
      <w:bookmarkStart w:id="5709" w:name="_Toc346633160"/>
      <w:bookmarkStart w:id="5710" w:name="_Toc346633272"/>
      <w:bookmarkStart w:id="5711" w:name="_Toc347401705"/>
      <w:bookmarkStart w:id="5712" w:name="_Toc347401817"/>
      <w:bookmarkStart w:id="5713" w:name="_Toc347401929"/>
      <w:bookmarkStart w:id="5714" w:name="_Toc347402041"/>
      <w:bookmarkStart w:id="5715" w:name="_Toc347402153"/>
      <w:bookmarkStart w:id="5716" w:name="_Toc347402548"/>
      <w:r>
        <w:br w:type="page"/>
      </w:r>
      <w:bookmarkStart w:id="5717" w:name="_Toc349055121"/>
      <w:bookmarkStart w:id="5718" w:name="_Toc349055334"/>
      <w:bookmarkStart w:id="5719" w:name="_Toc349055447"/>
      <w:bookmarkStart w:id="5720" w:name="_Toc349055560"/>
      <w:bookmarkStart w:id="5721" w:name="_Toc349055673"/>
      <w:bookmarkStart w:id="5722" w:name="_Toc349055786"/>
      <w:bookmarkStart w:id="5723" w:name="_Toc349117033"/>
      <w:bookmarkStart w:id="5724" w:name="_Toc350330114"/>
      <w:bookmarkStart w:id="5725" w:name="_Toc350344093"/>
      <w:bookmarkStart w:id="5726" w:name="_Toc354402086"/>
      <w:bookmarkStart w:id="5727" w:name="_Toc354404089"/>
      <w:bookmarkStart w:id="5728" w:name="_Toc354476583"/>
      <w:bookmarkStart w:id="5729" w:name="_Toc354492812"/>
      <w:bookmarkStart w:id="5730" w:name="_Toc354492929"/>
      <w:bookmarkStart w:id="5731" w:name="_Toc354493059"/>
      <w:bookmarkStart w:id="5732" w:name="_Toc354493190"/>
      <w:bookmarkStart w:id="5733" w:name="_Toc354493351"/>
      <w:bookmarkStart w:id="5734" w:name="_Toc354493798"/>
      <w:bookmarkStart w:id="5735" w:name="_Toc354494333"/>
      <w:bookmarkStart w:id="5736" w:name="_Toc354494552"/>
      <w:bookmarkStart w:id="5737" w:name="_Toc354494764"/>
      <w:bookmarkStart w:id="5738" w:name="_Toc354495058"/>
      <w:bookmarkStart w:id="5739" w:name="_Toc354561355"/>
      <w:bookmarkStart w:id="5740" w:name="_Toc355164275"/>
      <w:bookmarkStart w:id="5741" w:name="_Toc355249696"/>
      <w:r>
        <w:lastRenderedPageBreak/>
        <w:t>Current Climate</w:t>
      </w:r>
      <w:bookmarkEnd w:id="5663"/>
      <w:bookmarkEnd w:id="5664"/>
      <w:bookmarkEnd w:id="5665"/>
      <w:bookmarkEnd w:id="5666"/>
      <w:bookmarkEnd w:id="5667"/>
      <w:r>
        <w:t xml:space="preserve"> Hazard Maps</w:t>
      </w:r>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p>
    <w:tbl>
      <w:tblPr>
        <w:tblStyle w:val="TableGAHeaderRow"/>
        <w:tblW w:w="7708" w:type="dxa"/>
        <w:tblLook w:val="0020" w:firstRow="1" w:lastRow="0" w:firstColumn="0" w:lastColumn="0" w:noHBand="0" w:noVBand="0"/>
        <w:tblDescription w:val="This table presents the current climate hazard maps produced as a result of this study. Each item in the table describes the map reference followed by the map content.. . A3/0, 50 year ARI TC Wind Hazard. A3/1, 100 year ARI TC Wind Hazard. A3/2, 250 year ARI TC Wind Hazard. A3/3, 500 year ARI TC Wind Hazard. A3/4, 1000 year ARI TC Wind Hazard. A3/5, Extra-tropical Storm Tide Hazard (50 - 1000 year ARI). A3/6, Tropical Storm Tide Hazard (50 - 1000 year ARI). A3/7, AS3969 Bushfire Constraints. A3/8, Bushfire Vegetation Classification. A3/9, 50 year ARI Bushfire Danger Rating . A3/10, 100 year ARI Bushfire Danger Rating. A3/11, Coastal Erosion - small scale. A3/11-1, Coastal Erosion - large scale. A3/11-2, Coastal Erosion - large scale. A3/11-3, Coastal Erosion - large scale. A3/11-4, Coastal Erosion - large scale. A3/11-5, Coastal Erosion - large scale. A3/11-6, Coastal Erosion - large scale. A3/11-7, Coastal Erosion - large scale. A3/11-8, Coastal Erosion - large scale. "/>
      </w:tblPr>
      <w:tblGrid>
        <w:gridCol w:w="1828"/>
        <w:gridCol w:w="5880"/>
      </w:tblGrid>
      <w:tr w:rsidR="008237BB" w:rsidRPr="0048235B" w:rsidTr="006B54B0">
        <w:trPr>
          <w:cnfStyle w:val="100000000000" w:firstRow="1" w:lastRow="0" w:firstColumn="0" w:lastColumn="0" w:oddVBand="0" w:evenVBand="0" w:oddHBand="0" w:evenHBand="0" w:firstRowFirstColumn="0" w:firstRowLastColumn="0" w:lastRowFirstColumn="0" w:lastRowLastColumn="0"/>
          <w:cantSplit w:val="0"/>
          <w:trHeight w:val="255"/>
          <w:tblHeader/>
        </w:trPr>
        <w:tc>
          <w:tcPr>
            <w:cnfStyle w:val="000010000000" w:firstRow="0" w:lastRow="0" w:firstColumn="0" w:lastColumn="0" w:oddVBand="1" w:evenVBand="0" w:oddHBand="0" w:evenHBand="0" w:firstRowFirstColumn="0" w:firstRowLastColumn="0" w:lastRowFirstColumn="0" w:lastRowLastColumn="0"/>
            <w:tcW w:w="1828" w:type="dxa"/>
            <w:noWrap/>
          </w:tcPr>
          <w:p w:rsidR="008237BB" w:rsidRPr="0019723E" w:rsidRDefault="008237BB" w:rsidP="001D132F">
            <w:pPr>
              <w:pStyle w:val="Tabletextleft"/>
            </w:pPr>
            <w:r w:rsidRPr="0019723E">
              <w:t>Map Reference</w:t>
            </w:r>
          </w:p>
        </w:tc>
        <w:tc>
          <w:tcPr>
            <w:tcW w:w="5880" w:type="dxa"/>
            <w:noWrap/>
          </w:tcPr>
          <w:p w:rsidR="008237BB" w:rsidRPr="0019723E" w:rsidRDefault="008237BB" w:rsidP="001D132F">
            <w:pPr>
              <w:pStyle w:val="Tabletextleft"/>
              <w:cnfStyle w:val="100000000000" w:firstRow="1" w:lastRow="0" w:firstColumn="0" w:lastColumn="0" w:oddVBand="0" w:evenVBand="0" w:oddHBand="0" w:evenHBand="0" w:firstRowFirstColumn="0" w:firstRowLastColumn="0" w:lastRowFirstColumn="0" w:lastRowLastColumn="0"/>
            </w:pPr>
            <w:r w:rsidRPr="0019723E">
              <w:t xml:space="preserve">Map content </w:t>
            </w:r>
          </w:p>
        </w:tc>
      </w:tr>
      <w:tr w:rsidR="008237BB" w:rsidRPr="0048235B" w:rsidTr="006B54B0">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28" w:type="dxa"/>
            <w:noWrap/>
          </w:tcPr>
          <w:p w:rsidR="008237BB" w:rsidRPr="00791D90" w:rsidRDefault="008237BB" w:rsidP="001D132F">
            <w:pPr>
              <w:pStyle w:val="Tabletextleft"/>
            </w:pPr>
            <w:r w:rsidRPr="00791D90">
              <w:t>A3/0</w:t>
            </w:r>
          </w:p>
        </w:tc>
        <w:tc>
          <w:tcPr>
            <w:tcW w:w="5880" w:type="dxa"/>
            <w:noWrap/>
          </w:tcPr>
          <w:p w:rsidR="008237BB" w:rsidRPr="00791D90"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791D90">
              <w:t>50 year ARI TC Wind Hazard</w:t>
            </w:r>
          </w:p>
        </w:tc>
      </w:tr>
      <w:tr w:rsidR="008237BB" w:rsidRPr="0048235B" w:rsidTr="006B54B0">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28" w:type="dxa"/>
            <w:noWrap/>
          </w:tcPr>
          <w:p w:rsidR="008237BB" w:rsidRPr="00791D90" w:rsidRDefault="008237BB" w:rsidP="001D132F">
            <w:pPr>
              <w:pStyle w:val="Tabletextleft"/>
            </w:pPr>
            <w:r w:rsidRPr="00791D90">
              <w:t>A3/1</w:t>
            </w:r>
          </w:p>
        </w:tc>
        <w:tc>
          <w:tcPr>
            <w:tcW w:w="5880" w:type="dxa"/>
            <w:noWrap/>
          </w:tcPr>
          <w:p w:rsidR="008237BB" w:rsidRPr="00791D90"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791D90">
              <w:t>100 year ARI TC Wind Hazard</w:t>
            </w:r>
          </w:p>
        </w:tc>
      </w:tr>
      <w:tr w:rsidR="008237BB" w:rsidRPr="0048235B" w:rsidTr="006B54B0">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28" w:type="dxa"/>
            <w:noWrap/>
          </w:tcPr>
          <w:p w:rsidR="008237BB" w:rsidRPr="00791D90" w:rsidRDefault="008237BB" w:rsidP="001D132F">
            <w:pPr>
              <w:pStyle w:val="Tabletextleft"/>
            </w:pPr>
            <w:r w:rsidRPr="00791D90">
              <w:t>A3/2</w:t>
            </w:r>
          </w:p>
        </w:tc>
        <w:tc>
          <w:tcPr>
            <w:tcW w:w="5880" w:type="dxa"/>
            <w:noWrap/>
          </w:tcPr>
          <w:p w:rsidR="008237BB" w:rsidRPr="00791D90"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791D90">
              <w:t>250 year ARI TC Wind Hazard</w:t>
            </w:r>
          </w:p>
        </w:tc>
      </w:tr>
      <w:tr w:rsidR="008237BB" w:rsidRPr="0048235B" w:rsidTr="006B54B0">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28" w:type="dxa"/>
            <w:noWrap/>
          </w:tcPr>
          <w:p w:rsidR="008237BB" w:rsidRPr="00791D90" w:rsidRDefault="008237BB" w:rsidP="001D132F">
            <w:pPr>
              <w:pStyle w:val="Tabletextleft"/>
            </w:pPr>
            <w:r w:rsidRPr="00791D90">
              <w:t>A3/3</w:t>
            </w:r>
          </w:p>
        </w:tc>
        <w:tc>
          <w:tcPr>
            <w:tcW w:w="5880" w:type="dxa"/>
            <w:noWrap/>
          </w:tcPr>
          <w:p w:rsidR="008237BB" w:rsidRPr="00791D90"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791D90">
              <w:t>500 year ARI TC Wind Hazard</w:t>
            </w:r>
          </w:p>
        </w:tc>
      </w:tr>
      <w:tr w:rsidR="008237BB" w:rsidRPr="0048235B" w:rsidTr="006B54B0">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28" w:type="dxa"/>
            <w:noWrap/>
          </w:tcPr>
          <w:p w:rsidR="008237BB" w:rsidRPr="00791D90" w:rsidRDefault="008237BB" w:rsidP="001D132F">
            <w:pPr>
              <w:pStyle w:val="Tabletextleft"/>
            </w:pPr>
            <w:r w:rsidRPr="00791D90">
              <w:t>A3/4</w:t>
            </w:r>
          </w:p>
        </w:tc>
        <w:tc>
          <w:tcPr>
            <w:tcW w:w="5880" w:type="dxa"/>
            <w:noWrap/>
          </w:tcPr>
          <w:p w:rsidR="008237BB" w:rsidRPr="00791D90"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791D90">
              <w:t>1000 year ARI TC Wind Hazard</w:t>
            </w:r>
          </w:p>
        </w:tc>
      </w:tr>
      <w:tr w:rsidR="008237BB" w:rsidRPr="0048235B" w:rsidTr="006B54B0">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28" w:type="dxa"/>
            <w:noWrap/>
          </w:tcPr>
          <w:p w:rsidR="008237BB" w:rsidRPr="00791D90" w:rsidRDefault="008237BB" w:rsidP="001D132F">
            <w:pPr>
              <w:pStyle w:val="Tabletextleft"/>
            </w:pPr>
            <w:r w:rsidRPr="00791D90">
              <w:t>A3/5</w:t>
            </w:r>
          </w:p>
        </w:tc>
        <w:tc>
          <w:tcPr>
            <w:tcW w:w="5880" w:type="dxa"/>
            <w:noWrap/>
          </w:tcPr>
          <w:p w:rsidR="008237BB" w:rsidRPr="00791D90"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791D90">
              <w:t>Extra-tropical Storm Tide Hazard (50 - 1000 year ARI)</w:t>
            </w:r>
          </w:p>
        </w:tc>
      </w:tr>
      <w:tr w:rsidR="008237BB" w:rsidRPr="0048235B" w:rsidTr="006B54B0">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28" w:type="dxa"/>
            <w:noWrap/>
          </w:tcPr>
          <w:p w:rsidR="008237BB" w:rsidRPr="00791D90" w:rsidRDefault="008237BB" w:rsidP="001D132F">
            <w:pPr>
              <w:pStyle w:val="Tabletextleft"/>
            </w:pPr>
            <w:r w:rsidRPr="00791D90">
              <w:t>A3/6</w:t>
            </w:r>
          </w:p>
        </w:tc>
        <w:tc>
          <w:tcPr>
            <w:tcW w:w="5880" w:type="dxa"/>
            <w:noWrap/>
          </w:tcPr>
          <w:p w:rsidR="008237BB" w:rsidRPr="00791D90"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791D90">
              <w:t>Tropical Storm Tide Hazard (50 - 1000 year ARI)</w:t>
            </w:r>
          </w:p>
        </w:tc>
      </w:tr>
      <w:tr w:rsidR="008237BB" w:rsidRPr="0048235B" w:rsidTr="006B54B0">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28" w:type="dxa"/>
            <w:noWrap/>
          </w:tcPr>
          <w:p w:rsidR="008237BB" w:rsidRPr="00791D90" w:rsidRDefault="008237BB" w:rsidP="001D132F">
            <w:pPr>
              <w:pStyle w:val="Tabletextleft"/>
            </w:pPr>
            <w:r w:rsidRPr="00791D90">
              <w:t>A3/7</w:t>
            </w:r>
          </w:p>
        </w:tc>
        <w:tc>
          <w:tcPr>
            <w:tcW w:w="5880" w:type="dxa"/>
            <w:noWrap/>
          </w:tcPr>
          <w:p w:rsidR="008237BB" w:rsidRPr="00791D90"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791D90">
              <w:t>AS3969 Bushfire Constraints</w:t>
            </w:r>
          </w:p>
        </w:tc>
      </w:tr>
      <w:tr w:rsidR="008237BB" w:rsidRPr="0048235B" w:rsidTr="006B54B0">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28" w:type="dxa"/>
            <w:noWrap/>
          </w:tcPr>
          <w:p w:rsidR="008237BB" w:rsidRPr="00791D90" w:rsidRDefault="008237BB" w:rsidP="001D132F">
            <w:pPr>
              <w:pStyle w:val="Tabletextleft"/>
            </w:pPr>
            <w:r w:rsidRPr="00791D90">
              <w:t>A3/8</w:t>
            </w:r>
          </w:p>
        </w:tc>
        <w:tc>
          <w:tcPr>
            <w:tcW w:w="5880" w:type="dxa"/>
            <w:noWrap/>
          </w:tcPr>
          <w:p w:rsidR="008237BB" w:rsidRPr="00791D90"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791D90">
              <w:t>Bushfire Vegetation Classification</w:t>
            </w:r>
          </w:p>
        </w:tc>
      </w:tr>
      <w:tr w:rsidR="008237BB" w:rsidRPr="0048235B" w:rsidTr="006B54B0">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28" w:type="dxa"/>
            <w:noWrap/>
          </w:tcPr>
          <w:p w:rsidR="008237BB" w:rsidRPr="00791D90" w:rsidRDefault="008237BB" w:rsidP="001D132F">
            <w:pPr>
              <w:pStyle w:val="Tabletextleft"/>
            </w:pPr>
            <w:r w:rsidRPr="00791D90">
              <w:t>A3/9</w:t>
            </w:r>
          </w:p>
        </w:tc>
        <w:tc>
          <w:tcPr>
            <w:tcW w:w="5880" w:type="dxa"/>
            <w:noWrap/>
          </w:tcPr>
          <w:p w:rsidR="008237BB" w:rsidRPr="00791D90"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791D90">
              <w:t xml:space="preserve">50 year ARI Bushfire Danger Rating </w:t>
            </w:r>
          </w:p>
        </w:tc>
      </w:tr>
      <w:tr w:rsidR="008237BB" w:rsidRPr="0048235B" w:rsidTr="006B54B0">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28" w:type="dxa"/>
            <w:noWrap/>
          </w:tcPr>
          <w:p w:rsidR="008237BB" w:rsidRPr="00791D90" w:rsidRDefault="008237BB" w:rsidP="001D132F">
            <w:pPr>
              <w:pStyle w:val="Tabletextleft"/>
            </w:pPr>
            <w:r w:rsidRPr="00791D90">
              <w:t>A3/10</w:t>
            </w:r>
          </w:p>
        </w:tc>
        <w:tc>
          <w:tcPr>
            <w:tcW w:w="5880" w:type="dxa"/>
            <w:noWrap/>
          </w:tcPr>
          <w:p w:rsidR="008237BB" w:rsidRPr="00791D90"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791D90">
              <w:t>100 year ARI Bushfire Danger Rating</w:t>
            </w:r>
          </w:p>
        </w:tc>
      </w:tr>
      <w:tr w:rsidR="008237BB" w:rsidRPr="0048235B" w:rsidTr="006B54B0">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28" w:type="dxa"/>
            <w:noWrap/>
          </w:tcPr>
          <w:p w:rsidR="008237BB" w:rsidRPr="00791D90" w:rsidRDefault="008237BB" w:rsidP="001D132F">
            <w:pPr>
              <w:pStyle w:val="Tabletextleft"/>
            </w:pPr>
            <w:r w:rsidRPr="00791D90">
              <w:t>A3/11</w:t>
            </w:r>
          </w:p>
        </w:tc>
        <w:tc>
          <w:tcPr>
            <w:tcW w:w="5880" w:type="dxa"/>
            <w:noWrap/>
          </w:tcPr>
          <w:p w:rsidR="008237BB" w:rsidRPr="00791D90"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791D90">
              <w:t>Coastal Erosion - small scale</w:t>
            </w:r>
          </w:p>
        </w:tc>
      </w:tr>
      <w:tr w:rsidR="008237BB" w:rsidRPr="0048235B" w:rsidTr="006B54B0">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28" w:type="dxa"/>
            <w:noWrap/>
          </w:tcPr>
          <w:p w:rsidR="008237BB" w:rsidRPr="00791D90" w:rsidRDefault="008237BB" w:rsidP="001D132F">
            <w:pPr>
              <w:pStyle w:val="Tabletextleft"/>
            </w:pPr>
            <w:r w:rsidRPr="00791D90">
              <w:t>A3/11-1</w:t>
            </w:r>
          </w:p>
        </w:tc>
        <w:tc>
          <w:tcPr>
            <w:tcW w:w="5880" w:type="dxa"/>
            <w:noWrap/>
          </w:tcPr>
          <w:p w:rsidR="008237BB" w:rsidRPr="00791D90"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791D90">
              <w:t>Coastal Erosion - large scale</w:t>
            </w:r>
          </w:p>
        </w:tc>
      </w:tr>
      <w:tr w:rsidR="008237BB" w:rsidRPr="0048235B" w:rsidTr="006B54B0">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28" w:type="dxa"/>
            <w:noWrap/>
          </w:tcPr>
          <w:p w:rsidR="008237BB" w:rsidRPr="00791D90" w:rsidRDefault="008237BB" w:rsidP="001D132F">
            <w:pPr>
              <w:pStyle w:val="Tabletextleft"/>
            </w:pPr>
            <w:r w:rsidRPr="00791D90">
              <w:t>A3/11-2</w:t>
            </w:r>
          </w:p>
        </w:tc>
        <w:tc>
          <w:tcPr>
            <w:tcW w:w="5880" w:type="dxa"/>
            <w:noWrap/>
          </w:tcPr>
          <w:p w:rsidR="008237BB" w:rsidRPr="00791D90"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791D90">
              <w:t>Coastal Erosion - large scale</w:t>
            </w:r>
          </w:p>
        </w:tc>
      </w:tr>
      <w:tr w:rsidR="008237BB" w:rsidRPr="0048235B" w:rsidTr="006B54B0">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28" w:type="dxa"/>
            <w:noWrap/>
          </w:tcPr>
          <w:p w:rsidR="008237BB" w:rsidRPr="00791D90" w:rsidRDefault="008237BB" w:rsidP="001D132F">
            <w:pPr>
              <w:pStyle w:val="Tabletextleft"/>
            </w:pPr>
            <w:r w:rsidRPr="00791D90">
              <w:t>A3/11-3</w:t>
            </w:r>
          </w:p>
        </w:tc>
        <w:tc>
          <w:tcPr>
            <w:tcW w:w="5880" w:type="dxa"/>
            <w:noWrap/>
          </w:tcPr>
          <w:p w:rsidR="008237BB" w:rsidRPr="00791D90"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791D90">
              <w:t>Coastal Erosion - large scale</w:t>
            </w:r>
          </w:p>
        </w:tc>
      </w:tr>
      <w:tr w:rsidR="008237BB" w:rsidRPr="0048235B" w:rsidTr="006B54B0">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28" w:type="dxa"/>
            <w:noWrap/>
          </w:tcPr>
          <w:p w:rsidR="008237BB" w:rsidRPr="00791D90" w:rsidRDefault="008237BB" w:rsidP="001D132F">
            <w:pPr>
              <w:pStyle w:val="Tabletextleft"/>
            </w:pPr>
            <w:r w:rsidRPr="00791D90">
              <w:t>A3/11-4</w:t>
            </w:r>
          </w:p>
        </w:tc>
        <w:tc>
          <w:tcPr>
            <w:tcW w:w="5880" w:type="dxa"/>
            <w:noWrap/>
          </w:tcPr>
          <w:p w:rsidR="008237BB" w:rsidRPr="00791D90"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791D90">
              <w:t>Coastal Erosion - large scale</w:t>
            </w:r>
          </w:p>
        </w:tc>
      </w:tr>
      <w:tr w:rsidR="008237BB" w:rsidRPr="0048235B" w:rsidTr="006B54B0">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28" w:type="dxa"/>
            <w:noWrap/>
          </w:tcPr>
          <w:p w:rsidR="008237BB" w:rsidRPr="00791D90" w:rsidRDefault="008237BB" w:rsidP="001D132F">
            <w:pPr>
              <w:pStyle w:val="Tabletextleft"/>
            </w:pPr>
            <w:r w:rsidRPr="00791D90">
              <w:t>A3/11-5</w:t>
            </w:r>
          </w:p>
        </w:tc>
        <w:tc>
          <w:tcPr>
            <w:tcW w:w="5880" w:type="dxa"/>
            <w:noWrap/>
          </w:tcPr>
          <w:p w:rsidR="008237BB" w:rsidRPr="00791D90"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791D90">
              <w:t>Coastal Erosion - large scale</w:t>
            </w:r>
          </w:p>
        </w:tc>
      </w:tr>
      <w:tr w:rsidR="008237BB" w:rsidRPr="0048235B" w:rsidTr="006B54B0">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28" w:type="dxa"/>
            <w:noWrap/>
          </w:tcPr>
          <w:p w:rsidR="008237BB" w:rsidRPr="00791D90" w:rsidRDefault="008237BB" w:rsidP="001D132F">
            <w:pPr>
              <w:pStyle w:val="Tabletextleft"/>
            </w:pPr>
            <w:r w:rsidRPr="00791D90">
              <w:t>A3/11-6</w:t>
            </w:r>
          </w:p>
        </w:tc>
        <w:tc>
          <w:tcPr>
            <w:tcW w:w="5880" w:type="dxa"/>
            <w:noWrap/>
          </w:tcPr>
          <w:p w:rsidR="008237BB" w:rsidRPr="00791D90"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791D90">
              <w:t>Coastal Erosion - large scale</w:t>
            </w:r>
          </w:p>
        </w:tc>
      </w:tr>
      <w:tr w:rsidR="008237BB" w:rsidRPr="0048235B" w:rsidTr="006B54B0">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28" w:type="dxa"/>
            <w:noWrap/>
          </w:tcPr>
          <w:p w:rsidR="008237BB" w:rsidRPr="00791D90" w:rsidRDefault="008237BB" w:rsidP="001D132F">
            <w:pPr>
              <w:pStyle w:val="Tabletextleft"/>
            </w:pPr>
            <w:r w:rsidRPr="00791D90">
              <w:t>A3/11-7</w:t>
            </w:r>
          </w:p>
        </w:tc>
        <w:tc>
          <w:tcPr>
            <w:tcW w:w="5880" w:type="dxa"/>
            <w:noWrap/>
          </w:tcPr>
          <w:p w:rsidR="008237BB" w:rsidRPr="00791D90"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791D90">
              <w:t>Coastal Erosion - large scale</w:t>
            </w:r>
          </w:p>
        </w:tc>
      </w:tr>
      <w:tr w:rsidR="008237BB" w:rsidRPr="0048235B" w:rsidTr="006B54B0">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28" w:type="dxa"/>
            <w:noWrap/>
          </w:tcPr>
          <w:p w:rsidR="008237BB" w:rsidRPr="00791D90" w:rsidRDefault="008237BB" w:rsidP="001D132F">
            <w:pPr>
              <w:pStyle w:val="Tabletextleft"/>
            </w:pPr>
            <w:r w:rsidRPr="00791D90">
              <w:t>A3/11-8</w:t>
            </w:r>
          </w:p>
        </w:tc>
        <w:tc>
          <w:tcPr>
            <w:tcW w:w="5880" w:type="dxa"/>
            <w:noWrap/>
          </w:tcPr>
          <w:p w:rsidR="008237BB" w:rsidRPr="00791D90"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791D90">
              <w:t>Coastal Erosion - large scale</w:t>
            </w:r>
          </w:p>
        </w:tc>
      </w:tr>
    </w:tbl>
    <w:p w:rsidR="008237BB" w:rsidRDefault="008237BB" w:rsidP="008237BB"/>
    <w:p w:rsidR="008237BB" w:rsidRDefault="008237BB" w:rsidP="006B24B4">
      <w:pPr>
        <w:pStyle w:val="Headingappendix2"/>
      </w:pPr>
      <w:bookmarkStart w:id="5742" w:name="_Toc340756108"/>
      <w:bookmarkStart w:id="5743" w:name="_Toc341445322"/>
      <w:bookmarkStart w:id="5744" w:name="_Toc342638552"/>
      <w:bookmarkStart w:id="5745" w:name="_Toc346261052"/>
      <w:bookmarkStart w:id="5746" w:name="_Toc346261525"/>
      <w:bookmarkStart w:id="5747" w:name="_Toc346632614"/>
      <w:bookmarkStart w:id="5748" w:name="_Toc346632825"/>
      <w:bookmarkStart w:id="5749" w:name="_Toc346632937"/>
      <w:bookmarkStart w:id="5750" w:name="_Toc346633049"/>
      <w:bookmarkStart w:id="5751" w:name="_Toc346633161"/>
      <w:bookmarkStart w:id="5752" w:name="_Toc346633273"/>
      <w:bookmarkStart w:id="5753" w:name="_Toc347401706"/>
      <w:bookmarkStart w:id="5754" w:name="_Toc347401818"/>
      <w:bookmarkStart w:id="5755" w:name="_Toc347401930"/>
      <w:bookmarkStart w:id="5756" w:name="_Toc347402042"/>
      <w:bookmarkStart w:id="5757" w:name="_Toc347402154"/>
      <w:bookmarkStart w:id="5758" w:name="_Toc347402549"/>
      <w:bookmarkStart w:id="5759" w:name="_Toc349055122"/>
      <w:bookmarkStart w:id="5760" w:name="_Toc349055335"/>
      <w:bookmarkStart w:id="5761" w:name="_Toc349055448"/>
      <w:bookmarkStart w:id="5762" w:name="_Toc349055561"/>
      <w:bookmarkStart w:id="5763" w:name="_Toc349055674"/>
      <w:bookmarkStart w:id="5764" w:name="_Toc349055787"/>
      <w:bookmarkStart w:id="5765" w:name="_Toc349117034"/>
      <w:bookmarkStart w:id="5766" w:name="_Toc350330115"/>
      <w:bookmarkStart w:id="5767" w:name="_Toc350344094"/>
      <w:bookmarkStart w:id="5768" w:name="_Toc354402087"/>
      <w:bookmarkStart w:id="5769" w:name="_Toc354404090"/>
      <w:bookmarkStart w:id="5770" w:name="_Toc354476584"/>
      <w:bookmarkStart w:id="5771" w:name="_Toc354492813"/>
      <w:bookmarkStart w:id="5772" w:name="_Toc354492930"/>
      <w:bookmarkStart w:id="5773" w:name="_Toc354493060"/>
      <w:bookmarkStart w:id="5774" w:name="_Toc354493191"/>
      <w:bookmarkStart w:id="5775" w:name="_Toc354493352"/>
      <w:bookmarkStart w:id="5776" w:name="_Toc354493799"/>
      <w:bookmarkStart w:id="5777" w:name="_Toc354494334"/>
      <w:bookmarkStart w:id="5778" w:name="_Toc354494553"/>
      <w:bookmarkStart w:id="5779" w:name="_Toc354494765"/>
      <w:bookmarkStart w:id="5780" w:name="_Toc354495059"/>
      <w:bookmarkStart w:id="5781" w:name="_Toc354497940"/>
      <w:bookmarkStart w:id="5782" w:name="_Toc354561356"/>
      <w:bookmarkStart w:id="5783" w:name="_Toc355164276"/>
      <w:bookmarkStart w:id="5784" w:name="_Toc355249697"/>
      <w:r>
        <w:t>Future-Climate</w:t>
      </w:r>
      <w:bookmarkEnd w:id="5742"/>
      <w:bookmarkEnd w:id="5743"/>
      <w:bookmarkEnd w:id="5744"/>
      <w:bookmarkEnd w:id="5745"/>
      <w:bookmarkEnd w:id="5746"/>
      <w:r>
        <w:t xml:space="preserve"> Hazard Maps</w:t>
      </w:r>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p>
    <w:tbl>
      <w:tblPr>
        <w:tblStyle w:val="TableGAHeaderRow"/>
        <w:tblW w:w="7685" w:type="dxa"/>
        <w:tblLook w:val="00A0" w:firstRow="1" w:lastRow="0" w:firstColumn="1" w:lastColumn="0" w:noHBand="0" w:noVBand="0"/>
        <w:tblDescription w:val="This table presents the future climate hazard maps produced as a result of this study. Each item in the table describes the map reference followed by the map content. A3/12, 2055 - 50 year ARI TC Wind Hazard. A3/13, 2055 - 100 year ARI TC Wind Hazard. A3/14, 2055 - 250 year ARI TC Wind Hazard. A3/15, 2055 - 1000 year ARI TC Wind Hazard. A3/16, 2090 - 50 year ARI TC Wind Hazard. A3/17, 2090 - 100 year ARI TC Wind Hazard. A3/18, 2090 - 250 year ARI TC Wind Hazard. A3/19, 2090 - 1000 year ARI TC Wind Hazard. A3/20, 2050 - 50 year ARI Bushfire Hazard. A3/21, 2050 - 100 year ARI Bushfire Hazard. A3/22, 2090 - 50 year ARI Bushfire Hazard. A3/23, 2090 - 100 year ARI Bushfire Hazard. A3/24, 2050 - Extra-tropical Storm Tide Hazard - Area 4 . A3/25, 2050 - Extra-tropical Storm Tide Hazard - Area 5. A3/26, 2050 - Tropical Storm Tide Hazard - Area 4. A3/27, 2050 - Tropical Storm Tide Hazard - Area 5. A3/28, 2070 - Extra-tropical Storm Tide Hazard - Area 4. A3/29, 2070 - Extra-tropical Storm Tide Hazard - Area 5. A3/30, 2070 - Tropical Storm Tide Hazard - Area 4. A3/31, 2070 - Tropical Storm Tide Hazard - Area 5. A3/32, 2100 - Extra-tropical Storm Tide Hazard - Area 4. A3/33, 2100 - Extra-tropical Storm Tide Hazard - Area 5. A3/34, 2100 - Tropical Storm Tide Hazard - Area 4. A3/35, 2100 - Tropical Storm Tide Hazard - Area 5. A3/36, 2100 - Extra-tropical Storm Tide Hazard - Area 4. A3/37, 2100 - Extra-tropical Storm Tide Hazard - Area 5. A3/38, 2100 - Tropical Storm Tide Hazard - Area 4. A3/39, 2100 - Tropical Storm Tide Hazard - Area 5. A3/40, Sea-level Rise Hazard. A3/41, 2100 Coastal Erosion Hazard - small scale. A3/41-1, 2100 Coastal Erosion Hazard - large scale. A3/41-2, 2100 Coastal Erosion Hazard - large scale. A3/41-3, 2100 Coastal Erosion Hazard - large scale. A3/41-4, 2100 Coastal Erosion Hazard - large scale. A3/41-5, 2100 Coastal Erosion Hazard - large scale. A3/41-6, 2100 Coastal Erosion Hazard - large scale. A3/41-7, 2100 Coastal Erosion Hazard - large scale. A3/41-8, 2100 Coastal Erosion Hazard - large scale. A3/41-9, 2100 Coastal Erosion Hazard - large scale. A3/41-10, 2100 Coastal Erosion Hazard - large scale. A3/41-11, 2100 Coastal Erosion Hazard - large scale. A3/41-12, 2100 Coastal Erosion Hazard - large scale. A3/41-13, 2100 Coastal Erosion Hazard - large scale. A3/41-14, 2100 Coastal Erosion Hazard - large scale. A3/41-15, 2100 Coastal Erosion Hazard - large scale. A3/41-16, 2100 Coastal Erosion Hazard - large scale. A3/41-17, 2100 Coastal Erosion Hazard - large scale. A3/41-18, 2100 Coastal Erosion Hazard - large scale. A3/41-19, 2100 Coastal Erosion Hazard - large scale. A3/41-20, 2100 Coastal Erosion Hazard - large scale. A3/41-21, 2100 Coastal Erosion Hazard - large scale. A3/41-22, 2100 Coastal Erosion Hazard - large scale. A3/41-23, 2100 Coastal Erosion Hazard - large scale. A3/41-24, 2100 Coastal Erosion Hazard - large scale. A3/41-25, 2100 Coastal Erosion Hazard - large scale. A3/41-26, 2100 Coastal Erosion Hazard - large scale. A3/41-27, 2100 Coastal Erosion Hazard - large scale. A3/41-28, 2100 Coastal Erosion Hazard - large scale. A3/41-29, 2100 Coastal Erosion Hazard - large scale. A3/41-30, 2100 Coastal Erosion Hazard - large scale. A3/41-31, 2100 Coastal Erosion Hazard - large scale. A3/41-32, 2100 Coastal Erosion Hazard - large scale. A3/41-33, 2100 Coastal Erosion Hazard - large scale. A3/41-34, 2100 Coastal Erosion Hazard - large scale. A3/41-35, 2100 Coastal Erosion Hazard - large scale. A3/41-36, 2100 Coastal Erosion Hazard - large scale. "/>
      </w:tblPr>
      <w:tblGrid>
        <w:gridCol w:w="1805"/>
        <w:gridCol w:w="5880"/>
      </w:tblGrid>
      <w:tr w:rsidR="008237BB" w:rsidRPr="0048235B" w:rsidTr="00931278">
        <w:trPr>
          <w:cnfStyle w:val="100000000000" w:firstRow="1" w:lastRow="0" w:firstColumn="0" w:lastColumn="0" w:oddVBand="0" w:evenVBand="0" w:oddHBand="0" w:evenHBand="0" w:firstRowFirstColumn="0" w:firstRowLastColumn="0" w:lastRowFirstColumn="0" w:lastRowLastColumn="0"/>
          <w:trHeight w:val="255"/>
          <w:tblHeader/>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Map Reference</w:t>
            </w:r>
          </w:p>
        </w:tc>
        <w:tc>
          <w:tcPr>
            <w:tcW w:w="5880" w:type="dxa"/>
            <w:noWrap/>
          </w:tcPr>
          <w:p w:rsidR="008237BB" w:rsidRPr="0019723E" w:rsidRDefault="008237BB" w:rsidP="001D132F">
            <w:pPr>
              <w:pStyle w:val="Tabletextleft"/>
              <w:cnfStyle w:val="100000000000" w:firstRow="1" w:lastRow="0" w:firstColumn="0" w:lastColumn="0" w:oddVBand="0" w:evenVBand="0" w:oddHBand="0" w:evenHBand="0" w:firstRowFirstColumn="0" w:firstRowLastColumn="0" w:lastRowFirstColumn="0" w:lastRowLastColumn="0"/>
            </w:pPr>
            <w:r w:rsidRPr="0019723E">
              <w:t xml:space="preserve">Map content </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791D90" w:rsidRDefault="008237BB" w:rsidP="001D132F">
            <w:pPr>
              <w:pStyle w:val="Tabletextleft"/>
            </w:pPr>
            <w:r w:rsidRPr="00791D90">
              <w:t>A3/12</w:t>
            </w:r>
          </w:p>
        </w:tc>
        <w:tc>
          <w:tcPr>
            <w:tcW w:w="5880" w:type="dxa"/>
            <w:noWrap/>
          </w:tcPr>
          <w:p w:rsidR="008237BB" w:rsidRPr="00791D90"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791D90">
              <w:t>2055 - 50 year ARI TC Wind Hazard</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791D90" w:rsidRDefault="008237BB" w:rsidP="001D132F">
            <w:pPr>
              <w:pStyle w:val="Tabletextleft"/>
            </w:pPr>
            <w:r w:rsidRPr="00791D90">
              <w:t>A3/13</w:t>
            </w:r>
          </w:p>
        </w:tc>
        <w:tc>
          <w:tcPr>
            <w:tcW w:w="5880" w:type="dxa"/>
            <w:noWrap/>
          </w:tcPr>
          <w:p w:rsidR="008237BB" w:rsidRPr="00791D90"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791D90">
              <w:t>2055 - 100 year ARI TC Wind Hazard</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791D90" w:rsidRDefault="008237BB" w:rsidP="001D132F">
            <w:pPr>
              <w:pStyle w:val="Tabletextleft"/>
            </w:pPr>
            <w:r w:rsidRPr="00791D90">
              <w:t>A3/14</w:t>
            </w:r>
          </w:p>
        </w:tc>
        <w:tc>
          <w:tcPr>
            <w:tcW w:w="5880" w:type="dxa"/>
            <w:noWrap/>
          </w:tcPr>
          <w:p w:rsidR="008237BB" w:rsidRPr="00791D90"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791D90">
              <w:t>2055 - 250 year ARI TC Wind Hazard</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791D90" w:rsidRDefault="008237BB" w:rsidP="001D132F">
            <w:pPr>
              <w:pStyle w:val="Tabletextleft"/>
            </w:pPr>
            <w:r w:rsidRPr="00791D90">
              <w:t>A3/15</w:t>
            </w:r>
          </w:p>
        </w:tc>
        <w:tc>
          <w:tcPr>
            <w:tcW w:w="5880" w:type="dxa"/>
            <w:noWrap/>
          </w:tcPr>
          <w:p w:rsidR="008237BB" w:rsidRPr="00791D90"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791D90">
              <w:t>2055 - 1000 year ARI TC Wind Hazard</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791D90" w:rsidRDefault="008237BB" w:rsidP="001D132F">
            <w:pPr>
              <w:pStyle w:val="Tabletextleft"/>
            </w:pPr>
            <w:r w:rsidRPr="00791D90">
              <w:t>A3/16</w:t>
            </w:r>
          </w:p>
        </w:tc>
        <w:tc>
          <w:tcPr>
            <w:tcW w:w="5880" w:type="dxa"/>
            <w:noWrap/>
          </w:tcPr>
          <w:p w:rsidR="008237BB" w:rsidRPr="00791D90"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791D90">
              <w:t>2090 - 50 year ARI TC Wind Hazard</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791D90" w:rsidRDefault="008237BB" w:rsidP="001D132F">
            <w:pPr>
              <w:pStyle w:val="Tabletextleft"/>
            </w:pPr>
            <w:r w:rsidRPr="00791D90">
              <w:t>A3/17</w:t>
            </w:r>
          </w:p>
        </w:tc>
        <w:tc>
          <w:tcPr>
            <w:tcW w:w="5880" w:type="dxa"/>
            <w:noWrap/>
          </w:tcPr>
          <w:p w:rsidR="008237BB" w:rsidRPr="00791D90"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791D90">
              <w:t>2090 - 100 year ARI TC Wind Hazard</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791D90" w:rsidRDefault="008237BB" w:rsidP="001D132F">
            <w:pPr>
              <w:pStyle w:val="Tabletextleft"/>
            </w:pPr>
            <w:r w:rsidRPr="00791D90">
              <w:t>A3/18</w:t>
            </w:r>
          </w:p>
        </w:tc>
        <w:tc>
          <w:tcPr>
            <w:tcW w:w="5880" w:type="dxa"/>
            <w:noWrap/>
          </w:tcPr>
          <w:p w:rsidR="008237BB" w:rsidRPr="00791D90"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791D90">
              <w:t>2090 - 250 year ARI TC Wind Hazard</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791D90" w:rsidRDefault="008237BB" w:rsidP="001D132F">
            <w:pPr>
              <w:pStyle w:val="Tabletextleft"/>
            </w:pPr>
            <w:r w:rsidRPr="00791D90">
              <w:t>A3/19</w:t>
            </w:r>
          </w:p>
        </w:tc>
        <w:tc>
          <w:tcPr>
            <w:tcW w:w="5880" w:type="dxa"/>
            <w:noWrap/>
          </w:tcPr>
          <w:p w:rsidR="008237BB" w:rsidRPr="00791D90"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791D90">
              <w:t>2090 - 1000 year ARI TC Wind Hazard</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791D90" w:rsidRDefault="008237BB" w:rsidP="001D132F">
            <w:pPr>
              <w:pStyle w:val="Tabletextleft"/>
            </w:pPr>
            <w:r w:rsidRPr="00791D90">
              <w:t>A3/20</w:t>
            </w:r>
          </w:p>
        </w:tc>
        <w:tc>
          <w:tcPr>
            <w:tcW w:w="5880" w:type="dxa"/>
            <w:noWrap/>
          </w:tcPr>
          <w:p w:rsidR="008237BB" w:rsidRPr="00791D90"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791D90">
              <w:t>2050 - 50 year ARI Bushfire Hazard</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791D90" w:rsidRDefault="008237BB" w:rsidP="001D132F">
            <w:pPr>
              <w:pStyle w:val="Tabletextleft"/>
            </w:pPr>
            <w:r w:rsidRPr="00791D90">
              <w:t>A3/21</w:t>
            </w:r>
          </w:p>
        </w:tc>
        <w:tc>
          <w:tcPr>
            <w:tcW w:w="5880" w:type="dxa"/>
            <w:noWrap/>
          </w:tcPr>
          <w:p w:rsidR="008237BB" w:rsidRPr="00791D90"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791D90">
              <w:t>2050 - 100 year ARI Bushfire Hazard</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lastRenderedPageBreak/>
              <w:t>A3/22</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2090 - 50 year ARI Bushfire Hazard</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A3/23</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2090 - 100 year ARI Bushfire Hazard</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A3/24</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2050 - Extra-tropical Storm Tide Hazard - Area 4</w:t>
            </w:r>
            <w:r w:rsidRPr="00F06D18">
              <w:rPr>
                <w:rStyle w:val="Superscript"/>
              </w:rPr>
              <w:footnoteReference w:id="38"/>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A3/25</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2050 - Extra-tropical Storm Tide Hazard - Area 5</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A3/26</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2050 - Tropical Storm Tide Hazard - Area 4</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A3/27</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2050 - Tropical Storm Tide Hazard - Area 5</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A3/28</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2070 - Extra-tropical Storm Tide Hazard - Area 4</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A3/29</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2070 - Extra-tropical Storm Tide Hazard - Area 5</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A3/30</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2070 - Tropical Storm Tide Hazard - Area 4</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A3/31</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2070 - Tropical Storm Tide Hazard - Area 5</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A3/32</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2100 - Extra-tropical Storm Tide Hazard - Area 4</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A3/33</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2100 - Extra-tropical Storm Tide Hazard - Area 5</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A3/34</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2100 - Tropical Storm Tide Hazard - Area 4</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A3/35</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2100 - Tropical Storm Tide Hazard - Area 5</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A3/36</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2100 - Extra-tropical Storm Tide Hazard - Area 4</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A3/37</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2100 - Extra-tropical Storm Tide Hazard - Area 5</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A3/38</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2100 - Tropical Storm Tide Hazard - Area 4</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A3/39</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2100 - Tropical Storm Tide Hazard - Area 5</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A3/40</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Sea-level Rise Hazard</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2100 Coastal Erosion Hazard - small scale</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A3/41-1</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2100 Coastal Erosion Hazard - large scale</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A3/41-2</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2100 Coastal Erosion Hazard - large scale</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A3/41-3</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2100 Coastal Erosion Hazard - large scale</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A3/41-4</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2100 Coastal Erosion Hazard - large scale</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A3/41-5</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2100 Coastal Erosion Hazard - large scale</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A3/41-6</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2100 Coastal Erosion Hazard - large scale</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A3/41-7</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2100 Coastal Erosion Hazard - large scale</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A3/41-8</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2100 Coastal Erosion Hazard - large scale</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A3/41-9</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2100 Coastal Erosion Hazard - large scale</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A3/41-10</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2100 Coastal Erosion Hazard - large scale</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A3/41-11</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2100 Coastal Erosion Hazard - large scale</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A3/41-12</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2100 Coastal Erosion Hazard - large scale</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A3/41-13</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2100 Coastal Erosion Hazard - large scale</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A3/41-14</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2100 Coastal Erosion Hazard - large scale</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lastRenderedPageBreak/>
              <w:t>A3/41-15</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2100 Coastal Erosion Hazard - large scale</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A3/41-16</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2100 Coastal Erosion Hazard - large scale</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A3/41-17</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2100 Coastal Erosion Hazard - large scale</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A3/41-18</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2100 Coastal Erosion Hazard - large scale</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A3/41-19</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2100 Coastal Erosion Hazard - large scale</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A3/41-20</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2100 Coastal Erosion Hazard - large scale</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A3/41-21</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2100 Coastal Erosion Hazard - large scale</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A3/41-22</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2100 Coastal Erosion Hazard - large scale</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A3/41-23</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2100 Coastal Erosion Hazard - large scale</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A3/41-24</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2100 Coastal Erosion Hazard - large scale</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A3/41-25</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2100 Coastal Erosion Hazard - large scale</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A3/41-26</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2100 Coastal Erosion Hazard - large scale</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A3/41-27</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2100 Coastal Erosion Hazard - large scale</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A3/41-28</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2100 Coastal Erosion Hazard - large scale</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A3/41-29</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2100 Coastal Erosion Hazard - large scale</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A3/41-30</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2100 Coastal Erosion Hazard - large scale</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A3/41-31</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2100 Coastal Erosion Hazard - large scale</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A3/41-32</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2100 Coastal Erosion Hazard - large scale</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A3/41-33</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2100 Coastal Erosion Hazard - large scale</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A3/41-34</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2100 Coastal Erosion Hazard - large scale</w:t>
            </w:r>
          </w:p>
        </w:tc>
      </w:tr>
      <w:tr w:rsidR="008237BB" w:rsidRPr="0048235B" w:rsidTr="00720833">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A3/41-35</w:t>
            </w:r>
          </w:p>
        </w:tc>
        <w:tc>
          <w:tcPr>
            <w:tcW w:w="5880" w:type="dxa"/>
            <w:noWrap/>
          </w:tcPr>
          <w:p w:rsidR="008237BB" w:rsidRPr="0019723E" w:rsidRDefault="008237BB" w:rsidP="001D132F">
            <w:pPr>
              <w:pStyle w:val="Tabletextleft"/>
              <w:cnfStyle w:val="000000100000" w:firstRow="0" w:lastRow="0" w:firstColumn="0" w:lastColumn="0" w:oddVBand="0" w:evenVBand="0" w:oddHBand="1" w:evenHBand="0" w:firstRowFirstColumn="0" w:firstRowLastColumn="0" w:lastRowFirstColumn="0" w:lastRowLastColumn="0"/>
            </w:pPr>
            <w:r w:rsidRPr="0019723E">
              <w:t>2100 Coastal Erosion Hazard - large scale</w:t>
            </w:r>
          </w:p>
        </w:tc>
      </w:tr>
      <w:tr w:rsidR="008237BB" w:rsidRPr="0048235B" w:rsidTr="00720833">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805" w:type="dxa"/>
            <w:noWrap/>
          </w:tcPr>
          <w:p w:rsidR="008237BB" w:rsidRPr="0019723E" w:rsidRDefault="008237BB" w:rsidP="001D132F">
            <w:pPr>
              <w:pStyle w:val="Tabletextleft"/>
            </w:pPr>
            <w:r w:rsidRPr="0019723E">
              <w:t>A3/41-36</w:t>
            </w:r>
          </w:p>
        </w:tc>
        <w:tc>
          <w:tcPr>
            <w:tcW w:w="5880" w:type="dxa"/>
            <w:noWrap/>
          </w:tcPr>
          <w:p w:rsidR="008237BB" w:rsidRPr="0019723E" w:rsidRDefault="008237BB" w:rsidP="001D132F">
            <w:pPr>
              <w:pStyle w:val="Tabletextleft"/>
              <w:cnfStyle w:val="000000010000" w:firstRow="0" w:lastRow="0" w:firstColumn="0" w:lastColumn="0" w:oddVBand="0" w:evenVBand="0" w:oddHBand="0" w:evenHBand="1" w:firstRowFirstColumn="0" w:firstRowLastColumn="0" w:lastRowFirstColumn="0" w:lastRowLastColumn="0"/>
            </w:pPr>
            <w:r w:rsidRPr="0019723E">
              <w:t>2100 Coastal Erosion Hazard - large scale</w:t>
            </w:r>
          </w:p>
        </w:tc>
      </w:tr>
    </w:tbl>
    <w:p w:rsidR="00162079" w:rsidRDefault="00162079" w:rsidP="00162079"/>
    <w:sectPr w:rsidR="00162079" w:rsidSect="00AD5572">
      <w:pgSz w:w="11907" w:h="16840" w:code="9"/>
      <w:pgMar w:top="1985" w:right="1134" w:bottom="1134" w:left="1701" w:header="720" w:footer="397"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66CB" w:rsidRPr="00216096" w:rsidRDefault="002666CB" w:rsidP="00216096">
      <w:pPr>
        <w:pStyle w:val="Tablenotes"/>
      </w:pPr>
    </w:p>
  </w:endnote>
  <w:endnote w:type="continuationSeparator" w:id="0">
    <w:p w:rsidR="002666CB" w:rsidRPr="001D132F" w:rsidRDefault="002666CB" w:rsidP="001D132F">
      <w:pPr>
        <w:pStyle w:val="Tablenotes"/>
      </w:pPr>
    </w:p>
  </w:endnote>
  <w:endnote w:type="continuationNotice" w:id="1">
    <w:p w:rsidR="002666CB" w:rsidRDefault="002666CB" w:rsidP="001D132F">
      <w:pPr>
        <w:pStyle w:val="Tablenotes"/>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Bold">
    <w:panose1 w:val="020B0704020202020204"/>
    <w:charset w:val="00"/>
    <w:family w:val="roman"/>
    <w:notTrueType/>
    <w:pitch w:val="default"/>
  </w:font>
  <w:font w:name="Courier New">
    <w:panose1 w:val="02070309020205020404"/>
    <w:charset w:val="00"/>
    <w:family w:val="modern"/>
    <w:pitch w:val="fixed"/>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10002FF" w:usb1="4000ACFF" w:usb2="00000009" w:usb3="00000000" w:csb0="0000019F"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5443951"/>
      <w:docPartObj>
        <w:docPartGallery w:val="Page Numbers (Bottom of Page)"/>
        <w:docPartUnique/>
      </w:docPartObj>
    </w:sdtPr>
    <w:sdtEndPr>
      <w:rPr>
        <w:rStyle w:val="PageNumber"/>
        <w:b w:val="0"/>
      </w:rPr>
    </w:sdtEndPr>
    <w:sdtContent>
      <w:p w:rsidR="002666CB" w:rsidRPr="000B1669" w:rsidRDefault="002666CB" w:rsidP="00E1079C">
        <w:pPr>
          <w:pStyle w:val="Footer"/>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7F11CF">
          <w:rPr>
            <w:rStyle w:val="PageNumber"/>
            <w:noProof/>
          </w:rPr>
          <w:t>116</w:t>
        </w:r>
        <w:r w:rsidRPr="000B1669">
          <w:rPr>
            <w:rStyle w:val="PageNumber"/>
          </w:rPr>
          <w:fldChar w:fldCharType="end"/>
        </w:r>
        <w:r>
          <w:rPr>
            <w:rStyle w:val="PageNumber"/>
          </w:rPr>
          <w:tab/>
        </w:r>
        <w:r>
          <w:t>Reforming Planning Processes Trial: Rockhampton 2050</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1156009"/>
      <w:docPartObj>
        <w:docPartGallery w:val="Page Numbers (Bottom of Page)"/>
        <w:docPartUnique/>
      </w:docPartObj>
    </w:sdtPr>
    <w:sdtEndPr>
      <w:rPr>
        <w:noProof/>
      </w:rPr>
    </w:sdtEndPr>
    <w:sdtContent>
      <w:p w:rsidR="002666CB" w:rsidRDefault="002666CB" w:rsidP="00135632">
        <w:pPr>
          <w:pStyle w:val="Footer"/>
        </w:pPr>
        <w:r>
          <w:t>Reforming planning processes: Rockhampton 2050 trial</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7F11CF">
          <w:rPr>
            <w:rStyle w:val="PageNumber"/>
            <w:noProof/>
          </w:rPr>
          <w:t>115</w:t>
        </w:r>
        <w:r w:rsidRPr="008E7CDC">
          <w:rPr>
            <w:rStyle w:val="PageNumber"/>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66CB" w:rsidRPr="00AD5572" w:rsidRDefault="002666CB" w:rsidP="00AD5572">
      <w:pPr>
        <w:pStyle w:val="Tablenotes"/>
      </w:pPr>
    </w:p>
  </w:footnote>
  <w:footnote w:type="continuationSeparator" w:id="0">
    <w:p w:rsidR="002666CB" w:rsidRPr="00AD5572" w:rsidRDefault="002666CB" w:rsidP="00AD5572">
      <w:pPr>
        <w:pStyle w:val="Tablenotes"/>
      </w:pPr>
    </w:p>
  </w:footnote>
  <w:footnote w:type="continuationNotice" w:id="1">
    <w:p w:rsidR="002666CB" w:rsidRDefault="002666CB" w:rsidP="00AD5572">
      <w:pPr>
        <w:pStyle w:val="Tablenotes"/>
      </w:pPr>
    </w:p>
  </w:footnote>
  <w:footnote w:id="2">
    <w:p w:rsidR="002666CB" w:rsidRDefault="002666CB">
      <w:pPr>
        <w:pStyle w:val="FootnoteText"/>
      </w:pPr>
      <w:r>
        <w:rPr>
          <w:rStyle w:val="FootnoteReference"/>
        </w:rPr>
        <w:footnoteRef/>
      </w:r>
      <w:r>
        <w:t xml:space="preserve"> </w:t>
      </w:r>
      <w:hyperlink r:id="rId1" w:tooltip="QLD MSQ website" w:history="1">
        <w:r w:rsidRPr="00993A59">
          <w:rPr>
            <w:rStyle w:val="Hyperlink"/>
          </w:rPr>
          <w:t>http://www.msq.qld.gov.au/Tides/Notes-and-definitions.aspx</w:t>
        </w:r>
      </w:hyperlink>
    </w:p>
  </w:footnote>
  <w:footnote w:id="3">
    <w:p w:rsidR="002666CB" w:rsidRDefault="002666CB">
      <w:pPr>
        <w:pStyle w:val="FootnoteText"/>
      </w:pPr>
      <w:r>
        <w:rPr>
          <w:rStyle w:val="FootnoteReference"/>
        </w:rPr>
        <w:footnoteRef/>
      </w:r>
      <w:r>
        <w:t xml:space="preserve"> </w:t>
      </w:r>
      <w:hyperlink r:id="rId2" w:tooltip="QLD MSQ website" w:history="1">
        <w:r w:rsidRPr="00993A59">
          <w:rPr>
            <w:rStyle w:val="Hyperlink"/>
          </w:rPr>
          <w:t>http://www.msq.qld.gov.au/Tides/Notes-and-definitions.aspx</w:t>
        </w:r>
      </w:hyperlink>
    </w:p>
  </w:footnote>
  <w:footnote w:id="4">
    <w:p w:rsidR="002666CB" w:rsidRDefault="002666CB" w:rsidP="00884478">
      <w:pPr>
        <w:pStyle w:val="FootnoteText"/>
      </w:pPr>
      <w:r>
        <w:rPr>
          <w:rStyle w:val="FootnoteReference"/>
        </w:rPr>
        <w:footnoteRef/>
      </w:r>
      <w:r>
        <w:t xml:space="preserve"> The maps show local wind speed hazard in terms of the equivalent TC wind speed categories. The TC categories are only used to facilitate interpretation of the wind speeds; they do not indicate distinct TC events within the study region.</w:t>
      </w:r>
    </w:p>
  </w:footnote>
  <w:footnote w:id="5">
    <w:p w:rsidR="002666CB" w:rsidRDefault="002666CB" w:rsidP="009E1AAE">
      <w:pPr>
        <w:pStyle w:val="BodyText"/>
        <w:spacing w:line="120" w:lineRule="atLeast"/>
      </w:pPr>
      <w:r>
        <w:rPr>
          <w:rStyle w:val="FootnoteReference"/>
        </w:rPr>
        <w:footnoteRef/>
      </w:r>
      <w:r>
        <w:t xml:space="preserve"> This illustrates why hazard modelling for extreme events is based on broad, in this case national, ‘synthetic’ catalogues of potential events, rather than local observations alone.</w:t>
      </w:r>
    </w:p>
  </w:footnote>
  <w:footnote w:id="6">
    <w:p w:rsidR="002666CB" w:rsidRPr="00C91D74" w:rsidRDefault="002666CB" w:rsidP="008237BB">
      <w:pPr>
        <w:pStyle w:val="FootnoteText"/>
      </w:pPr>
      <w:r>
        <w:rPr>
          <w:rStyle w:val="FootnoteReference"/>
        </w:rPr>
        <w:footnoteRef/>
      </w:r>
      <w:r>
        <w:t xml:space="preserve"> </w:t>
      </w:r>
      <w:hyperlink r:id="rId3" w:tooltip="GCA website" w:history="1">
        <w:r w:rsidRPr="00240A3C">
          <w:rPr>
            <w:rStyle w:val="Hyperlink"/>
          </w:rPr>
          <w:t>http://hardenup.org/be-aware/weather-events/events/1910-1919/cyclone-mackay-1918-1918-01-21.aspx</w:t>
        </w:r>
      </w:hyperlink>
    </w:p>
  </w:footnote>
  <w:footnote w:id="7">
    <w:p w:rsidR="002666CB" w:rsidRDefault="002666CB" w:rsidP="008237BB">
      <w:pPr>
        <w:pStyle w:val="FootnoteText"/>
      </w:pPr>
      <w:r>
        <w:rPr>
          <w:rStyle w:val="FootnoteReference"/>
        </w:rPr>
        <w:footnoteRef/>
      </w:r>
      <w:r>
        <w:t xml:space="preserve"> The sources are provided within the </w:t>
      </w:r>
      <w:r>
        <w:fldChar w:fldCharType="begin"/>
      </w:r>
      <w:r>
        <w:instrText xml:space="preserve"> REF _Ref340663299 \h </w:instrText>
      </w:r>
      <w:r>
        <w:fldChar w:fldCharType="separate"/>
      </w:r>
      <w:r w:rsidRPr="009340CE">
        <w:t>Sea-level Rise</w:t>
      </w:r>
      <w:r>
        <w:fldChar w:fldCharType="end"/>
      </w:r>
      <w:r>
        <w:t xml:space="preserve"> hazard section on page </w:t>
      </w:r>
      <w:r>
        <w:fldChar w:fldCharType="begin"/>
      </w:r>
      <w:r>
        <w:instrText xml:space="preserve"> PAGEREF _Ref340663299 \h </w:instrText>
      </w:r>
      <w:r>
        <w:fldChar w:fldCharType="separate"/>
      </w:r>
      <w:r>
        <w:rPr>
          <w:noProof/>
        </w:rPr>
        <w:t>31</w:t>
      </w:r>
      <w:r>
        <w:fldChar w:fldCharType="end"/>
      </w:r>
    </w:p>
  </w:footnote>
  <w:footnote w:id="8">
    <w:p w:rsidR="002666CB" w:rsidRDefault="002666CB" w:rsidP="008237BB">
      <w:pPr>
        <w:pStyle w:val="FootnoteText"/>
      </w:pPr>
      <w:r>
        <w:rPr>
          <w:rStyle w:val="FootnoteReference"/>
        </w:rPr>
        <w:footnoteRef/>
      </w:r>
      <w:r>
        <w:t xml:space="preserve"> This methodology and storm tide data also supports the ACE CRC Canute Sea Level Calculator which provides a user interface to identify combined current climate storm tide and sea-level rise around Australia for extra-tropical storms only. </w:t>
      </w:r>
      <w:hyperlink r:id="rId4" w:tooltip="ACE CRC website" w:history="1">
        <w:r w:rsidRPr="000871C1">
          <w:rPr>
            <w:rStyle w:val="Hyperlink"/>
          </w:rPr>
          <w:t>http://canute2.sealevelrise.info/slr/Important%20Information</w:t>
        </w:r>
      </w:hyperlink>
    </w:p>
  </w:footnote>
  <w:footnote w:id="9">
    <w:p w:rsidR="002666CB" w:rsidRDefault="002666CB" w:rsidP="008237BB">
      <w:pPr>
        <w:pStyle w:val="FootnoteText"/>
      </w:pPr>
      <w:r>
        <w:rPr>
          <w:rStyle w:val="FootnoteReference"/>
        </w:rPr>
        <w:footnoteRef/>
      </w:r>
      <w:r>
        <w:t xml:space="preserve"> The process where sediment deposits cause the shoreline to advance seaward. </w:t>
      </w:r>
    </w:p>
  </w:footnote>
  <w:footnote w:id="10">
    <w:p w:rsidR="002666CB" w:rsidRDefault="002666CB" w:rsidP="005D5011">
      <w:pPr>
        <w:pStyle w:val="FootnoteText"/>
      </w:pPr>
      <w:r>
        <w:rPr>
          <w:rStyle w:val="FootnoteReference"/>
        </w:rPr>
        <w:footnoteRef/>
      </w:r>
      <w:r>
        <w:t xml:space="preserve"> Note: the outline width of the erosion extent has been increased to clearly show the exposed coastline and does not represent the areal extent of the erosion. For the correct erosion extent refer to the provided A3 hazard maps.</w:t>
      </w:r>
    </w:p>
  </w:footnote>
  <w:footnote w:id="11">
    <w:p w:rsidR="002666CB" w:rsidRDefault="002666CB" w:rsidP="005D5011">
      <w:pPr>
        <w:pStyle w:val="FootnoteText"/>
      </w:pPr>
      <w:r>
        <w:rPr>
          <w:rStyle w:val="FootnoteReference"/>
        </w:rPr>
        <w:footnoteRef/>
      </w:r>
      <w:r>
        <w:t xml:space="preserve"> As for the footnote relating to </w:t>
      </w:r>
      <w:r>
        <w:fldChar w:fldCharType="begin"/>
      </w:r>
      <w:r>
        <w:instrText xml:space="preserve"> REF _Ref355184211 \h </w:instrText>
      </w:r>
      <w:r>
        <w:fldChar w:fldCharType="separate"/>
      </w:r>
      <w:r>
        <w:t xml:space="preserve">Figure </w:t>
      </w:r>
      <w:r>
        <w:rPr>
          <w:noProof/>
        </w:rPr>
        <w:t>6</w:t>
      </w:r>
      <w:r>
        <w:t>.</w:t>
      </w:r>
      <w:r>
        <w:rPr>
          <w:noProof/>
        </w:rPr>
        <w:t>1</w:t>
      </w:r>
      <w:r>
        <w:fldChar w:fldCharType="end"/>
      </w:r>
      <w:r>
        <w:t>.</w:t>
      </w:r>
    </w:p>
  </w:footnote>
  <w:footnote w:id="12">
    <w:p w:rsidR="002666CB" w:rsidRDefault="002666CB" w:rsidP="008237BB">
      <w:pPr>
        <w:pStyle w:val="FootnoteText"/>
      </w:pPr>
      <w:r>
        <w:rPr>
          <w:rStyle w:val="FootnoteReference"/>
        </w:rPr>
        <w:footnoteRef/>
      </w:r>
      <w:r>
        <w:t xml:space="preserve"> The bath-tub method is described in the Storm Tide hazard summary and within </w:t>
      </w:r>
      <w:r>
        <w:fldChar w:fldCharType="begin"/>
      </w:r>
      <w:r>
        <w:instrText xml:space="preserve"> REF _Ref341271568 \r \h </w:instrText>
      </w:r>
      <w:r>
        <w:fldChar w:fldCharType="separate"/>
      </w:r>
      <w:r>
        <w:t>Appendix C</w:t>
      </w:r>
      <w:r>
        <w:fldChar w:fldCharType="end"/>
      </w:r>
      <w:r>
        <w:t>.</w:t>
      </w:r>
    </w:p>
  </w:footnote>
  <w:footnote w:id="13">
    <w:p w:rsidR="002666CB" w:rsidRPr="00080FC2" w:rsidRDefault="002666CB" w:rsidP="008237BB">
      <w:pPr>
        <w:pStyle w:val="FootnoteText"/>
      </w:pPr>
      <w:r>
        <w:rPr>
          <w:rStyle w:val="FootnoteReference"/>
        </w:rPr>
        <w:footnoteRef/>
      </w:r>
      <w:r>
        <w:t xml:space="preserve"> </w:t>
      </w:r>
      <w:hyperlink r:id="rId5" w:tooltip="CSIRO website" w:history="1">
        <w:r w:rsidRPr="009D2FB4">
          <w:rPr>
            <w:rStyle w:val="Hyperlink"/>
          </w:rPr>
          <w:t>http://www.csiro.au/Outcomes/Climate/Reliability-Climate-Models.aspx</w:t>
        </w:r>
      </w:hyperlink>
      <w:r>
        <w:t xml:space="preserve"> </w:t>
      </w:r>
    </w:p>
  </w:footnote>
  <w:footnote w:id="14">
    <w:p w:rsidR="002666CB" w:rsidRDefault="002666CB" w:rsidP="008237BB">
      <w:pPr>
        <w:pStyle w:val="FootnoteText"/>
      </w:pPr>
      <w:r>
        <w:rPr>
          <w:rStyle w:val="FootnoteReference"/>
        </w:rPr>
        <w:footnoteRef/>
      </w:r>
      <w:r>
        <w:t xml:space="preserve"> The TCRM code is available online at </w:t>
      </w:r>
      <w:hyperlink r:id="rId6" w:tooltip="TCRM code" w:history="1">
        <w:r w:rsidRPr="00CA24C6">
          <w:rPr>
            <w:rStyle w:val="Hyperlink"/>
          </w:rPr>
          <w:t>http://code.google.com/p/tcrm</w:t>
        </w:r>
      </w:hyperlink>
    </w:p>
  </w:footnote>
  <w:footnote w:id="15">
    <w:p w:rsidR="002666CB" w:rsidRDefault="002666CB" w:rsidP="008237BB">
      <w:pPr>
        <w:pStyle w:val="FootnoteText"/>
      </w:pPr>
      <w:r>
        <w:rPr>
          <w:rStyle w:val="FootnoteReference"/>
        </w:rPr>
        <w:footnoteRef/>
      </w:r>
      <w:r>
        <w:t xml:space="preserve"> This corresponds to the average wind speed recorded over a 3-second period. </w:t>
      </w:r>
    </w:p>
  </w:footnote>
  <w:footnote w:id="16">
    <w:p w:rsidR="002666CB" w:rsidRDefault="002666CB" w:rsidP="008237BB">
      <w:pPr>
        <w:pStyle w:val="FootnoteText"/>
      </w:pPr>
      <w:r>
        <w:rPr>
          <w:rStyle w:val="FootnoteReference"/>
        </w:rPr>
        <w:footnoteRef/>
      </w:r>
      <w:r>
        <w:t xml:space="preserve"> Three second gust estimated at 10 m above ground level.</w:t>
      </w:r>
    </w:p>
  </w:footnote>
  <w:footnote w:id="17">
    <w:p w:rsidR="002666CB" w:rsidRDefault="002666CB" w:rsidP="008237BB">
      <w:pPr>
        <w:pStyle w:val="FootnoteText"/>
      </w:pPr>
      <w:r>
        <w:rPr>
          <w:rStyle w:val="FootnoteReference"/>
        </w:rPr>
        <w:footnoteRef/>
      </w:r>
      <w:r>
        <w:t xml:space="preserve"> Tropical Cyclone-Like Vortex – a feature in either General Circulation Models (GCMs) or Regional Climate Models (RCMs) that has characteristics similar to observed tropical cyclones (e.g. a persistent closed circulation, forming in tropical areas). These can be identified in model output using objective detection and tracking algorithms.</w:t>
      </w:r>
    </w:p>
  </w:footnote>
  <w:footnote w:id="18">
    <w:p w:rsidR="002666CB" w:rsidRDefault="002666CB" w:rsidP="008237BB">
      <w:pPr>
        <w:pStyle w:val="FootnoteText"/>
      </w:pPr>
      <w:r>
        <w:rPr>
          <w:rStyle w:val="FootnoteReference"/>
        </w:rPr>
        <w:footnoteRef/>
      </w:r>
      <w:r>
        <w:t xml:space="preserve"> </w:t>
      </w:r>
      <w:r w:rsidRPr="00B960FC">
        <w:t xml:space="preserve">Change is considered </w:t>
      </w:r>
      <w:r>
        <w:t xml:space="preserve">statistically </w:t>
      </w:r>
      <w:r w:rsidRPr="00B960FC">
        <w:t>significant when the mean future climate TC wind hazard estimate lies outside the 90</w:t>
      </w:r>
      <w:r w:rsidRPr="00B960FC">
        <w:rPr>
          <w:vertAlign w:val="superscript"/>
        </w:rPr>
        <w:t>th</w:t>
      </w:r>
      <w:r w:rsidRPr="00B960FC">
        <w:t xml:space="preserve"> percentile range of the current climate estimate</w:t>
      </w:r>
      <w:r>
        <w:t>.</w:t>
      </w:r>
    </w:p>
  </w:footnote>
  <w:footnote w:id="19">
    <w:p w:rsidR="002666CB" w:rsidRDefault="002666CB" w:rsidP="00FF6328">
      <w:pPr>
        <w:pStyle w:val="BodyText"/>
        <w:spacing w:line="120" w:lineRule="atLeast"/>
      </w:pPr>
      <w:r>
        <w:rPr>
          <w:rStyle w:val="FootnoteReference"/>
        </w:rPr>
        <w:footnoteRef/>
      </w:r>
      <w:r>
        <w:t xml:space="preserve"> available online at: </w:t>
      </w:r>
      <w:hyperlink r:id="rId7" w:tooltip="BoM website" w:history="1">
        <w:r w:rsidRPr="00240A3C">
          <w:rPr>
            <w:rStyle w:val="Hyperlink"/>
          </w:rPr>
          <w:t>http://www.bom.gov.au/cyclone/history/tracks/index.shtml</w:t>
        </w:r>
      </w:hyperlink>
      <w:r>
        <w:t xml:space="preserve"> </w:t>
      </w:r>
    </w:p>
  </w:footnote>
  <w:footnote w:id="20">
    <w:p w:rsidR="002666CB" w:rsidRDefault="002666CB" w:rsidP="008237BB">
      <w:pPr>
        <w:pStyle w:val="FootnoteText"/>
      </w:pPr>
      <w:r>
        <w:rPr>
          <w:rStyle w:val="FootnoteReference"/>
        </w:rPr>
        <w:footnoteRef/>
      </w:r>
      <w:r>
        <w:t xml:space="preserve"> </w:t>
      </w:r>
      <w:r w:rsidRPr="00B960FC">
        <w:t xml:space="preserve">Change is considered </w:t>
      </w:r>
      <w:r>
        <w:t xml:space="preserve">statistically </w:t>
      </w:r>
      <w:r w:rsidRPr="00B960FC">
        <w:t>significant when the mean future climate TC wind hazard estimate lies outside the 90</w:t>
      </w:r>
      <w:r w:rsidRPr="00B960FC">
        <w:rPr>
          <w:vertAlign w:val="superscript"/>
        </w:rPr>
        <w:t>th</w:t>
      </w:r>
      <w:r w:rsidRPr="00B960FC">
        <w:t xml:space="preserve"> percentile range of the current climate estimate</w:t>
      </w:r>
      <w:r>
        <w:t>.</w:t>
      </w:r>
    </w:p>
  </w:footnote>
  <w:footnote w:id="21">
    <w:p w:rsidR="002666CB" w:rsidRDefault="002666CB" w:rsidP="008237BB">
      <w:pPr>
        <w:pStyle w:val="FootnoteText"/>
      </w:pPr>
      <w:r>
        <w:rPr>
          <w:rStyle w:val="FootnoteReference"/>
        </w:rPr>
        <w:footnoteRef/>
      </w:r>
      <w:r>
        <w:t xml:space="preserve"> Regional Climate Model – a higher-resolution atmospheric model, which is run over a reduced domain. The model is forced at its external boundaries with data extracted from a GCM.</w:t>
      </w:r>
    </w:p>
  </w:footnote>
  <w:footnote w:id="22">
    <w:p w:rsidR="002666CB" w:rsidRDefault="002666CB" w:rsidP="009E1AAE">
      <w:pPr>
        <w:pStyle w:val="BodyText"/>
        <w:spacing w:line="120" w:lineRule="atLeast"/>
      </w:pPr>
      <w:r>
        <w:rPr>
          <w:rStyle w:val="FootnoteReference"/>
        </w:rPr>
        <w:footnoteRef/>
      </w:r>
      <w:r>
        <w:t xml:space="preserve"> </w:t>
      </w:r>
      <w:hyperlink r:id="rId8" w:tooltip="WRF model website" w:history="1">
        <w:r w:rsidRPr="00E66D63">
          <w:rPr>
            <w:rStyle w:val="Hyperlink"/>
          </w:rPr>
          <w:t>http://www.wrf-model.org/index.php</w:t>
        </w:r>
      </w:hyperlink>
      <w:r>
        <w:t xml:space="preserve"> </w:t>
      </w:r>
    </w:p>
  </w:footnote>
  <w:footnote w:id="23">
    <w:p w:rsidR="002666CB" w:rsidRDefault="002666CB" w:rsidP="008237BB">
      <w:pPr>
        <w:pStyle w:val="FootnoteText"/>
      </w:pPr>
      <w:r>
        <w:rPr>
          <w:rStyle w:val="FootnoteReference"/>
        </w:rPr>
        <w:footnoteRef/>
      </w:r>
      <w:r>
        <w:t xml:space="preserve"> Return Period (RP) is equivalent to ARI.</w:t>
      </w:r>
    </w:p>
  </w:footnote>
  <w:footnote w:id="24">
    <w:p w:rsidR="002666CB" w:rsidRDefault="002666CB" w:rsidP="008237BB">
      <w:pPr>
        <w:ind w:left="360" w:hanging="360"/>
      </w:pPr>
      <w:r>
        <w:rPr>
          <w:rStyle w:val="FootnoteReference"/>
        </w:rPr>
        <w:footnoteRef/>
      </w:r>
      <w:r>
        <w:t xml:space="preserve"> </w:t>
      </w:r>
      <w:r w:rsidRPr="00C31B60">
        <w:rPr>
          <w:rFonts w:eastAsia="Times New Roman"/>
        </w:rPr>
        <w:t>The open forest weighting factor of 0.8 was employed as a fire in this mix of vegetation more closely approximates a grass fire than a forest fire.</w:t>
      </w:r>
    </w:p>
  </w:footnote>
  <w:footnote w:id="25">
    <w:p w:rsidR="002666CB" w:rsidRDefault="002666CB" w:rsidP="008237BB">
      <w:pPr>
        <w:ind w:left="360" w:hanging="360"/>
      </w:pPr>
      <w:r>
        <w:rPr>
          <w:rStyle w:val="FootnoteReference"/>
        </w:rPr>
        <w:footnoteRef/>
      </w:r>
      <w:r>
        <w:t xml:space="preserve"> </w:t>
      </w:r>
      <w:r w:rsidRPr="00C31B60">
        <w:rPr>
          <w:rFonts w:eastAsia="Times New Roman"/>
        </w:rPr>
        <w:t>For Grasslands the GFDI was not employed to determine the fire weather hazard for the region. Geoscience Australia used the FFDI for the grassland regions and then scaled these values dependent on the observed ratio (average weighting) of the GFDI to FFDI when observed FFDI was greater than or equal to 50 during the period January 1973 to June 2011 (22 occasions in the record). For FFDI &gt;50 (1973-2011): average weighting = 0.7.</w:t>
      </w:r>
    </w:p>
  </w:footnote>
  <w:footnote w:id="26">
    <w:p w:rsidR="002666CB" w:rsidRDefault="002666CB" w:rsidP="009E1AAE">
      <w:pPr>
        <w:ind w:left="360" w:hanging="360"/>
      </w:pPr>
      <w:r>
        <w:rPr>
          <w:rStyle w:val="FootnoteReference"/>
        </w:rPr>
        <w:footnoteRef/>
      </w:r>
      <w:r>
        <w:t xml:space="preserve"> </w:t>
      </w:r>
      <w:r w:rsidRPr="00C31B60">
        <w:rPr>
          <w:rFonts w:eastAsia="Times New Roman"/>
        </w:rPr>
        <w:t>“None” consists of regions where the vegetation was classified as urban, unclassified, mudflat or water.</w:t>
      </w:r>
    </w:p>
  </w:footnote>
  <w:footnote w:id="27">
    <w:p w:rsidR="002666CB" w:rsidRPr="00C53D6B" w:rsidRDefault="002666CB" w:rsidP="008237BB">
      <w:pPr>
        <w:pStyle w:val="FootnoteText"/>
      </w:pPr>
      <w:r>
        <w:rPr>
          <w:rStyle w:val="FootnoteReference"/>
        </w:rPr>
        <w:footnoteRef/>
      </w:r>
      <w:r>
        <w:t xml:space="preserve"> </w:t>
      </w:r>
      <w:hyperlink r:id="rId9" w:tooltip="QLD RFS website" w:history="1">
        <w:r w:rsidRPr="00762221">
          <w:rPr>
            <w:rStyle w:val="Hyperlink"/>
          </w:rPr>
          <w:t>http://www.ruralfire.qld.gov.au/national_warning_system.asp</w:t>
        </w:r>
      </w:hyperlink>
      <w:r>
        <w:t xml:space="preserve"> </w:t>
      </w:r>
    </w:p>
  </w:footnote>
  <w:footnote w:id="28">
    <w:p w:rsidR="002666CB" w:rsidRDefault="002666CB">
      <w:pPr>
        <w:pStyle w:val="FootnoteText"/>
      </w:pPr>
      <w:r>
        <w:rPr>
          <w:rStyle w:val="FootnoteReference"/>
        </w:rPr>
        <w:footnoteRef/>
      </w:r>
      <w:r>
        <w:t xml:space="preserve"> Light Detection and Ranging</w:t>
      </w:r>
    </w:p>
  </w:footnote>
  <w:footnote w:id="29">
    <w:p w:rsidR="002666CB" w:rsidRPr="00DA13BE" w:rsidRDefault="002666CB" w:rsidP="008237BB">
      <w:pPr>
        <w:pStyle w:val="FootnoteText"/>
      </w:pPr>
      <w:r>
        <w:rPr>
          <w:rStyle w:val="FootnoteReference"/>
        </w:rPr>
        <w:footnoteRef/>
      </w:r>
      <w:r>
        <w:t xml:space="preserve"> </w:t>
      </w:r>
      <w:hyperlink r:id="rId10" w:tooltip="ACE CRC website" w:history="1">
        <w:r w:rsidRPr="00E06A53">
          <w:rPr>
            <w:rStyle w:val="Hyperlink"/>
          </w:rPr>
          <w:t>http://canute2.sealevelrise.info/slr/Important%20Information</w:t>
        </w:r>
      </w:hyperlink>
      <w:r>
        <w:t xml:space="preserve"> </w:t>
      </w:r>
    </w:p>
  </w:footnote>
  <w:footnote w:id="30">
    <w:p w:rsidR="002666CB" w:rsidRDefault="002666CB" w:rsidP="00A15A5E">
      <w:pPr>
        <w:pStyle w:val="FootnoteText"/>
      </w:pPr>
      <w:r>
        <w:rPr>
          <w:rStyle w:val="FootnoteReference"/>
        </w:rPr>
        <w:footnoteRef/>
      </w:r>
      <w:r>
        <w:t xml:space="preserve"> </w:t>
      </w:r>
      <w:hyperlink r:id="rId11" w:tooltip="QLD MSQ website" w:history="1">
        <w:r w:rsidRPr="00A15A5E">
          <w:rPr>
            <w:rStyle w:val="Hyperlink"/>
            <w:sz w:val="17"/>
          </w:rPr>
          <w:t>http://www.msq.qld.gov.au/~/media/msqinternet/msqfiles/home/tides/tidal%20planes/semidiurnal_planes_2012.pdf</w:t>
        </w:r>
      </w:hyperlink>
    </w:p>
  </w:footnote>
  <w:footnote w:id="31">
    <w:p w:rsidR="002666CB" w:rsidRPr="003A57B3" w:rsidRDefault="002666CB" w:rsidP="008237BB">
      <w:pPr>
        <w:pStyle w:val="FootnoteText"/>
      </w:pPr>
      <w:r>
        <w:rPr>
          <w:rStyle w:val="FootnoteReference"/>
        </w:rPr>
        <w:footnoteRef/>
      </w:r>
      <w:r>
        <w:t xml:space="preserve"> </w:t>
      </w:r>
      <w:hyperlink r:id="rId12" w:tooltip="QLD MSQ website" w:history="1">
        <w:r w:rsidRPr="00A15A5E">
          <w:rPr>
            <w:rStyle w:val="Hyperlink"/>
            <w:sz w:val="17"/>
          </w:rPr>
          <w:t>http://www.msq.qld.gov.au/~/media/msqinternet/msqfiles/home/tides/tidal%20planes/semidiurnal_planes_2012.pdf</w:t>
        </w:r>
      </w:hyperlink>
      <w:r>
        <w:t xml:space="preserve"> </w:t>
      </w:r>
    </w:p>
  </w:footnote>
  <w:footnote w:id="32">
    <w:p w:rsidR="002666CB" w:rsidRDefault="002666CB" w:rsidP="008237BB">
      <w:pPr>
        <w:pStyle w:val="FootnoteText"/>
      </w:pPr>
      <w:r>
        <w:rPr>
          <w:rStyle w:val="FootnoteReference"/>
        </w:rPr>
        <w:footnoteRef/>
      </w:r>
      <w:r>
        <w:t xml:space="preserve"> A storm whose and probability of occurrence and magnitude, in this case storm tide water height and duration, does not exceed the parameters established by the Queensland Coastal Hazard Guidelines. In this case, a storm event of a severity that only occurs on average once in 100 years.</w:t>
      </w:r>
    </w:p>
  </w:footnote>
  <w:footnote w:id="33">
    <w:p w:rsidR="002666CB" w:rsidRDefault="002666CB">
      <w:pPr>
        <w:pStyle w:val="FootnoteText"/>
      </w:pPr>
      <w:r>
        <w:rPr>
          <w:rStyle w:val="FootnoteReference"/>
        </w:rPr>
        <w:footnoteRef/>
      </w:r>
      <w:r>
        <w:t xml:space="preserve"> Source: </w:t>
      </w:r>
      <w:hyperlink r:id="rId13" w:tooltip="QLD EHP website" w:history="1">
        <w:r w:rsidRPr="00B50239">
          <w:rPr>
            <w:rStyle w:val="Hyperlink"/>
          </w:rPr>
          <w:t>http://www.ehp.qld.gov.au/coastal/development/assessment/pdf/ror1a.pdf</w:t>
        </w:r>
      </w:hyperlink>
      <w:r>
        <w:t>)</w:t>
      </w:r>
    </w:p>
  </w:footnote>
  <w:footnote w:id="34">
    <w:p w:rsidR="002666CB" w:rsidRPr="00C314B5" w:rsidRDefault="002666CB" w:rsidP="008237BB">
      <w:pPr>
        <w:pStyle w:val="FootnoteText"/>
      </w:pPr>
      <w:r>
        <w:rPr>
          <w:rStyle w:val="FootnoteReference"/>
        </w:rPr>
        <w:footnoteRef/>
      </w:r>
      <w:r>
        <w:t xml:space="preserve"> </w:t>
      </w:r>
      <w:hyperlink r:id="rId14" w:tooltip="QLD MSQ website" w:history="1">
        <w:r w:rsidRPr="00A15A5E">
          <w:rPr>
            <w:rStyle w:val="Hyperlink"/>
            <w:sz w:val="17"/>
          </w:rPr>
          <w:t>http://www.msq.qld.gov.au/~/media/msqinternet/msqfiles/home/tides/tidal%20planes/semidiurnal_planes_2012.pdf</w:t>
        </w:r>
      </w:hyperlink>
      <w:r>
        <w:t xml:space="preserve"> Levels quoted to Lowest Astronomical Tide therefore HAT (6.42 m) minus AHD (2.52 m) is 3.9 m. Source :</w:t>
      </w:r>
      <w:r w:rsidRPr="00FF4A3B">
        <w:t>Semidiurnal Tidal Planes, Queensland Tide Tables 2012, Maritime Safety Queensland, September 2011</w:t>
      </w:r>
      <w:r>
        <w:rPr>
          <w:rFonts w:ascii="Arial Narrow" w:hAnsi="Arial Narrow" w:cs="Arial Narrow"/>
          <w:szCs w:val="18"/>
        </w:rPr>
        <w:t xml:space="preserve"> </w:t>
      </w:r>
    </w:p>
  </w:footnote>
  <w:footnote w:id="35">
    <w:p w:rsidR="002666CB" w:rsidRPr="00D41858" w:rsidRDefault="002666CB" w:rsidP="008237BB">
      <w:pPr>
        <w:pStyle w:val="FootnoteText"/>
      </w:pPr>
      <w:r>
        <w:rPr>
          <w:rStyle w:val="FootnoteReference"/>
        </w:rPr>
        <w:footnoteRef/>
      </w:r>
      <w:r>
        <w:t xml:space="preserve"> </w:t>
      </w:r>
      <w:hyperlink r:id="rId15" w:tooltip="AHS website" w:history="1">
        <w:r w:rsidRPr="00271ADD">
          <w:rPr>
            <w:rStyle w:val="Hyperlink"/>
          </w:rPr>
          <w:t>http://www.hydro.gov.au/aboutus/glossary.htm</w:t>
        </w:r>
      </w:hyperlink>
      <w:r>
        <w:t xml:space="preserve"> </w:t>
      </w:r>
    </w:p>
  </w:footnote>
  <w:footnote w:id="36">
    <w:p w:rsidR="002666CB" w:rsidRPr="00FF4A3B" w:rsidRDefault="002666CB" w:rsidP="008237BB">
      <w:pPr>
        <w:pStyle w:val="FootnoteText"/>
      </w:pPr>
      <w:r>
        <w:rPr>
          <w:rStyle w:val="FootnoteReference"/>
        </w:rPr>
        <w:footnoteRef/>
      </w:r>
      <w:r>
        <w:t xml:space="preserve"> </w:t>
      </w:r>
      <w:hyperlink r:id="rId16" w:tooltip="QLD EHP website" w:history="1">
        <w:r w:rsidRPr="0040507E">
          <w:rPr>
            <w:rStyle w:val="Hyperlink"/>
          </w:rPr>
          <w:t>http://www.ehp.qld.gov.au/coastalplan/pdf/qcp-web.pdf</w:t>
        </w:r>
      </w:hyperlink>
      <w:r>
        <w:t xml:space="preserve"> </w:t>
      </w:r>
    </w:p>
  </w:footnote>
  <w:footnote w:id="37">
    <w:p w:rsidR="002666CB" w:rsidRPr="00972298" w:rsidRDefault="002666CB" w:rsidP="008237BB">
      <w:pPr>
        <w:pStyle w:val="FootnoteText"/>
      </w:pPr>
      <w:r>
        <w:rPr>
          <w:rStyle w:val="FootnoteReference"/>
        </w:rPr>
        <w:footnoteRef/>
      </w:r>
      <w:r>
        <w:t xml:space="preserve"> </w:t>
      </w:r>
      <w:hyperlink r:id="rId17" w:tooltip="OzCoasts website" w:history="1">
        <w:r w:rsidRPr="00271ADD">
          <w:rPr>
            <w:rStyle w:val="Hyperlink"/>
          </w:rPr>
          <w:t>http://www.ozcoasts.gov.au/climate/sd_visual.jsp</w:t>
        </w:r>
      </w:hyperlink>
      <w:r>
        <w:t xml:space="preserve"> </w:t>
      </w:r>
    </w:p>
  </w:footnote>
  <w:footnote w:id="38">
    <w:p w:rsidR="002666CB" w:rsidRDefault="002666CB" w:rsidP="008237BB">
      <w:pPr>
        <w:pStyle w:val="FootnoteText"/>
      </w:pPr>
      <w:r>
        <w:rPr>
          <w:rStyle w:val="FootnoteReference"/>
        </w:rPr>
        <w:footnoteRef/>
      </w:r>
      <w:r>
        <w:t xml:space="preserve"> Area 4 and 5 are referred to as Area A and B respectively in the Storm Tide Summary Section.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66CB" w:rsidRPr="00E34239" w:rsidRDefault="002666CB" w:rsidP="00E3423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66CB" w:rsidRPr="00E34239" w:rsidRDefault="002666CB" w:rsidP="00E3423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3D258D6"/>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EEB0945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7741F58"/>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1F8A7A8"/>
    <w:lvl w:ilvl="0">
      <w:start w:val="1"/>
      <w:numFmt w:val="decimal"/>
      <w:pStyle w:val="ListNumber2"/>
      <w:lvlText w:val="%1."/>
      <w:lvlJc w:val="left"/>
      <w:pPr>
        <w:tabs>
          <w:tab w:val="num" w:pos="720"/>
        </w:tabs>
        <w:ind w:left="720" w:hanging="360"/>
      </w:pPr>
    </w:lvl>
  </w:abstractNum>
  <w:abstractNum w:abstractNumId="4">
    <w:nsid w:val="FFFFFF80"/>
    <w:multiLevelType w:val="singleLevel"/>
    <w:tmpl w:val="C61E1AB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F6DCDFA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421EFB0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D36A2972"/>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71E5A94"/>
    <w:lvl w:ilvl="0">
      <w:start w:val="1"/>
      <w:numFmt w:val="decimal"/>
      <w:pStyle w:val="ListNumber"/>
      <w:lvlText w:val="%1."/>
      <w:lvlJc w:val="left"/>
      <w:pPr>
        <w:tabs>
          <w:tab w:val="num" w:pos="360"/>
        </w:tabs>
        <w:ind w:left="360" w:hanging="360"/>
      </w:pPr>
    </w:lvl>
  </w:abstractNum>
  <w:abstractNum w:abstractNumId="9">
    <w:nsid w:val="FFFFFF89"/>
    <w:multiLevelType w:val="singleLevel"/>
    <w:tmpl w:val="01A090C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00003"/>
    <w:multiLevelType w:val="singleLevel"/>
    <w:tmpl w:val="12767B18"/>
    <w:lvl w:ilvl="0">
      <w:start w:val="1"/>
      <w:numFmt w:val="decimal"/>
      <w:pStyle w:val="Notes"/>
      <w:lvlText w:val="%1."/>
      <w:lvlJc w:val="left"/>
      <w:pPr>
        <w:tabs>
          <w:tab w:val="num" w:pos="360"/>
        </w:tabs>
        <w:ind w:left="360" w:hanging="360"/>
      </w:pPr>
    </w:lvl>
  </w:abstractNum>
  <w:abstractNum w:abstractNumId="11">
    <w:nsid w:val="003B0BD8"/>
    <w:multiLevelType w:val="multilevel"/>
    <w:tmpl w:val="7C369B30"/>
    <w:styleLink w:val="Bulletnew"/>
    <w:lvl w:ilvl="0">
      <w:start w:val="1"/>
      <w:numFmt w:val="upperLetter"/>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2">
    <w:nsid w:val="01C80A0C"/>
    <w:multiLevelType w:val="multilevel"/>
    <w:tmpl w:val="49E65A48"/>
    <w:lvl w:ilvl="0">
      <w:start w:val="1"/>
      <w:numFmt w:val="bullet"/>
      <w:pStyle w:val="Bulletlevel1"/>
      <w:lvlText w:val=""/>
      <w:lvlJc w:val="left"/>
      <w:pPr>
        <w:tabs>
          <w:tab w:val="num" w:pos="567"/>
        </w:tabs>
        <w:ind w:left="567" w:hanging="283"/>
      </w:pPr>
      <w:rPr>
        <w:rFonts w:ascii="Symbol" w:hAnsi="Symbol" w:hint="default"/>
        <w:color w:val="auto"/>
      </w:rPr>
    </w:lvl>
    <w:lvl w:ilvl="1">
      <w:start w:val="1"/>
      <w:numFmt w:val="bullet"/>
      <w:pStyle w:val="Bulletlevel2"/>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3">
    <w:nsid w:val="0207720D"/>
    <w:multiLevelType w:val="multilevel"/>
    <w:tmpl w:val="7C123498"/>
    <w:lvl w:ilvl="0">
      <w:start w:val="1"/>
      <w:numFmt w:val="decimal"/>
      <w:pStyle w:val="Bulletlevel1numbered"/>
      <w:lvlText w:val="%1."/>
      <w:lvlJc w:val="left"/>
      <w:pPr>
        <w:tabs>
          <w:tab w:val="num" w:pos="709"/>
        </w:tabs>
        <w:ind w:left="709" w:hanging="425"/>
      </w:pPr>
      <w:rPr>
        <w:rFonts w:hint="default"/>
      </w:rPr>
    </w:lvl>
    <w:lvl w:ilvl="1">
      <w:start w:val="1"/>
      <w:numFmt w:val="lowerLetter"/>
      <w:pStyle w:val="Bulletlevel2numbered"/>
      <w:lvlText w:val="%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4">
    <w:nsid w:val="06C30F69"/>
    <w:multiLevelType w:val="multilevel"/>
    <w:tmpl w:val="4E30F72C"/>
    <w:styleLink w:val="BulletsNumbered"/>
    <w:lvl w:ilvl="0">
      <w:start w:val="1"/>
      <w:numFmt w:val="decimal"/>
      <w:lvlText w:val="%1."/>
      <w:lvlJc w:val="left"/>
      <w:pPr>
        <w:tabs>
          <w:tab w:val="num" w:pos="709"/>
        </w:tabs>
        <w:ind w:left="709" w:hanging="425"/>
      </w:pPr>
      <w:rPr>
        <w:rFonts w:hint="default"/>
      </w:rPr>
    </w:lvl>
    <w:lvl w:ilvl="1">
      <w:start w:val="1"/>
      <w:numFmt w:val="decimal"/>
      <w:lvlText w:val="%1.%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5">
    <w:nsid w:val="1F262D65"/>
    <w:multiLevelType w:val="multilevel"/>
    <w:tmpl w:val="509ABADE"/>
    <w:styleLink w:val="1ai"/>
    <w:lvl w:ilvl="0">
      <w:start w:val="1"/>
      <w:numFmt w:val="decimal"/>
      <w:pStyle w:val="Heading1"/>
      <w:suff w:val="space"/>
      <w:lvlText w:val="%1"/>
      <w:lvlJc w:val="left"/>
      <w:pPr>
        <w:ind w:left="432" w:hanging="432"/>
      </w:pPr>
      <w:rPr>
        <w:rFonts w:hint="default"/>
      </w:rPr>
    </w:lvl>
    <w:lvl w:ilvl="1">
      <w:start w:val="1"/>
      <w:numFmt w:val="decimal"/>
      <w:pStyle w:val="Heading2"/>
      <w:suff w:val="space"/>
      <w:lvlText w:val="%1.%2"/>
      <w:lvlJc w:val="left"/>
      <w:pPr>
        <w:ind w:left="576" w:hanging="576"/>
      </w:pPr>
      <w:rPr>
        <w:rFonts w:hint="default"/>
      </w:rPr>
    </w:lvl>
    <w:lvl w:ilvl="2">
      <w:start w:val="1"/>
      <w:numFmt w:val="decimal"/>
      <w:pStyle w:val="Heading3"/>
      <w:suff w:val="space"/>
      <w:lvlText w:val="%1.%2.%3"/>
      <w:lvlJc w:val="left"/>
      <w:pPr>
        <w:ind w:left="720" w:hanging="720"/>
      </w:pPr>
      <w:rPr>
        <w:rFonts w:hint="default"/>
      </w:rPr>
    </w:lvl>
    <w:lvl w:ilvl="3">
      <w:start w:val="1"/>
      <w:numFmt w:val="decimal"/>
      <w:pStyle w:val="Heading4"/>
      <w:suff w:val="space"/>
      <w:lvlText w:val="%1.%2.%3.%4"/>
      <w:lvlJc w:val="left"/>
      <w:pPr>
        <w:ind w:left="864" w:hanging="864"/>
      </w:pPr>
      <w:rPr>
        <w:rFonts w:hint="default"/>
      </w:rPr>
    </w:lvl>
    <w:lvl w:ilvl="4">
      <w:start w:val="1"/>
      <w:numFmt w:val="decimal"/>
      <w:pStyle w:val="Heading5"/>
      <w:suff w:val="space"/>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nsid w:val="288A71F2"/>
    <w:multiLevelType w:val="multilevel"/>
    <w:tmpl w:val="57FCD7EE"/>
    <w:styleLink w:val="BulletsG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406A754D"/>
    <w:multiLevelType w:val="multilevel"/>
    <w:tmpl w:val="49E65A48"/>
    <w:styleLink w:val="Bullets"/>
    <w:lvl w:ilvl="0">
      <w:start w:val="1"/>
      <w:numFmt w:val="bullet"/>
      <w:lvlText w:val=""/>
      <w:lvlJc w:val="left"/>
      <w:pPr>
        <w:tabs>
          <w:tab w:val="num" w:pos="567"/>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8">
    <w:nsid w:val="449E3173"/>
    <w:multiLevelType w:val="multilevel"/>
    <w:tmpl w:val="3446CB5C"/>
    <w:styleLink w:val="HeadingsNumbered"/>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9">
    <w:nsid w:val="4CA756E0"/>
    <w:multiLevelType w:val="multilevel"/>
    <w:tmpl w:val="0C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840"/>
        </w:tabs>
        <w:ind w:left="4320" w:hanging="1440"/>
      </w:pPr>
    </w:lvl>
  </w:abstractNum>
  <w:abstractNum w:abstractNumId="20">
    <w:nsid w:val="52B40B6E"/>
    <w:multiLevelType w:val="multilevel"/>
    <w:tmpl w:val="0C090023"/>
    <w:styleLink w:val="ArticleSection"/>
    <w:lvl w:ilvl="0">
      <w:start w:val="1"/>
      <w:numFmt w:val="upperRoman"/>
      <w:lvlText w:val="Article %1."/>
      <w:lvlJc w:val="left"/>
      <w:pPr>
        <w:tabs>
          <w:tab w:val="num" w:pos="2520"/>
        </w:tabs>
        <w:ind w:left="0" w:firstLine="0"/>
      </w:pPr>
    </w:lvl>
    <w:lvl w:ilvl="1">
      <w:start w:val="1"/>
      <w:numFmt w:val="decimalZero"/>
      <w:isLgl/>
      <w:lvlText w:val="Section %1.%2"/>
      <w:lvlJc w:val="left"/>
      <w:pPr>
        <w:tabs>
          <w:tab w:val="num" w:pos="252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1">
    <w:nsid w:val="57063EDE"/>
    <w:multiLevelType w:val="multilevel"/>
    <w:tmpl w:val="7E4EE56C"/>
    <w:lvl w:ilvl="0">
      <w:start w:val="1"/>
      <w:numFmt w:val="upperLetter"/>
      <w:pStyle w:val="Heading9"/>
      <w:suff w:val="space"/>
      <w:lvlText w:val="Appendix %1"/>
      <w:lvlJc w:val="left"/>
      <w:pPr>
        <w:ind w:left="851" w:hanging="851"/>
      </w:pPr>
      <w:rPr>
        <w:rFont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appendix2"/>
      <w:suff w:val="space"/>
      <w:lvlText w:val="%1.%2"/>
      <w:lvlJc w:val="left"/>
      <w:pPr>
        <w:ind w:left="851" w:hanging="851"/>
      </w:pPr>
      <w:rPr>
        <w:rFonts w:hint="default"/>
      </w:rPr>
    </w:lvl>
    <w:lvl w:ilvl="2">
      <w:start w:val="1"/>
      <w:numFmt w:val="decimal"/>
      <w:pStyle w:val="Headingappendix3"/>
      <w:suff w:val="space"/>
      <w:lvlText w:val="%1.%2.%3"/>
      <w:lvlJc w:val="left"/>
      <w:pPr>
        <w:ind w:left="851" w:hanging="851"/>
      </w:pPr>
      <w:rPr>
        <w:rFonts w:hint="default"/>
      </w:rPr>
    </w:lvl>
    <w:lvl w:ilvl="3">
      <w:start w:val="1"/>
      <w:numFmt w:val="decimal"/>
      <w:pStyle w:val="Headingappendix4"/>
      <w:suff w:val="space"/>
      <w:lvlText w:val="%1.%2.%3.%4"/>
      <w:lvlJc w:val="left"/>
      <w:pPr>
        <w:ind w:left="851" w:hanging="851"/>
      </w:pPr>
      <w:rPr>
        <w:rFonts w:hint="default"/>
      </w:rPr>
    </w:lvl>
    <w:lvl w:ilvl="4">
      <w:start w:val="1"/>
      <w:numFmt w:val="decimal"/>
      <w:pStyle w:val="Headingappendix5"/>
      <w:suff w:val="space"/>
      <w:lvlText w:val="%1.%2.%3.%4.%5"/>
      <w:lvlJc w:val="left"/>
      <w:pPr>
        <w:ind w:left="851" w:hanging="851"/>
      </w:pPr>
      <w:rPr>
        <w:rFonts w:hint="default"/>
      </w:rPr>
    </w:lvl>
    <w:lvl w:ilvl="5">
      <w:start w:val="1"/>
      <w:numFmt w:val="decimal"/>
      <w:suff w:val="space"/>
      <w:lvlText w:val="%1.%2.%3.%4.%5.%6"/>
      <w:lvlJc w:val="left"/>
      <w:pPr>
        <w:ind w:left="851" w:hanging="851"/>
      </w:pPr>
      <w:rPr>
        <w:rFonts w:hint="default"/>
      </w:rPr>
    </w:lvl>
    <w:lvl w:ilvl="6">
      <w:start w:val="1"/>
      <w:numFmt w:val="decimal"/>
      <w:suff w:val="space"/>
      <w:lvlText w:val="%1.%2.%3.%4.%5.%6.%7"/>
      <w:lvlJc w:val="left"/>
      <w:pPr>
        <w:ind w:left="851" w:hanging="851"/>
      </w:pPr>
      <w:rPr>
        <w:rFonts w:hint="default"/>
      </w:rPr>
    </w:lvl>
    <w:lvl w:ilvl="7">
      <w:start w:val="1"/>
      <w:numFmt w:val="decimal"/>
      <w:suff w:val="space"/>
      <w:lvlText w:val="%1.%2.%3.%4.%5.%6.%7.%8"/>
      <w:lvlJc w:val="left"/>
      <w:pPr>
        <w:ind w:left="851" w:hanging="851"/>
      </w:pPr>
      <w:rPr>
        <w:rFonts w:hint="default"/>
      </w:rPr>
    </w:lvl>
    <w:lvl w:ilvl="8">
      <w:start w:val="1"/>
      <w:numFmt w:val="decimal"/>
      <w:suff w:val="space"/>
      <w:lvlText w:val="%1.%2.%3.%4.%5.%6.%7.%8.%9"/>
      <w:lvlJc w:val="left"/>
      <w:pPr>
        <w:ind w:left="851" w:hanging="851"/>
      </w:pPr>
      <w:rPr>
        <w:rFonts w:hint="default"/>
      </w:rPr>
    </w:lvl>
  </w:abstractNum>
  <w:abstractNum w:abstractNumId="22">
    <w:nsid w:val="5AD60835"/>
    <w:multiLevelType w:val="hybridMultilevel"/>
    <w:tmpl w:val="FB186CFC"/>
    <w:lvl w:ilvl="0" w:tplc="0C09000F">
      <w:start w:val="1"/>
      <w:numFmt w:val="decimal"/>
      <w:lvlText w:val="%1."/>
      <w:lvlJc w:val="left"/>
      <w:pPr>
        <w:tabs>
          <w:tab w:val="num" w:pos="360"/>
        </w:tabs>
        <w:ind w:left="360" w:hanging="360"/>
      </w:pPr>
    </w:lvl>
    <w:lvl w:ilvl="1" w:tplc="0C090019">
      <w:start w:val="1"/>
      <w:numFmt w:val="lowerLetter"/>
      <w:lvlText w:val="%2."/>
      <w:lvlJc w:val="left"/>
      <w:pPr>
        <w:tabs>
          <w:tab w:val="num" w:pos="1080"/>
        </w:tabs>
        <w:ind w:left="1080" w:hanging="360"/>
      </w:pPr>
    </w:lvl>
    <w:lvl w:ilvl="2" w:tplc="72324982">
      <w:start w:val="1"/>
      <w:numFmt w:val="lowerRoman"/>
      <w:pStyle w:val="BulletLevel3numbered"/>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num w:numId="1">
    <w:abstractNumId w:val="22"/>
  </w:num>
  <w:num w:numId="2">
    <w:abstractNumId w:val="19"/>
  </w:num>
  <w:num w:numId="3">
    <w:abstractNumId w:val="15"/>
  </w:num>
  <w:num w:numId="4">
    <w:abstractNumId w:val="20"/>
  </w:num>
  <w:num w:numId="5">
    <w:abstractNumId w:val="12"/>
  </w:num>
  <w:num w:numId="6">
    <w:abstractNumId w:val="13"/>
  </w:num>
  <w:num w:numId="7">
    <w:abstractNumId w:val="17"/>
  </w:num>
  <w:num w:numId="8">
    <w:abstractNumId w:val="11"/>
  </w:num>
  <w:num w:numId="9">
    <w:abstractNumId w:val="16"/>
  </w:num>
  <w:num w:numId="10">
    <w:abstractNumId w:val="14"/>
  </w:num>
  <w:num w:numId="11">
    <w:abstractNumId w:val="21"/>
  </w:num>
  <w:num w:numId="12">
    <w:abstractNumId w:val="18"/>
  </w:num>
  <w:num w:numId="13">
    <w:abstractNumId w:val="9"/>
  </w:num>
  <w:num w:numId="14">
    <w:abstractNumId w:val="7"/>
  </w:num>
  <w:num w:numId="15">
    <w:abstractNumId w:val="6"/>
  </w:num>
  <w:num w:numId="16">
    <w:abstractNumId w:val="5"/>
  </w:num>
  <w:num w:numId="17">
    <w:abstractNumId w:val="4"/>
  </w:num>
  <w:num w:numId="18">
    <w:abstractNumId w:val="8"/>
  </w:num>
  <w:num w:numId="19">
    <w:abstractNumId w:val="3"/>
  </w:num>
  <w:num w:numId="20">
    <w:abstractNumId w:val="2"/>
  </w:num>
  <w:num w:numId="21">
    <w:abstractNumId w:val="1"/>
  </w:num>
  <w:num w:numId="22">
    <w:abstractNumId w:val="0"/>
  </w:num>
  <w:num w:numId="23">
    <w:abstractNumId w:val="1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20"/>
  <w:displayBackgroundShape/>
  <w:embedSystemFonts/>
  <w:mirrorMargins/>
  <w:attachedTemplate r:id="rId1"/>
  <w:stylePaneFormatFilter w:val="1708" w:allStyles="0" w:customStyles="0" w:latentStyles="0" w:stylesInUse="1" w:headingStyles="0" w:numberingStyles="0" w:tableStyles="0" w:directFormattingOnRuns="1" w:directFormattingOnParagraphs="1" w:directFormattingOnNumbering="1" w:directFormattingOnTables="0" w:clearFormatting="1" w:top3HeadingStyles="0" w:visibleStyles="0" w:alternateStyleNames="0"/>
  <w:stylePaneSortMethod w:val="0000"/>
  <w:revisionView w:inkAnnotations="0"/>
  <w:doNotTrackFormatting/>
  <w:defaultTabStop w:val="567"/>
  <w:clickAndTypeStyle w:val="BodyText"/>
  <w:evenAndOddHeaders/>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28673"/>
  </w:hdrShapeDefaults>
  <w:footnotePr>
    <w:footnote w:id="-1"/>
    <w:footnote w:id="0"/>
    <w:footnote w:id="1"/>
  </w:footnotePr>
  <w:endnotePr>
    <w:endnote w:id="-1"/>
    <w:endnote w:id="0"/>
    <w:endnote w:id="1"/>
  </w:endnotePr>
  <w:compat>
    <w:suppressBottomSpacing/>
    <w:suppressTopSpacing/>
    <w:suppressSpBfAfterPgB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6734"/>
    <w:rsid w:val="00000DA7"/>
    <w:rsid w:val="0000139E"/>
    <w:rsid w:val="000065C4"/>
    <w:rsid w:val="000067F7"/>
    <w:rsid w:val="00011E6E"/>
    <w:rsid w:val="00017FB4"/>
    <w:rsid w:val="00024F53"/>
    <w:rsid w:val="00025273"/>
    <w:rsid w:val="00031F5D"/>
    <w:rsid w:val="00032BC0"/>
    <w:rsid w:val="000369DE"/>
    <w:rsid w:val="0003728F"/>
    <w:rsid w:val="000467F3"/>
    <w:rsid w:val="0004694B"/>
    <w:rsid w:val="000538C6"/>
    <w:rsid w:val="00055CA8"/>
    <w:rsid w:val="00055DCB"/>
    <w:rsid w:val="00056336"/>
    <w:rsid w:val="00056A83"/>
    <w:rsid w:val="00061E69"/>
    <w:rsid w:val="00064928"/>
    <w:rsid w:val="00064B35"/>
    <w:rsid w:val="00065A46"/>
    <w:rsid w:val="00070295"/>
    <w:rsid w:val="0008638C"/>
    <w:rsid w:val="000871C1"/>
    <w:rsid w:val="000916BA"/>
    <w:rsid w:val="00092833"/>
    <w:rsid w:val="00094076"/>
    <w:rsid w:val="000956A2"/>
    <w:rsid w:val="000B006F"/>
    <w:rsid w:val="000B1669"/>
    <w:rsid w:val="000B1D96"/>
    <w:rsid w:val="000B257C"/>
    <w:rsid w:val="000B419F"/>
    <w:rsid w:val="000C58B3"/>
    <w:rsid w:val="000C7648"/>
    <w:rsid w:val="000D0ECD"/>
    <w:rsid w:val="000D3BBA"/>
    <w:rsid w:val="000E0646"/>
    <w:rsid w:val="000E2860"/>
    <w:rsid w:val="000F68D0"/>
    <w:rsid w:val="00100153"/>
    <w:rsid w:val="00103188"/>
    <w:rsid w:val="001070CF"/>
    <w:rsid w:val="00120843"/>
    <w:rsid w:val="00130009"/>
    <w:rsid w:val="001312FF"/>
    <w:rsid w:val="00131A4D"/>
    <w:rsid w:val="00135632"/>
    <w:rsid w:val="00140E1D"/>
    <w:rsid w:val="001439D6"/>
    <w:rsid w:val="001449F8"/>
    <w:rsid w:val="0014638A"/>
    <w:rsid w:val="00150271"/>
    <w:rsid w:val="00160E7F"/>
    <w:rsid w:val="00162079"/>
    <w:rsid w:val="00163DBF"/>
    <w:rsid w:val="001730F4"/>
    <w:rsid w:val="00173730"/>
    <w:rsid w:val="001779A9"/>
    <w:rsid w:val="00182949"/>
    <w:rsid w:val="001869CD"/>
    <w:rsid w:val="00191C8A"/>
    <w:rsid w:val="0019311E"/>
    <w:rsid w:val="001945B4"/>
    <w:rsid w:val="001A0069"/>
    <w:rsid w:val="001B0696"/>
    <w:rsid w:val="001B2435"/>
    <w:rsid w:val="001B4D1D"/>
    <w:rsid w:val="001B78DC"/>
    <w:rsid w:val="001C1AE7"/>
    <w:rsid w:val="001C5B69"/>
    <w:rsid w:val="001C619B"/>
    <w:rsid w:val="001D1286"/>
    <w:rsid w:val="001D132F"/>
    <w:rsid w:val="001D1D44"/>
    <w:rsid w:val="001D3EFC"/>
    <w:rsid w:val="001E0BEB"/>
    <w:rsid w:val="001E2D14"/>
    <w:rsid w:val="001F0804"/>
    <w:rsid w:val="001F1EFD"/>
    <w:rsid w:val="001F32A3"/>
    <w:rsid w:val="001F763D"/>
    <w:rsid w:val="00202A2E"/>
    <w:rsid w:val="00212255"/>
    <w:rsid w:val="00216096"/>
    <w:rsid w:val="002160FD"/>
    <w:rsid w:val="00220E4F"/>
    <w:rsid w:val="00224B4B"/>
    <w:rsid w:val="002250C3"/>
    <w:rsid w:val="00225397"/>
    <w:rsid w:val="002302CD"/>
    <w:rsid w:val="00230718"/>
    <w:rsid w:val="00236C77"/>
    <w:rsid w:val="00246BA9"/>
    <w:rsid w:val="002504D9"/>
    <w:rsid w:val="002520FF"/>
    <w:rsid w:val="00252F33"/>
    <w:rsid w:val="00253307"/>
    <w:rsid w:val="00254F6A"/>
    <w:rsid w:val="00255300"/>
    <w:rsid w:val="002666CB"/>
    <w:rsid w:val="00267BE3"/>
    <w:rsid w:val="002712FC"/>
    <w:rsid w:val="00273536"/>
    <w:rsid w:val="00277007"/>
    <w:rsid w:val="0028393E"/>
    <w:rsid w:val="00285E4F"/>
    <w:rsid w:val="00293686"/>
    <w:rsid w:val="00294220"/>
    <w:rsid w:val="00295CB9"/>
    <w:rsid w:val="00295EA4"/>
    <w:rsid w:val="00296DBF"/>
    <w:rsid w:val="002A64C3"/>
    <w:rsid w:val="002B0B22"/>
    <w:rsid w:val="002B1F80"/>
    <w:rsid w:val="002B238B"/>
    <w:rsid w:val="002B3E41"/>
    <w:rsid w:val="002B5957"/>
    <w:rsid w:val="002B5FB8"/>
    <w:rsid w:val="002B7B58"/>
    <w:rsid w:val="002C24AE"/>
    <w:rsid w:val="002E0C35"/>
    <w:rsid w:val="002E4BF6"/>
    <w:rsid w:val="002E5354"/>
    <w:rsid w:val="002F1F32"/>
    <w:rsid w:val="002F2508"/>
    <w:rsid w:val="002F5C0B"/>
    <w:rsid w:val="002F691C"/>
    <w:rsid w:val="002F79D6"/>
    <w:rsid w:val="003022AD"/>
    <w:rsid w:val="00305413"/>
    <w:rsid w:val="003056BE"/>
    <w:rsid w:val="00310E9D"/>
    <w:rsid w:val="003113AA"/>
    <w:rsid w:val="00314463"/>
    <w:rsid w:val="003164FF"/>
    <w:rsid w:val="00317526"/>
    <w:rsid w:val="00323913"/>
    <w:rsid w:val="003268E4"/>
    <w:rsid w:val="0033245F"/>
    <w:rsid w:val="0033294A"/>
    <w:rsid w:val="00332996"/>
    <w:rsid w:val="00335826"/>
    <w:rsid w:val="0033694A"/>
    <w:rsid w:val="003375DF"/>
    <w:rsid w:val="00341462"/>
    <w:rsid w:val="0034272B"/>
    <w:rsid w:val="00343CCE"/>
    <w:rsid w:val="00344EA3"/>
    <w:rsid w:val="00345A80"/>
    <w:rsid w:val="00347C4D"/>
    <w:rsid w:val="00350C1E"/>
    <w:rsid w:val="00353C64"/>
    <w:rsid w:val="00356FFD"/>
    <w:rsid w:val="003579CB"/>
    <w:rsid w:val="00361CF5"/>
    <w:rsid w:val="00365346"/>
    <w:rsid w:val="00370E9B"/>
    <w:rsid w:val="003734B9"/>
    <w:rsid w:val="00375A79"/>
    <w:rsid w:val="00377142"/>
    <w:rsid w:val="003776CC"/>
    <w:rsid w:val="00381B51"/>
    <w:rsid w:val="00381C2C"/>
    <w:rsid w:val="00382E17"/>
    <w:rsid w:val="00393A8A"/>
    <w:rsid w:val="00395946"/>
    <w:rsid w:val="00396080"/>
    <w:rsid w:val="00396D65"/>
    <w:rsid w:val="003A1CA9"/>
    <w:rsid w:val="003A4105"/>
    <w:rsid w:val="003A66C2"/>
    <w:rsid w:val="003B4864"/>
    <w:rsid w:val="003C066E"/>
    <w:rsid w:val="003C3B2E"/>
    <w:rsid w:val="003C43E0"/>
    <w:rsid w:val="003D140A"/>
    <w:rsid w:val="003E2181"/>
    <w:rsid w:val="003E5D4D"/>
    <w:rsid w:val="003F3766"/>
    <w:rsid w:val="003F5587"/>
    <w:rsid w:val="003F654A"/>
    <w:rsid w:val="0040043B"/>
    <w:rsid w:val="0040094A"/>
    <w:rsid w:val="00401FAD"/>
    <w:rsid w:val="00405432"/>
    <w:rsid w:val="0040750B"/>
    <w:rsid w:val="00413858"/>
    <w:rsid w:val="004144F6"/>
    <w:rsid w:val="00414D8E"/>
    <w:rsid w:val="00417522"/>
    <w:rsid w:val="004205B2"/>
    <w:rsid w:val="00425713"/>
    <w:rsid w:val="0043322D"/>
    <w:rsid w:val="004400B1"/>
    <w:rsid w:val="0044467F"/>
    <w:rsid w:val="004475C8"/>
    <w:rsid w:val="0045431D"/>
    <w:rsid w:val="004573FC"/>
    <w:rsid w:val="00462463"/>
    <w:rsid w:val="0046348E"/>
    <w:rsid w:val="0046448F"/>
    <w:rsid w:val="00475B1F"/>
    <w:rsid w:val="00480723"/>
    <w:rsid w:val="00481556"/>
    <w:rsid w:val="00481A41"/>
    <w:rsid w:val="004831E5"/>
    <w:rsid w:val="004832D8"/>
    <w:rsid w:val="004855D9"/>
    <w:rsid w:val="00485602"/>
    <w:rsid w:val="004911EB"/>
    <w:rsid w:val="004A1105"/>
    <w:rsid w:val="004B379B"/>
    <w:rsid w:val="004B3FC6"/>
    <w:rsid w:val="004B5A8A"/>
    <w:rsid w:val="004C0284"/>
    <w:rsid w:val="004C2C63"/>
    <w:rsid w:val="004D101B"/>
    <w:rsid w:val="004D6358"/>
    <w:rsid w:val="004F0DF1"/>
    <w:rsid w:val="004F26E6"/>
    <w:rsid w:val="004F4E97"/>
    <w:rsid w:val="004F6C1F"/>
    <w:rsid w:val="005167BF"/>
    <w:rsid w:val="0052043D"/>
    <w:rsid w:val="00523156"/>
    <w:rsid w:val="00524A01"/>
    <w:rsid w:val="00530DFD"/>
    <w:rsid w:val="00537260"/>
    <w:rsid w:val="00553B4F"/>
    <w:rsid w:val="00553E3F"/>
    <w:rsid w:val="00554755"/>
    <w:rsid w:val="00557D7D"/>
    <w:rsid w:val="005619C8"/>
    <w:rsid w:val="00572D5D"/>
    <w:rsid w:val="00577405"/>
    <w:rsid w:val="0058027F"/>
    <w:rsid w:val="00580CEB"/>
    <w:rsid w:val="0058784C"/>
    <w:rsid w:val="00590FF0"/>
    <w:rsid w:val="005917D3"/>
    <w:rsid w:val="0059275D"/>
    <w:rsid w:val="005971D9"/>
    <w:rsid w:val="005A0114"/>
    <w:rsid w:val="005A2422"/>
    <w:rsid w:val="005A41E2"/>
    <w:rsid w:val="005A577E"/>
    <w:rsid w:val="005A7843"/>
    <w:rsid w:val="005A78E8"/>
    <w:rsid w:val="005B0C44"/>
    <w:rsid w:val="005B1CC3"/>
    <w:rsid w:val="005B482F"/>
    <w:rsid w:val="005B5107"/>
    <w:rsid w:val="005B572B"/>
    <w:rsid w:val="005C069C"/>
    <w:rsid w:val="005C0DD6"/>
    <w:rsid w:val="005C3E58"/>
    <w:rsid w:val="005D078C"/>
    <w:rsid w:val="005D34BC"/>
    <w:rsid w:val="005D5011"/>
    <w:rsid w:val="005E29BC"/>
    <w:rsid w:val="005E2EE3"/>
    <w:rsid w:val="005E2FBC"/>
    <w:rsid w:val="005E46B7"/>
    <w:rsid w:val="005F3CC4"/>
    <w:rsid w:val="005F3F0F"/>
    <w:rsid w:val="00604F6A"/>
    <w:rsid w:val="00606F01"/>
    <w:rsid w:val="006127D9"/>
    <w:rsid w:val="00615B77"/>
    <w:rsid w:val="00623E3E"/>
    <w:rsid w:val="006318AA"/>
    <w:rsid w:val="00633046"/>
    <w:rsid w:val="00643E88"/>
    <w:rsid w:val="00650639"/>
    <w:rsid w:val="0066054E"/>
    <w:rsid w:val="00661A73"/>
    <w:rsid w:val="00663CFD"/>
    <w:rsid w:val="00667848"/>
    <w:rsid w:val="006773AC"/>
    <w:rsid w:val="0068464F"/>
    <w:rsid w:val="00691AF9"/>
    <w:rsid w:val="00692160"/>
    <w:rsid w:val="0069250C"/>
    <w:rsid w:val="006926D3"/>
    <w:rsid w:val="006A2664"/>
    <w:rsid w:val="006A2893"/>
    <w:rsid w:val="006A4465"/>
    <w:rsid w:val="006B24B4"/>
    <w:rsid w:val="006B35F2"/>
    <w:rsid w:val="006B54B0"/>
    <w:rsid w:val="006B5D94"/>
    <w:rsid w:val="006B5FA0"/>
    <w:rsid w:val="006B6734"/>
    <w:rsid w:val="006B75EC"/>
    <w:rsid w:val="006B7794"/>
    <w:rsid w:val="006C2849"/>
    <w:rsid w:val="006C5639"/>
    <w:rsid w:val="006D1D66"/>
    <w:rsid w:val="006D2A83"/>
    <w:rsid w:val="006D5616"/>
    <w:rsid w:val="006D5639"/>
    <w:rsid w:val="006D65DD"/>
    <w:rsid w:val="006E5225"/>
    <w:rsid w:val="006F6274"/>
    <w:rsid w:val="00700AB5"/>
    <w:rsid w:val="00701F23"/>
    <w:rsid w:val="00703302"/>
    <w:rsid w:val="007057D4"/>
    <w:rsid w:val="00707F1B"/>
    <w:rsid w:val="00710117"/>
    <w:rsid w:val="0071091F"/>
    <w:rsid w:val="00714D0A"/>
    <w:rsid w:val="00716B6D"/>
    <w:rsid w:val="00717265"/>
    <w:rsid w:val="00720833"/>
    <w:rsid w:val="00727D15"/>
    <w:rsid w:val="0073058F"/>
    <w:rsid w:val="007315BB"/>
    <w:rsid w:val="00733F22"/>
    <w:rsid w:val="007349C8"/>
    <w:rsid w:val="0073602D"/>
    <w:rsid w:val="00737B10"/>
    <w:rsid w:val="00740391"/>
    <w:rsid w:val="00745104"/>
    <w:rsid w:val="0076019B"/>
    <w:rsid w:val="007601B5"/>
    <w:rsid w:val="00762332"/>
    <w:rsid w:val="007635BF"/>
    <w:rsid w:val="00770E9E"/>
    <w:rsid w:val="00771FE4"/>
    <w:rsid w:val="00773C9E"/>
    <w:rsid w:val="0078034C"/>
    <w:rsid w:val="0078157E"/>
    <w:rsid w:val="00782927"/>
    <w:rsid w:val="00785A2C"/>
    <w:rsid w:val="0078614C"/>
    <w:rsid w:val="0078624C"/>
    <w:rsid w:val="007879AF"/>
    <w:rsid w:val="00787C33"/>
    <w:rsid w:val="00790C27"/>
    <w:rsid w:val="00791D90"/>
    <w:rsid w:val="00792071"/>
    <w:rsid w:val="00797053"/>
    <w:rsid w:val="00797F73"/>
    <w:rsid w:val="007A0A7A"/>
    <w:rsid w:val="007A1D32"/>
    <w:rsid w:val="007A1DD9"/>
    <w:rsid w:val="007A632D"/>
    <w:rsid w:val="007B0DC1"/>
    <w:rsid w:val="007B2345"/>
    <w:rsid w:val="007B5ADC"/>
    <w:rsid w:val="007B6C0C"/>
    <w:rsid w:val="007C466B"/>
    <w:rsid w:val="007C682E"/>
    <w:rsid w:val="007D5A42"/>
    <w:rsid w:val="007E1905"/>
    <w:rsid w:val="007E1AC4"/>
    <w:rsid w:val="007E5A4B"/>
    <w:rsid w:val="007E5FA5"/>
    <w:rsid w:val="007F11CF"/>
    <w:rsid w:val="007F27B1"/>
    <w:rsid w:val="007F28E2"/>
    <w:rsid w:val="007F4AD9"/>
    <w:rsid w:val="007F4E1A"/>
    <w:rsid w:val="008044DE"/>
    <w:rsid w:val="00806F26"/>
    <w:rsid w:val="00807C7D"/>
    <w:rsid w:val="008168C0"/>
    <w:rsid w:val="00821E11"/>
    <w:rsid w:val="008237BB"/>
    <w:rsid w:val="00826825"/>
    <w:rsid w:val="008305CD"/>
    <w:rsid w:val="0083224C"/>
    <w:rsid w:val="008355B7"/>
    <w:rsid w:val="00836510"/>
    <w:rsid w:val="00837267"/>
    <w:rsid w:val="008414DC"/>
    <w:rsid w:val="00842638"/>
    <w:rsid w:val="0084375F"/>
    <w:rsid w:val="00843C8F"/>
    <w:rsid w:val="00845117"/>
    <w:rsid w:val="00861666"/>
    <w:rsid w:val="0086335B"/>
    <w:rsid w:val="0087306E"/>
    <w:rsid w:val="0087665A"/>
    <w:rsid w:val="00877F77"/>
    <w:rsid w:val="00883A0E"/>
    <w:rsid w:val="0088425D"/>
    <w:rsid w:val="00884478"/>
    <w:rsid w:val="008851C2"/>
    <w:rsid w:val="00887FDE"/>
    <w:rsid w:val="008903F2"/>
    <w:rsid w:val="00892C31"/>
    <w:rsid w:val="00893172"/>
    <w:rsid w:val="00897749"/>
    <w:rsid w:val="008A26AE"/>
    <w:rsid w:val="008A732B"/>
    <w:rsid w:val="008B004C"/>
    <w:rsid w:val="008B157E"/>
    <w:rsid w:val="008B17D1"/>
    <w:rsid w:val="008B1CAB"/>
    <w:rsid w:val="008B3B11"/>
    <w:rsid w:val="008B4710"/>
    <w:rsid w:val="008C0FD3"/>
    <w:rsid w:val="008C6818"/>
    <w:rsid w:val="008C7FAB"/>
    <w:rsid w:val="008D2732"/>
    <w:rsid w:val="008D3BBC"/>
    <w:rsid w:val="008E1762"/>
    <w:rsid w:val="008E4996"/>
    <w:rsid w:val="008E617E"/>
    <w:rsid w:val="008E6EEB"/>
    <w:rsid w:val="008E7CDC"/>
    <w:rsid w:val="008F3E14"/>
    <w:rsid w:val="008F4C52"/>
    <w:rsid w:val="00910FB5"/>
    <w:rsid w:val="009153F9"/>
    <w:rsid w:val="009178A6"/>
    <w:rsid w:val="00921D43"/>
    <w:rsid w:val="009250DE"/>
    <w:rsid w:val="00931278"/>
    <w:rsid w:val="00932561"/>
    <w:rsid w:val="009340CE"/>
    <w:rsid w:val="0093491D"/>
    <w:rsid w:val="00935848"/>
    <w:rsid w:val="00935E59"/>
    <w:rsid w:val="00940791"/>
    <w:rsid w:val="00954985"/>
    <w:rsid w:val="009551D1"/>
    <w:rsid w:val="009574E6"/>
    <w:rsid w:val="00960C6E"/>
    <w:rsid w:val="00964078"/>
    <w:rsid w:val="00965F57"/>
    <w:rsid w:val="009675BB"/>
    <w:rsid w:val="009725D7"/>
    <w:rsid w:val="00981727"/>
    <w:rsid w:val="00983C60"/>
    <w:rsid w:val="00987348"/>
    <w:rsid w:val="00991097"/>
    <w:rsid w:val="009A1DCF"/>
    <w:rsid w:val="009A398A"/>
    <w:rsid w:val="009B59FF"/>
    <w:rsid w:val="009B5AF4"/>
    <w:rsid w:val="009C559C"/>
    <w:rsid w:val="009C76B7"/>
    <w:rsid w:val="009D02B6"/>
    <w:rsid w:val="009D0BC2"/>
    <w:rsid w:val="009D3604"/>
    <w:rsid w:val="009D3E58"/>
    <w:rsid w:val="009D717C"/>
    <w:rsid w:val="009D7E82"/>
    <w:rsid w:val="009E1AAE"/>
    <w:rsid w:val="009E221E"/>
    <w:rsid w:val="009E2696"/>
    <w:rsid w:val="009F6E9C"/>
    <w:rsid w:val="00A0279A"/>
    <w:rsid w:val="00A03075"/>
    <w:rsid w:val="00A03BF1"/>
    <w:rsid w:val="00A0508B"/>
    <w:rsid w:val="00A053BB"/>
    <w:rsid w:val="00A11C89"/>
    <w:rsid w:val="00A131E6"/>
    <w:rsid w:val="00A13810"/>
    <w:rsid w:val="00A14ADE"/>
    <w:rsid w:val="00A15A5E"/>
    <w:rsid w:val="00A22723"/>
    <w:rsid w:val="00A304D2"/>
    <w:rsid w:val="00A32A11"/>
    <w:rsid w:val="00A34D66"/>
    <w:rsid w:val="00A366A3"/>
    <w:rsid w:val="00A37939"/>
    <w:rsid w:val="00A43BA1"/>
    <w:rsid w:val="00A45278"/>
    <w:rsid w:val="00A53B9A"/>
    <w:rsid w:val="00A54C1B"/>
    <w:rsid w:val="00A57B3C"/>
    <w:rsid w:val="00A64014"/>
    <w:rsid w:val="00A669F2"/>
    <w:rsid w:val="00A71EF1"/>
    <w:rsid w:val="00A75F8B"/>
    <w:rsid w:val="00A8172F"/>
    <w:rsid w:val="00A8508A"/>
    <w:rsid w:val="00A862BE"/>
    <w:rsid w:val="00A90974"/>
    <w:rsid w:val="00A91F04"/>
    <w:rsid w:val="00A95B42"/>
    <w:rsid w:val="00AA0039"/>
    <w:rsid w:val="00AB4EBB"/>
    <w:rsid w:val="00AD2347"/>
    <w:rsid w:val="00AD37F4"/>
    <w:rsid w:val="00AD5572"/>
    <w:rsid w:val="00AD6E08"/>
    <w:rsid w:val="00AE01F1"/>
    <w:rsid w:val="00AE2C17"/>
    <w:rsid w:val="00AE4A6A"/>
    <w:rsid w:val="00AE5158"/>
    <w:rsid w:val="00AF3213"/>
    <w:rsid w:val="00AF4991"/>
    <w:rsid w:val="00B02ECE"/>
    <w:rsid w:val="00B039AC"/>
    <w:rsid w:val="00B05C3D"/>
    <w:rsid w:val="00B07F3D"/>
    <w:rsid w:val="00B220F6"/>
    <w:rsid w:val="00B233AA"/>
    <w:rsid w:val="00B35B3A"/>
    <w:rsid w:val="00B412E6"/>
    <w:rsid w:val="00B41676"/>
    <w:rsid w:val="00B636E4"/>
    <w:rsid w:val="00B709AC"/>
    <w:rsid w:val="00B7409B"/>
    <w:rsid w:val="00B80619"/>
    <w:rsid w:val="00B80664"/>
    <w:rsid w:val="00B81C8A"/>
    <w:rsid w:val="00B83539"/>
    <w:rsid w:val="00B9058B"/>
    <w:rsid w:val="00B93BAC"/>
    <w:rsid w:val="00B97AC9"/>
    <w:rsid w:val="00BE4857"/>
    <w:rsid w:val="00BF33B3"/>
    <w:rsid w:val="00BF3BCB"/>
    <w:rsid w:val="00BF4095"/>
    <w:rsid w:val="00BF6275"/>
    <w:rsid w:val="00C07E32"/>
    <w:rsid w:val="00C10900"/>
    <w:rsid w:val="00C1106C"/>
    <w:rsid w:val="00C13020"/>
    <w:rsid w:val="00C153F9"/>
    <w:rsid w:val="00C21490"/>
    <w:rsid w:val="00C23BAA"/>
    <w:rsid w:val="00C3610F"/>
    <w:rsid w:val="00C42336"/>
    <w:rsid w:val="00C4340B"/>
    <w:rsid w:val="00C51536"/>
    <w:rsid w:val="00C546B2"/>
    <w:rsid w:val="00C54BDF"/>
    <w:rsid w:val="00C62CC8"/>
    <w:rsid w:val="00C63012"/>
    <w:rsid w:val="00C64702"/>
    <w:rsid w:val="00C67B2A"/>
    <w:rsid w:val="00C74A21"/>
    <w:rsid w:val="00C76952"/>
    <w:rsid w:val="00C801C8"/>
    <w:rsid w:val="00C82D23"/>
    <w:rsid w:val="00C86D91"/>
    <w:rsid w:val="00C873B0"/>
    <w:rsid w:val="00C925B9"/>
    <w:rsid w:val="00C9465D"/>
    <w:rsid w:val="00C95A1D"/>
    <w:rsid w:val="00CA0454"/>
    <w:rsid w:val="00CA15AE"/>
    <w:rsid w:val="00CA1983"/>
    <w:rsid w:val="00CA6FF6"/>
    <w:rsid w:val="00CB15F0"/>
    <w:rsid w:val="00CB20A6"/>
    <w:rsid w:val="00CB230E"/>
    <w:rsid w:val="00CB3D23"/>
    <w:rsid w:val="00CB74DF"/>
    <w:rsid w:val="00CD2239"/>
    <w:rsid w:val="00CD34F6"/>
    <w:rsid w:val="00CD3EE2"/>
    <w:rsid w:val="00CD5000"/>
    <w:rsid w:val="00D0344B"/>
    <w:rsid w:val="00D036AC"/>
    <w:rsid w:val="00D132B0"/>
    <w:rsid w:val="00D147C2"/>
    <w:rsid w:val="00D14BEE"/>
    <w:rsid w:val="00D1646B"/>
    <w:rsid w:val="00D16753"/>
    <w:rsid w:val="00D1739C"/>
    <w:rsid w:val="00D200CA"/>
    <w:rsid w:val="00D26085"/>
    <w:rsid w:val="00D3395E"/>
    <w:rsid w:val="00D56C90"/>
    <w:rsid w:val="00D56D54"/>
    <w:rsid w:val="00D717F5"/>
    <w:rsid w:val="00D724A8"/>
    <w:rsid w:val="00D74C7D"/>
    <w:rsid w:val="00D809E4"/>
    <w:rsid w:val="00D80E80"/>
    <w:rsid w:val="00D80E9D"/>
    <w:rsid w:val="00D8201B"/>
    <w:rsid w:val="00D84E12"/>
    <w:rsid w:val="00D8647C"/>
    <w:rsid w:val="00D879F4"/>
    <w:rsid w:val="00DA0D07"/>
    <w:rsid w:val="00DA0FBF"/>
    <w:rsid w:val="00DA13FD"/>
    <w:rsid w:val="00DA3903"/>
    <w:rsid w:val="00DA4843"/>
    <w:rsid w:val="00DA5E69"/>
    <w:rsid w:val="00DA7CEC"/>
    <w:rsid w:val="00DB11D7"/>
    <w:rsid w:val="00DB59B3"/>
    <w:rsid w:val="00DC0DD7"/>
    <w:rsid w:val="00DC26B1"/>
    <w:rsid w:val="00DC282B"/>
    <w:rsid w:val="00DC571D"/>
    <w:rsid w:val="00DC58B1"/>
    <w:rsid w:val="00DD02DF"/>
    <w:rsid w:val="00DD77E1"/>
    <w:rsid w:val="00DD7D9E"/>
    <w:rsid w:val="00DE191C"/>
    <w:rsid w:val="00DE1D52"/>
    <w:rsid w:val="00DE2D3F"/>
    <w:rsid w:val="00DE3FFD"/>
    <w:rsid w:val="00DF0397"/>
    <w:rsid w:val="00DF130B"/>
    <w:rsid w:val="00DF2324"/>
    <w:rsid w:val="00DF688C"/>
    <w:rsid w:val="00DF6AA1"/>
    <w:rsid w:val="00DF77DB"/>
    <w:rsid w:val="00E1079C"/>
    <w:rsid w:val="00E1575C"/>
    <w:rsid w:val="00E176A9"/>
    <w:rsid w:val="00E17B53"/>
    <w:rsid w:val="00E20911"/>
    <w:rsid w:val="00E30618"/>
    <w:rsid w:val="00E31459"/>
    <w:rsid w:val="00E34239"/>
    <w:rsid w:val="00E36509"/>
    <w:rsid w:val="00E3780C"/>
    <w:rsid w:val="00E37C39"/>
    <w:rsid w:val="00E40DF9"/>
    <w:rsid w:val="00E427F7"/>
    <w:rsid w:val="00E42D9B"/>
    <w:rsid w:val="00E50B39"/>
    <w:rsid w:val="00E53EAE"/>
    <w:rsid w:val="00E6349B"/>
    <w:rsid w:val="00E777B8"/>
    <w:rsid w:val="00E77BC4"/>
    <w:rsid w:val="00E8411E"/>
    <w:rsid w:val="00E8598A"/>
    <w:rsid w:val="00E94275"/>
    <w:rsid w:val="00E949CC"/>
    <w:rsid w:val="00E95149"/>
    <w:rsid w:val="00E972B4"/>
    <w:rsid w:val="00EA1244"/>
    <w:rsid w:val="00EA5AEF"/>
    <w:rsid w:val="00EB1965"/>
    <w:rsid w:val="00EC0E97"/>
    <w:rsid w:val="00EC2CB0"/>
    <w:rsid w:val="00EC495F"/>
    <w:rsid w:val="00ED1590"/>
    <w:rsid w:val="00ED34BD"/>
    <w:rsid w:val="00ED531A"/>
    <w:rsid w:val="00ED7808"/>
    <w:rsid w:val="00EE0E9E"/>
    <w:rsid w:val="00EE2974"/>
    <w:rsid w:val="00EE4A9C"/>
    <w:rsid w:val="00EE5DC5"/>
    <w:rsid w:val="00EE790C"/>
    <w:rsid w:val="00EF2987"/>
    <w:rsid w:val="00EF41CF"/>
    <w:rsid w:val="00F012C2"/>
    <w:rsid w:val="00F03F3F"/>
    <w:rsid w:val="00F06D18"/>
    <w:rsid w:val="00F072D6"/>
    <w:rsid w:val="00F133E8"/>
    <w:rsid w:val="00F15ADB"/>
    <w:rsid w:val="00F30274"/>
    <w:rsid w:val="00F31412"/>
    <w:rsid w:val="00F33F8B"/>
    <w:rsid w:val="00F354E2"/>
    <w:rsid w:val="00F43CEA"/>
    <w:rsid w:val="00F476CA"/>
    <w:rsid w:val="00F51477"/>
    <w:rsid w:val="00F514FD"/>
    <w:rsid w:val="00F5164C"/>
    <w:rsid w:val="00F54EE6"/>
    <w:rsid w:val="00F5577A"/>
    <w:rsid w:val="00F56949"/>
    <w:rsid w:val="00F56952"/>
    <w:rsid w:val="00F576C7"/>
    <w:rsid w:val="00F6638A"/>
    <w:rsid w:val="00F72E6B"/>
    <w:rsid w:val="00F76E61"/>
    <w:rsid w:val="00F77E2B"/>
    <w:rsid w:val="00F805E1"/>
    <w:rsid w:val="00F937F4"/>
    <w:rsid w:val="00FA1BD7"/>
    <w:rsid w:val="00FA5EC5"/>
    <w:rsid w:val="00FA6ED3"/>
    <w:rsid w:val="00FB19C3"/>
    <w:rsid w:val="00FB2291"/>
    <w:rsid w:val="00FC0857"/>
    <w:rsid w:val="00FC1251"/>
    <w:rsid w:val="00FC5193"/>
    <w:rsid w:val="00FC6276"/>
    <w:rsid w:val="00FD4C7A"/>
    <w:rsid w:val="00FE03DD"/>
    <w:rsid w:val="00FE6048"/>
    <w:rsid w:val="00FE7FE0"/>
    <w:rsid w:val="00FF3B10"/>
    <w:rsid w:val="00FF40D0"/>
    <w:rsid w:val="00FF4FAE"/>
    <w:rsid w:val="00FF632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867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6" w:uiPriority="39"/>
    <w:lsdException w:name="toc 7" w:semiHidden="1" w:uiPriority="39"/>
    <w:lsdException w:name="toc 8" w:semiHidden="1" w:uiPriority="39"/>
    <w:lsdException w:name="toc 9" w:semiHidden="1" w:uiPriority="39"/>
    <w:lsdException w:name="footer" w:locked="0" w:qFormat="1"/>
    <w:lsdException w:name="index heading" w:semiHidden="1"/>
    <w:lsdException w:name="caption" w:locked="0" w:semiHidden="1" w:unhideWhenUsed="1" w:qFormat="1"/>
    <w:lsdException w:name="table of figures" w:locked="0" w:uiPriority="99"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uiPriority="1"/>
    <w:lsdException w:name="Body Text" w:locked="0"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lsdException w:name="Strong" w:semiHidden="1" w:qFormat="1"/>
    <w:lsdException w:name="Emphasis" w:semiHidden="1" w:qFormat="1"/>
    <w:lsdException w:name="Document Map" w:semiHidden="1"/>
    <w:lsdException w:name="HTML Top of Form" w:locked="0"/>
    <w:lsdException w:name="HTML Bottom of Form" w:locked="0"/>
    <w:lsdException w:name="Normal (Web)" w:semiHidden="1"/>
    <w:lsdException w:name="Normal Table" w:locked="0"/>
    <w:lsdException w:name="annotation subject" w:semiHidden="1"/>
    <w:lsdException w:name="No List" w:locked="0" w:uiPriority="99"/>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qFormat="1"/>
  </w:latentStyles>
  <w:style w:type="paragraph" w:default="1" w:styleId="Normal">
    <w:name w:val="Normal"/>
    <w:next w:val="BodyText"/>
    <w:qFormat/>
    <w:rsid w:val="00AD5572"/>
  </w:style>
  <w:style w:type="paragraph" w:styleId="Heading1">
    <w:name w:val="heading 1"/>
    <w:next w:val="BodyText"/>
    <w:link w:val="Heading1Char"/>
    <w:qFormat/>
    <w:rsid w:val="00FE03DD"/>
    <w:pPr>
      <w:keepNext/>
      <w:keepLines/>
      <w:pageBreakBefore/>
      <w:numPr>
        <w:numId w:val="3"/>
      </w:numPr>
      <w:spacing w:after="1080" w:line="240" w:lineRule="auto"/>
      <w:ind w:left="0" w:firstLine="0"/>
      <w:outlineLvl w:val="0"/>
    </w:pPr>
    <w:rPr>
      <w:rFonts w:cs="Arial"/>
      <w:kern w:val="28"/>
      <w:sz w:val="40"/>
    </w:rPr>
  </w:style>
  <w:style w:type="paragraph" w:styleId="Heading2">
    <w:name w:val="heading 2"/>
    <w:basedOn w:val="Heading1"/>
    <w:next w:val="BodyText"/>
    <w:link w:val="Heading2Char"/>
    <w:qFormat/>
    <w:rsid w:val="00FE03DD"/>
    <w:pPr>
      <w:pageBreakBefore w:val="0"/>
      <w:numPr>
        <w:ilvl w:val="1"/>
      </w:numPr>
      <w:spacing w:before="480" w:after="180"/>
      <w:ind w:left="0" w:firstLine="0"/>
      <w:outlineLvl w:val="1"/>
    </w:pPr>
    <w:rPr>
      <w:sz w:val="30"/>
      <w:szCs w:val="30"/>
    </w:rPr>
  </w:style>
  <w:style w:type="paragraph" w:styleId="Heading3">
    <w:name w:val="heading 3"/>
    <w:basedOn w:val="Heading2"/>
    <w:next w:val="BodyText"/>
    <w:link w:val="Heading3Char"/>
    <w:qFormat/>
    <w:rsid w:val="00FE03DD"/>
    <w:pPr>
      <w:numPr>
        <w:ilvl w:val="2"/>
      </w:numPr>
      <w:ind w:left="0" w:firstLine="0"/>
      <w:outlineLvl w:val="2"/>
    </w:pPr>
    <w:rPr>
      <w:b/>
      <w:sz w:val="24"/>
    </w:rPr>
  </w:style>
  <w:style w:type="paragraph" w:styleId="Heading4">
    <w:name w:val="heading 4"/>
    <w:basedOn w:val="Heading3"/>
    <w:next w:val="BodyText"/>
    <w:link w:val="Heading4Char"/>
    <w:qFormat/>
    <w:rsid w:val="000067F7"/>
    <w:pPr>
      <w:numPr>
        <w:ilvl w:val="3"/>
      </w:numPr>
      <w:spacing w:before="180"/>
      <w:outlineLvl w:val="3"/>
    </w:pPr>
    <w:rPr>
      <w:i/>
      <w:sz w:val="22"/>
    </w:rPr>
  </w:style>
  <w:style w:type="paragraph" w:styleId="Heading5">
    <w:name w:val="heading 5"/>
    <w:basedOn w:val="Heading4"/>
    <w:next w:val="BodyText"/>
    <w:qFormat/>
    <w:rsid w:val="000067F7"/>
    <w:pPr>
      <w:numPr>
        <w:ilvl w:val="4"/>
      </w:numPr>
      <w:outlineLvl w:val="4"/>
    </w:pPr>
    <w:rPr>
      <w:b w:val="0"/>
    </w:rPr>
  </w:style>
  <w:style w:type="paragraph" w:styleId="Heading6">
    <w:name w:val="heading 6"/>
    <w:basedOn w:val="Heading5"/>
    <w:next w:val="BodyText"/>
    <w:link w:val="Heading6Char"/>
    <w:semiHidden/>
    <w:qFormat/>
    <w:locked/>
    <w:rsid w:val="00BF3BCB"/>
    <w:pPr>
      <w:numPr>
        <w:ilvl w:val="5"/>
      </w:numPr>
      <w:spacing w:before="240"/>
      <w:ind w:left="680" w:hanging="680"/>
      <w:outlineLvl w:val="5"/>
    </w:pPr>
    <w:rPr>
      <w:b/>
      <w:i w:val="0"/>
      <w:sz w:val="20"/>
    </w:rPr>
  </w:style>
  <w:style w:type="paragraph" w:styleId="Heading7">
    <w:name w:val="heading 7"/>
    <w:basedOn w:val="Heading6"/>
    <w:next w:val="BodyText"/>
    <w:semiHidden/>
    <w:qFormat/>
    <w:locked/>
    <w:rsid w:val="00BF3BCB"/>
    <w:pPr>
      <w:numPr>
        <w:ilvl w:val="6"/>
      </w:numPr>
      <w:spacing w:line="220" w:lineRule="exact"/>
      <w:ind w:left="680" w:hanging="680"/>
      <w:outlineLvl w:val="6"/>
    </w:pPr>
    <w:rPr>
      <w:rFonts w:ascii="Arial Bold" w:hAnsi="Arial Bold"/>
      <w:i/>
      <w:spacing w:val="10"/>
      <w:sz w:val="16"/>
    </w:rPr>
  </w:style>
  <w:style w:type="paragraph" w:styleId="Heading8">
    <w:name w:val="heading 8"/>
    <w:basedOn w:val="Heading7"/>
    <w:next w:val="BodyText"/>
    <w:semiHidden/>
    <w:qFormat/>
    <w:locked/>
    <w:rsid w:val="00BF3BCB"/>
    <w:pPr>
      <w:numPr>
        <w:ilvl w:val="7"/>
      </w:numPr>
      <w:ind w:left="680" w:hanging="680"/>
      <w:outlineLvl w:val="7"/>
    </w:pPr>
    <w:rPr>
      <w:i w:val="0"/>
    </w:rPr>
  </w:style>
  <w:style w:type="paragraph" w:styleId="Heading9">
    <w:name w:val="heading 9"/>
    <w:aliases w:val="Heading appendix 1"/>
    <w:basedOn w:val="Headingappendix1base"/>
    <w:next w:val="BodyText"/>
    <w:qFormat/>
    <w:rsid w:val="00FE03DD"/>
    <w:pPr>
      <w:numPr>
        <w:numId w:val="11"/>
      </w:numPr>
      <w:spacing w:line="240" w:lineRule="auto"/>
      <w:ind w:left="0" w:firstLine="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BF3BCB"/>
    <w:rPr>
      <w:rFonts w:cs="Arial"/>
    </w:rPr>
  </w:style>
  <w:style w:type="paragraph" w:styleId="Footer">
    <w:name w:val="footer"/>
    <w:next w:val="BodyText"/>
    <w:link w:val="FooterChar"/>
    <w:qFormat/>
    <w:rsid w:val="00BF3BCB"/>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ocked/>
    <w:rsid w:val="00BF3BCB"/>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BF3BCB"/>
    <w:pPr>
      <w:keepNext/>
      <w:spacing w:after="1440"/>
    </w:pPr>
    <w:rPr>
      <w:rFonts w:eastAsia="Times New Roman"/>
      <w:caps/>
      <w:spacing w:val="10"/>
      <w:sz w:val="19"/>
    </w:rPr>
  </w:style>
  <w:style w:type="paragraph" w:styleId="BlockText">
    <w:name w:val="Block Text"/>
    <w:basedOn w:val="BodyText"/>
    <w:semiHidden/>
    <w:locked/>
    <w:rsid w:val="00BF3BCB"/>
  </w:style>
  <w:style w:type="character" w:customStyle="1" w:styleId="Captionbold">
    <w:name w:val="Caption bold"/>
    <w:qFormat/>
    <w:rsid w:val="00BF3BCB"/>
    <w:rPr>
      <w:b/>
    </w:rPr>
  </w:style>
  <w:style w:type="paragraph" w:customStyle="1" w:styleId="Contentsheading">
    <w:name w:val="Contents heading"/>
    <w:next w:val="BodyText"/>
    <w:locked/>
    <w:rsid w:val="00BF3BCB"/>
    <w:pPr>
      <w:spacing w:after="960" w:line="240" w:lineRule="auto"/>
      <w:outlineLvl w:val="0"/>
    </w:pPr>
    <w:rPr>
      <w:rFonts w:eastAsia="Times New Roman"/>
      <w:sz w:val="40"/>
    </w:rPr>
  </w:style>
  <w:style w:type="paragraph" w:customStyle="1" w:styleId="Documenttitle">
    <w:name w:val="Document title"/>
    <w:next w:val="BodyText"/>
    <w:qFormat/>
    <w:rsid w:val="00BF3BCB"/>
    <w:pPr>
      <w:keepNext/>
      <w:spacing w:before="1680" w:after="360" w:line="240" w:lineRule="auto"/>
      <w:outlineLvl w:val="0"/>
    </w:pPr>
    <w:rPr>
      <w:rFonts w:eastAsia="Times New Roman"/>
      <w:sz w:val="48"/>
    </w:rPr>
  </w:style>
  <w:style w:type="paragraph" w:customStyle="1" w:styleId="Notes">
    <w:name w:val="Notes"/>
    <w:basedOn w:val="BodyText"/>
    <w:qFormat/>
    <w:rsid w:val="00BF3BCB"/>
    <w:pPr>
      <w:numPr>
        <w:numId w:val="23"/>
      </w:numPr>
      <w:pBdr>
        <w:top w:val="single" w:sz="4" w:space="1" w:color="808080"/>
      </w:pBdr>
      <w:spacing w:before="0" w:after="0" w:line="160" w:lineRule="atLeast"/>
    </w:pPr>
    <w:rPr>
      <w:rFonts w:eastAsia="Times New Roman"/>
      <w:sz w:val="16"/>
    </w:rPr>
  </w:style>
  <w:style w:type="paragraph" w:customStyle="1" w:styleId="Bodyblankpage">
    <w:name w:val="Body blank page"/>
    <w:basedOn w:val="BodyText"/>
    <w:rsid w:val="00716B6D"/>
    <w:pPr>
      <w:pageBreakBefore/>
      <w:spacing w:before="4000"/>
      <w:jc w:val="center"/>
    </w:pPr>
    <w:rPr>
      <w:rFonts w:eastAsia="Times New Roman" w:cs="Times New Roman"/>
    </w:rPr>
  </w:style>
  <w:style w:type="paragraph" w:customStyle="1" w:styleId="Bulletlevel1">
    <w:name w:val="Bullet level 1"/>
    <w:basedOn w:val="BodyText"/>
    <w:link w:val="Bulletlevel1Char"/>
    <w:qFormat/>
    <w:rsid w:val="00BF3BCB"/>
    <w:pPr>
      <w:numPr>
        <w:numId w:val="5"/>
      </w:numPr>
      <w:spacing w:before="60" w:after="60"/>
    </w:pPr>
    <w:rPr>
      <w:rFonts w:eastAsia="Times New Roman"/>
    </w:rPr>
  </w:style>
  <w:style w:type="paragraph" w:customStyle="1" w:styleId="Bulletlevel2">
    <w:name w:val="Bullet level 2"/>
    <w:basedOn w:val="Bulletlevel1"/>
    <w:qFormat/>
    <w:rsid w:val="00BF3BCB"/>
    <w:pPr>
      <w:numPr>
        <w:ilvl w:val="1"/>
      </w:numPr>
    </w:pPr>
  </w:style>
  <w:style w:type="paragraph" w:customStyle="1" w:styleId="Tabletitle">
    <w:name w:val="Table title"/>
    <w:basedOn w:val="BodyText"/>
    <w:next w:val="BodyText"/>
    <w:qFormat/>
    <w:rsid w:val="00BF3BCB"/>
    <w:pPr>
      <w:keepNext/>
      <w:spacing w:before="480" w:after="120" w:line="240" w:lineRule="atLeast"/>
    </w:pPr>
    <w:rPr>
      <w:rFonts w:eastAsia="Times New Roman"/>
      <w:i/>
      <w:sz w:val="18"/>
      <w:szCs w:val="18"/>
    </w:rPr>
  </w:style>
  <w:style w:type="character" w:customStyle="1" w:styleId="Tabletitlebold">
    <w:name w:val="Table title bold"/>
    <w:qFormat/>
    <w:rsid w:val="00BF3BCB"/>
    <w:rPr>
      <w:b/>
    </w:rPr>
  </w:style>
  <w:style w:type="paragraph" w:customStyle="1" w:styleId="Tabletextleft">
    <w:name w:val="Table text left"/>
    <w:qFormat/>
    <w:rsid w:val="001D132F"/>
    <w:pPr>
      <w:tabs>
        <w:tab w:val="center" w:pos="312"/>
        <w:tab w:val="center" w:pos="964"/>
        <w:tab w:val="center" w:pos="1626"/>
      </w:tabs>
      <w:spacing w:before="20" w:after="20" w:line="200" w:lineRule="atLeast"/>
    </w:pPr>
    <w:rPr>
      <w:rFonts w:eastAsia="Times New Roman" w:cs="Arial"/>
      <w:sz w:val="18"/>
    </w:rPr>
  </w:style>
  <w:style w:type="paragraph" w:customStyle="1" w:styleId="Tableheadingleft">
    <w:name w:val="Table heading left"/>
    <w:rsid w:val="00BF3BCB"/>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qFormat/>
    <w:rsid w:val="00BF3BCB"/>
    <w:pPr>
      <w:spacing w:before="60" w:after="60" w:line="240" w:lineRule="atLeast"/>
      <w:ind w:left="284" w:hanging="284"/>
    </w:pPr>
    <w:rPr>
      <w:rFonts w:eastAsia="Times New Roman"/>
    </w:rPr>
  </w:style>
  <w:style w:type="paragraph" w:styleId="CommentText">
    <w:name w:val="annotation text"/>
    <w:basedOn w:val="BodyText"/>
    <w:link w:val="CommentTextChar"/>
    <w:semiHidden/>
    <w:locked/>
    <w:rsid w:val="00BF3BCB"/>
  </w:style>
  <w:style w:type="paragraph" w:styleId="EndnoteText">
    <w:name w:val="endnote text"/>
    <w:basedOn w:val="BodyText"/>
    <w:semiHidden/>
    <w:locked/>
    <w:rsid w:val="00BF3BCB"/>
  </w:style>
  <w:style w:type="character" w:customStyle="1" w:styleId="Bodytextbold">
    <w:name w:val="Body text bold"/>
    <w:qFormat/>
    <w:rsid w:val="00BF3BCB"/>
    <w:rPr>
      <w:b/>
    </w:rPr>
  </w:style>
  <w:style w:type="character" w:customStyle="1" w:styleId="Bodytextitalic">
    <w:name w:val="Body text italic"/>
    <w:qFormat/>
    <w:rsid w:val="00BF3BCB"/>
    <w:rPr>
      <w:i/>
    </w:rPr>
  </w:style>
  <w:style w:type="character" w:customStyle="1" w:styleId="BodyTextChar">
    <w:name w:val="Body Text Char"/>
    <w:basedOn w:val="DefaultParagraphFont"/>
    <w:link w:val="BodyText"/>
    <w:rsid w:val="00BF3BCB"/>
    <w:rPr>
      <w:rFonts w:cs="Arial"/>
    </w:rPr>
  </w:style>
  <w:style w:type="character" w:customStyle="1" w:styleId="CommentTextChar">
    <w:name w:val="Comment Text Char"/>
    <w:basedOn w:val="BodyTextChar"/>
    <w:link w:val="CommentText"/>
    <w:semiHidden/>
    <w:rsid w:val="00BF3BCB"/>
    <w:rPr>
      <w:rFonts w:cs="Arial"/>
    </w:rPr>
  </w:style>
  <w:style w:type="paragraph" w:styleId="TOC1">
    <w:name w:val="toc 1"/>
    <w:basedOn w:val="BodyText"/>
    <w:next w:val="BodyText"/>
    <w:autoRedefine/>
    <w:uiPriority w:val="39"/>
    <w:qFormat/>
    <w:rsid w:val="00BF3BCB"/>
    <w:pPr>
      <w:tabs>
        <w:tab w:val="right" w:leader="dot" w:pos="9072"/>
      </w:tabs>
      <w:spacing w:before="120" w:after="0" w:line="200" w:lineRule="atLeast"/>
      <w:ind w:right="284"/>
    </w:pPr>
    <w:rPr>
      <w:noProof/>
    </w:rPr>
  </w:style>
  <w:style w:type="paragraph" w:styleId="TOC2">
    <w:name w:val="toc 2"/>
    <w:basedOn w:val="TOC1"/>
    <w:next w:val="BodyText"/>
    <w:autoRedefine/>
    <w:uiPriority w:val="39"/>
    <w:qFormat/>
    <w:rsid w:val="00DE1D52"/>
    <w:pPr>
      <w:spacing w:before="60"/>
      <w:ind w:left="142"/>
    </w:pPr>
  </w:style>
  <w:style w:type="paragraph" w:styleId="TOC3">
    <w:name w:val="toc 3"/>
    <w:basedOn w:val="TOC2"/>
    <w:next w:val="BodyText"/>
    <w:autoRedefine/>
    <w:uiPriority w:val="39"/>
    <w:qFormat/>
    <w:rsid w:val="00BF3BCB"/>
    <w:pPr>
      <w:ind w:left="284"/>
    </w:pPr>
  </w:style>
  <w:style w:type="paragraph" w:styleId="TOC4">
    <w:name w:val="toc 4"/>
    <w:basedOn w:val="TOC3"/>
    <w:next w:val="BodyText"/>
    <w:autoRedefine/>
    <w:uiPriority w:val="39"/>
    <w:qFormat/>
    <w:rsid w:val="00BF3BCB"/>
    <w:pPr>
      <w:ind w:left="425"/>
    </w:pPr>
  </w:style>
  <w:style w:type="paragraph" w:customStyle="1" w:styleId="BodyTextbeforeBullet">
    <w:name w:val="Body Text before Bullet"/>
    <w:basedOn w:val="BodyText"/>
    <w:next w:val="Bulletlevel1"/>
    <w:semiHidden/>
    <w:locked/>
    <w:rsid w:val="00BF3BCB"/>
    <w:pPr>
      <w:spacing w:after="0"/>
    </w:pPr>
  </w:style>
  <w:style w:type="paragraph" w:customStyle="1" w:styleId="Head1nonumbers">
    <w:name w:val="Head 1 no numbers"/>
    <w:next w:val="BodyText"/>
    <w:link w:val="Head1nonumbersChar"/>
    <w:qFormat/>
    <w:rsid w:val="00E94275"/>
    <w:pPr>
      <w:keepNext/>
      <w:keepLines/>
      <w:pageBreakBefore/>
      <w:spacing w:after="1080" w:line="240" w:lineRule="auto"/>
      <w:outlineLvl w:val="0"/>
    </w:pPr>
    <w:rPr>
      <w:rFonts w:cs="Arial"/>
      <w:kern w:val="28"/>
      <w:sz w:val="40"/>
    </w:rPr>
  </w:style>
  <w:style w:type="paragraph" w:customStyle="1" w:styleId="Figuresandimagesleft">
    <w:name w:val="Figures and images left"/>
    <w:basedOn w:val="BodyText"/>
    <w:next w:val="Captions"/>
    <w:link w:val="FiguresandimagesleftChar"/>
    <w:qFormat/>
    <w:rsid w:val="00BF3BCB"/>
    <w:pPr>
      <w:keepNext/>
      <w:spacing w:before="480" w:after="80" w:line="160" w:lineRule="atLeast"/>
    </w:pPr>
  </w:style>
  <w:style w:type="character" w:customStyle="1" w:styleId="FiguresandimagesleftChar">
    <w:name w:val="Figures and images left Char"/>
    <w:basedOn w:val="BodyTextChar"/>
    <w:link w:val="Figuresandimagesleft"/>
    <w:rsid w:val="00BF3BCB"/>
    <w:rPr>
      <w:rFonts w:cs="Arial"/>
    </w:rPr>
  </w:style>
  <w:style w:type="character" w:styleId="Hyperlink">
    <w:name w:val="Hyperlink"/>
    <w:uiPriority w:val="99"/>
    <w:qFormat/>
    <w:rsid w:val="00DA5E69"/>
    <w:rPr>
      <w:color w:val="0000FF"/>
    </w:rPr>
  </w:style>
  <w:style w:type="paragraph" w:styleId="TOC5">
    <w:name w:val="toc 5"/>
    <w:basedOn w:val="TOC4"/>
    <w:next w:val="BodyText"/>
    <w:autoRedefine/>
    <w:uiPriority w:val="39"/>
    <w:qFormat/>
    <w:rsid w:val="00BF3BCB"/>
    <w:pPr>
      <w:ind w:left="567"/>
    </w:pPr>
  </w:style>
  <w:style w:type="paragraph" w:customStyle="1" w:styleId="Versopageinfo">
    <w:name w:val="Verso page info"/>
    <w:basedOn w:val="BodyText"/>
    <w:link w:val="VersopageinfoChar"/>
    <w:qFormat/>
    <w:rsid w:val="00BF3BCB"/>
    <w:pPr>
      <w:spacing w:before="0"/>
    </w:pPr>
  </w:style>
  <w:style w:type="character" w:customStyle="1" w:styleId="Heading6Char">
    <w:name w:val="Heading 6 Char"/>
    <w:basedOn w:val="BodyTextChar"/>
    <w:link w:val="Heading6"/>
    <w:semiHidden/>
    <w:rsid w:val="00BF3BCB"/>
    <w:rPr>
      <w:rFonts w:cs="Arial"/>
      <w:b/>
      <w:kern w:val="28"/>
      <w:szCs w:val="30"/>
    </w:rPr>
  </w:style>
  <w:style w:type="character" w:customStyle="1" w:styleId="VersopageinfoChar">
    <w:name w:val="Verso page info Char"/>
    <w:basedOn w:val="BodyTextChar"/>
    <w:link w:val="Versopageinfo"/>
    <w:rsid w:val="00BF3BCB"/>
    <w:rPr>
      <w:rFonts w:cs="Arial"/>
    </w:rPr>
  </w:style>
  <w:style w:type="character" w:customStyle="1" w:styleId="Bulletlevel1Char">
    <w:name w:val="Bullet level 1 Char"/>
    <w:basedOn w:val="BodyTextChar"/>
    <w:link w:val="Bulletlevel1"/>
    <w:rsid w:val="00BF3BCB"/>
    <w:rPr>
      <w:rFonts w:eastAsia="Times New Roman" w:cs="Arial"/>
    </w:rPr>
  </w:style>
  <w:style w:type="character" w:customStyle="1" w:styleId="Hyperlinkprint">
    <w:name w:val="Hyperlink print"/>
    <w:basedOn w:val="Hyperlink"/>
    <w:qFormat/>
    <w:rsid w:val="00BF3BCB"/>
    <w:rPr>
      <w:color w:val="auto"/>
    </w:rPr>
  </w:style>
  <w:style w:type="paragraph" w:styleId="TOCHeading">
    <w:name w:val="TOC Heading"/>
    <w:next w:val="Normal"/>
    <w:qFormat/>
    <w:rsid w:val="00BF3BCB"/>
    <w:pPr>
      <w:pageBreakBefore/>
      <w:spacing w:after="960" w:line="240" w:lineRule="auto"/>
    </w:pPr>
    <w:rPr>
      <w:rFonts w:eastAsia="Times New Roman"/>
      <w:sz w:val="40"/>
    </w:rPr>
  </w:style>
  <w:style w:type="paragraph" w:styleId="Closing">
    <w:name w:val="Closing"/>
    <w:basedOn w:val="BodyText"/>
    <w:next w:val="BodyText"/>
    <w:semiHidden/>
    <w:locked/>
    <w:rsid w:val="00BF3BCB"/>
    <w:pPr>
      <w:ind w:left="4252"/>
    </w:pPr>
  </w:style>
  <w:style w:type="paragraph" w:styleId="Date">
    <w:name w:val="Date"/>
    <w:basedOn w:val="BodyText"/>
    <w:next w:val="BodyText"/>
    <w:semiHidden/>
    <w:locked/>
    <w:rsid w:val="00BF3BCB"/>
  </w:style>
  <w:style w:type="paragraph" w:styleId="E-mailSignature">
    <w:name w:val="E-mail Signature"/>
    <w:basedOn w:val="BodyText"/>
    <w:next w:val="BodyText"/>
    <w:semiHidden/>
    <w:locked/>
    <w:rsid w:val="00BF3BCB"/>
  </w:style>
  <w:style w:type="paragraph" w:styleId="EnvelopeAddress">
    <w:name w:val="envelope address"/>
    <w:basedOn w:val="BodyText"/>
    <w:next w:val="BodyText"/>
    <w:semiHidden/>
    <w:locked/>
    <w:rsid w:val="00BF3BCB"/>
    <w:pPr>
      <w:framePr w:w="7920" w:h="1980" w:hRule="exact" w:hSpace="180" w:wrap="auto" w:hAnchor="page" w:xAlign="center" w:yAlign="bottom"/>
      <w:ind w:left="2880"/>
    </w:pPr>
    <w:rPr>
      <w:sz w:val="24"/>
      <w:szCs w:val="24"/>
    </w:rPr>
  </w:style>
  <w:style w:type="paragraph" w:styleId="EnvelopeReturn">
    <w:name w:val="envelope return"/>
    <w:basedOn w:val="BodyText"/>
    <w:next w:val="BodyText"/>
    <w:semiHidden/>
    <w:locked/>
    <w:rsid w:val="00BF3BCB"/>
  </w:style>
  <w:style w:type="character" w:styleId="FollowedHyperlink">
    <w:name w:val="FollowedHyperlink"/>
    <w:basedOn w:val="Hyperlink"/>
    <w:rsid w:val="00BF3BCB"/>
    <w:rPr>
      <w:color w:val="0000FF"/>
    </w:rPr>
  </w:style>
  <w:style w:type="paragraph" w:styleId="HTMLAddress">
    <w:name w:val="HTML Address"/>
    <w:basedOn w:val="BodyText"/>
    <w:next w:val="BodyText"/>
    <w:semiHidden/>
    <w:locked/>
    <w:rsid w:val="00BF3BCB"/>
    <w:rPr>
      <w:iCs/>
    </w:rPr>
  </w:style>
  <w:style w:type="paragraph" w:styleId="HTMLPreformatted">
    <w:name w:val="HTML Preformatted"/>
    <w:basedOn w:val="BodyText"/>
    <w:next w:val="BodyText"/>
    <w:semiHidden/>
    <w:locked/>
    <w:rsid w:val="00BF3BCB"/>
    <w:rPr>
      <w:rFonts w:ascii="Courier New" w:hAnsi="Courier New" w:cs="Courier New"/>
    </w:rPr>
  </w:style>
  <w:style w:type="paragraph" w:styleId="List">
    <w:name w:val="List"/>
    <w:basedOn w:val="BodyText"/>
    <w:next w:val="BodyText"/>
    <w:semiHidden/>
    <w:locked/>
    <w:rsid w:val="00BF3BCB"/>
    <w:pPr>
      <w:ind w:left="283" w:hanging="283"/>
    </w:pPr>
  </w:style>
  <w:style w:type="paragraph" w:styleId="List2">
    <w:name w:val="List 2"/>
    <w:basedOn w:val="List"/>
    <w:next w:val="BodyText"/>
    <w:semiHidden/>
    <w:locked/>
    <w:rsid w:val="00BF3BCB"/>
    <w:pPr>
      <w:ind w:left="566"/>
    </w:pPr>
  </w:style>
  <w:style w:type="paragraph" w:styleId="List3">
    <w:name w:val="List 3"/>
    <w:basedOn w:val="List2"/>
    <w:next w:val="BodyText"/>
    <w:semiHidden/>
    <w:locked/>
    <w:rsid w:val="00BF3BCB"/>
    <w:pPr>
      <w:ind w:left="849"/>
    </w:pPr>
  </w:style>
  <w:style w:type="paragraph" w:styleId="List4">
    <w:name w:val="List 4"/>
    <w:basedOn w:val="List3"/>
    <w:next w:val="BodyText"/>
    <w:semiHidden/>
    <w:locked/>
    <w:rsid w:val="00BF3BCB"/>
    <w:pPr>
      <w:ind w:left="1132"/>
    </w:pPr>
  </w:style>
  <w:style w:type="paragraph" w:styleId="List5">
    <w:name w:val="List 5"/>
    <w:basedOn w:val="List4"/>
    <w:next w:val="BodyText"/>
    <w:semiHidden/>
    <w:locked/>
    <w:rsid w:val="00BF3BCB"/>
    <w:pPr>
      <w:ind w:left="1415"/>
    </w:pPr>
  </w:style>
  <w:style w:type="paragraph" w:styleId="ListBullet">
    <w:name w:val="List Bullet"/>
    <w:basedOn w:val="BodyText"/>
    <w:next w:val="BodyText"/>
    <w:semiHidden/>
    <w:locked/>
    <w:rsid w:val="00BF3BCB"/>
    <w:pPr>
      <w:numPr>
        <w:numId w:val="13"/>
      </w:numPr>
    </w:pPr>
  </w:style>
  <w:style w:type="paragraph" w:styleId="ListBullet2">
    <w:name w:val="List Bullet 2"/>
    <w:basedOn w:val="ListBullet"/>
    <w:next w:val="BodyText"/>
    <w:semiHidden/>
    <w:locked/>
    <w:rsid w:val="00BF3BCB"/>
    <w:pPr>
      <w:numPr>
        <w:numId w:val="14"/>
      </w:numPr>
    </w:pPr>
  </w:style>
  <w:style w:type="paragraph" w:styleId="ListBullet3">
    <w:name w:val="List Bullet 3"/>
    <w:basedOn w:val="ListBullet2"/>
    <w:next w:val="BodyText"/>
    <w:semiHidden/>
    <w:locked/>
    <w:rsid w:val="00BF3BCB"/>
    <w:pPr>
      <w:numPr>
        <w:numId w:val="15"/>
      </w:numPr>
    </w:pPr>
  </w:style>
  <w:style w:type="paragraph" w:styleId="ListBullet4">
    <w:name w:val="List Bullet 4"/>
    <w:basedOn w:val="ListBullet3"/>
    <w:next w:val="BodyText"/>
    <w:semiHidden/>
    <w:locked/>
    <w:rsid w:val="00BF3BCB"/>
    <w:pPr>
      <w:numPr>
        <w:numId w:val="16"/>
      </w:numPr>
    </w:pPr>
  </w:style>
  <w:style w:type="paragraph" w:styleId="ListBullet5">
    <w:name w:val="List Bullet 5"/>
    <w:basedOn w:val="ListBullet4"/>
    <w:next w:val="BodyText"/>
    <w:semiHidden/>
    <w:locked/>
    <w:rsid w:val="00BF3BCB"/>
    <w:pPr>
      <w:numPr>
        <w:numId w:val="17"/>
      </w:numPr>
    </w:pPr>
  </w:style>
  <w:style w:type="paragraph" w:styleId="ListContinue">
    <w:name w:val="List Continue"/>
    <w:basedOn w:val="BodyText"/>
    <w:next w:val="BodyText"/>
    <w:semiHidden/>
    <w:locked/>
    <w:rsid w:val="00BF3BCB"/>
    <w:pPr>
      <w:ind w:left="283"/>
    </w:pPr>
  </w:style>
  <w:style w:type="paragraph" w:styleId="ListContinue2">
    <w:name w:val="List Continue 2"/>
    <w:basedOn w:val="ListContinue"/>
    <w:next w:val="BodyText"/>
    <w:semiHidden/>
    <w:locked/>
    <w:rsid w:val="00BF3BCB"/>
    <w:pPr>
      <w:ind w:left="566"/>
    </w:pPr>
  </w:style>
  <w:style w:type="paragraph" w:styleId="ListContinue3">
    <w:name w:val="List Continue 3"/>
    <w:basedOn w:val="ListContinue2"/>
    <w:next w:val="BodyText"/>
    <w:semiHidden/>
    <w:locked/>
    <w:rsid w:val="00BF3BCB"/>
    <w:pPr>
      <w:ind w:left="849"/>
    </w:pPr>
  </w:style>
  <w:style w:type="paragraph" w:styleId="ListContinue4">
    <w:name w:val="List Continue 4"/>
    <w:basedOn w:val="ListContinue3"/>
    <w:next w:val="BodyText"/>
    <w:semiHidden/>
    <w:locked/>
    <w:rsid w:val="00BF3BCB"/>
    <w:pPr>
      <w:ind w:left="1132"/>
    </w:pPr>
  </w:style>
  <w:style w:type="paragraph" w:styleId="ListContinue5">
    <w:name w:val="List Continue 5"/>
    <w:basedOn w:val="ListContinue4"/>
    <w:next w:val="BodyText"/>
    <w:semiHidden/>
    <w:locked/>
    <w:rsid w:val="00BF3BCB"/>
    <w:pPr>
      <w:ind w:left="1415"/>
    </w:pPr>
  </w:style>
  <w:style w:type="paragraph" w:styleId="ListNumber">
    <w:name w:val="List Number"/>
    <w:basedOn w:val="BodyText"/>
    <w:next w:val="BodyText"/>
    <w:semiHidden/>
    <w:locked/>
    <w:rsid w:val="00BF3BCB"/>
    <w:pPr>
      <w:numPr>
        <w:numId w:val="18"/>
      </w:numPr>
    </w:pPr>
  </w:style>
  <w:style w:type="paragraph" w:styleId="ListNumber2">
    <w:name w:val="List Number 2"/>
    <w:basedOn w:val="ListNumber"/>
    <w:next w:val="BodyText"/>
    <w:semiHidden/>
    <w:locked/>
    <w:rsid w:val="00BF3BCB"/>
    <w:pPr>
      <w:numPr>
        <w:numId w:val="19"/>
      </w:numPr>
    </w:pPr>
  </w:style>
  <w:style w:type="paragraph" w:styleId="ListNumber3">
    <w:name w:val="List Number 3"/>
    <w:basedOn w:val="ListNumber2"/>
    <w:next w:val="BodyText"/>
    <w:semiHidden/>
    <w:locked/>
    <w:rsid w:val="00BF3BCB"/>
    <w:pPr>
      <w:numPr>
        <w:numId w:val="20"/>
      </w:numPr>
    </w:pPr>
  </w:style>
  <w:style w:type="paragraph" w:styleId="ListNumber4">
    <w:name w:val="List Number 4"/>
    <w:basedOn w:val="ListNumber3"/>
    <w:next w:val="BodyText"/>
    <w:semiHidden/>
    <w:locked/>
    <w:rsid w:val="00BF3BCB"/>
    <w:pPr>
      <w:numPr>
        <w:numId w:val="21"/>
      </w:numPr>
    </w:pPr>
  </w:style>
  <w:style w:type="paragraph" w:styleId="ListNumber5">
    <w:name w:val="List Number 5"/>
    <w:basedOn w:val="ListNumber4"/>
    <w:next w:val="BodyText"/>
    <w:semiHidden/>
    <w:locked/>
    <w:rsid w:val="00BF3BCB"/>
    <w:pPr>
      <w:numPr>
        <w:numId w:val="22"/>
      </w:numPr>
    </w:pPr>
  </w:style>
  <w:style w:type="paragraph" w:styleId="MessageHeader">
    <w:name w:val="Message Header"/>
    <w:basedOn w:val="BodyText"/>
    <w:semiHidden/>
    <w:locked/>
    <w:rsid w:val="00BF3BCB"/>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rPr>
  </w:style>
  <w:style w:type="paragraph" w:styleId="NormalIndent">
    <w:name w:val="Normal Indent"/>
    <w:basedOn w:val="BodyText"/>
    <w:next w:val="BodyText"/>
    <w:semiHidden/>
    <w:locked/>
    <w:rsid w:val="00BF3BCB"/>
    <w:pPr>
      <w:ind w:left="720"/>
    </w:pPr>
  </w:style>
  <w:style w:type="paragraph" w:styleId="NoteHeading">
    <w:name w:val="Note Heading"/>
    <w:basedOn w:val="BodyText"/>
    <w:next w:val="BodyText"/>
    <w:semiHidden/>
    <w:locked/>
    <w:rsid w:val="00BF3BCB"/>
  </w:style>
  <w:style w:type="character" w:styleId="PageNumber">
    <w:name w:val="page number"/>
    <w:basedOn w:val="DefaultParagraphFont"/>
    <w:semiHidden/>
    <w:locked/>
    <w:rsid w:val="00BF3BCB"/>
    <w:rPr>
      <w:rFonts w:ascii="Arial Bold" w:hAnsi="Arial Bold"/>
      <w:b/>
      <w:i w:val="0"/>
      <w:caps w:val="0"/>
      <w:smallCaps w:val="0"/>
      <w:strike w:val="0"/>
      <w:dstrike w:val="0"/>
      <w:vanish w:val="0"/>
      <w:color w:val="auto"/>
      <w:spacing w:val="0"/>
      <w:w w:val="100"/>
      <w:position w:val="0"/>
      <w:sz w:val="16"/>
      <w:vertAlign w:val="baseline"/>
    </w:rPr>
  </w:style>
  <w:style w:type="paragraph" w:styleId="PlainText">
    <w:name w:val="Plain Text"/>
    <w:basedOn w:val="BodyText"/>
    <w:semiHidden/>
    <w:locked/>
    <w:rsid w:val="00BF3BCB"/>
    <w:rPr>
      <w:rFonts w:ascii="Courier New" w:hAnsi="Courier New" w:cs="Courier New"/>
    </w:rPr>
  </w:style>
  <w:style w:type="paragraph" w:styleId="Salutation">
    <w:name w:val="Salutation"/>
    <w:basedOn w:val="BodyText"/>
    <w:next w:val="BodyText"/>
    <w:semiHidden/>
    <w:locked/>
    <w:rsid w:val="00BF3BCB"/>
  </w:style>
  <w:style w:type="paragraph" w:styleId="Signature">
    <w:name w:val="Signature"/>
    <w:basedOn w:val="BodyText"/>
    <w:next w:val="BodyText"/>
    <w:semiHidden/>
    <w:locked/>
    <w:rsid w:val="00BF3BCB"/>
    <w:pPr>
      <w:ind w:left="4252"/>
    </w:pPr>
  </w:style>
  <w:style w:type="paragraph" w:styleId="Subtitle">
    <w:name w:val="Subtitle"/>
    <w:aliases w:val="S-DO NOT USE"/>
    <w:basedOn w:val="Title"/>
    <w:next w:val="BodyText"/>
    <w:semiHidden/>
    <w:qFormat/>
    <w:locked/>
    <w:rsid w:val="00BF3BCB"/>
  </w:style>
  <w:style w:type="table" w:styleId="Table3Deffects1">
    <w:name w:val="Table 3D effects 1"/>
    <w:basedOn w:val="TableNormal"/>
    <w:semiHidden/>
    <w:locked/>
    <w:rsid w:val="00BF3BCB"/>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basedOn w:val="BodyText"/>
    <w:next w:val="BodyText"/>
    <w:semiHidden/>
    <w:locked/>
    <w:rsid w:val="00BF3BCB"/>
  </w:style>
  <w:style w:type="character" w:customStyle="1" w:styleId="Heading1Char">
    <w:name w:val="Heading 1 Char"/>
    <w:basedOn w:val="DefaultParagraphFont"/>
    <w:link w:val="Heading1"/>
    <w:rsid w:val="00FE03DD"/>
    <w:rPr>
      <w:rFonts w:cs="Arial"/>
      <w:kern w:val="28"/>
      <w:sz w:val="40"/>
    </w:rPr>
  </w:style>
  <w:style w:type="character" w:customStyle="1" w:styleId="Head1nonumbersChar">
    <w:name w:val="Head 1 no numbers Char"/>
    <w:basedOn w:val="Heading1Char"/>
    <w:link w:val="Head1nonumbers"/>
    <w:rsid w:val="00E94275"/>
    <w:rPr>
      <w:rFonts w:cs="Arial"/>
      <w:kern w:val="28"/>
      <w:sz w:val="40"/>
    </w:rPr>
  </w:style>
  <w:style w:type="paragraph" w:customStyle="1" w:styleId="Head2nonumbers">
    <w:name w:val="Head 2 no numbers"/>
    <w:basedOn w:val="Head1nonumbers"/>
    <w:next w:val="BodyText"/>
    <w:link w:val="Head2nonumbersChar"/>
    <w:qFormat/>
    <w:rsid w:val="00E94275"/>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BF3BCB"/>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BF3BCB"/>
    <w:pPr>
      <w:numPr>
        <w:ilvl w:val="3"/>
      </w:numPr>
      <w:spacing w:before="180"/>
      <w:outlineLvl w:val="3"/>
    </w:pPr>
    <w:rPr>
      <w:i/>
      <w:sz w:val="22"/>
      <w:szCs w:val="22"/>
    </w:rPr>
  </w:style>
  <w:style w:type="paragraph" w:customStyle="1" w:styleId="Head5nonumbers">
    <w:name w:val="Head 5 no numbers"/>
    <w:basedOn w:val="Head4nonumbers"/>
    <w:next w:val="BodyText"/>
    <w:qFormat/>
    <w:rsid w:val="00BF3BCB"/>
    <w:pPr>
      <w:numPr>
        <w:ilvl w:val="4"/>
      </w:numPr>
      <w:outlineLvl w:val="4"/>
    </w:pPr>
    <w:rPr>
      <w:b w:val="0"/>
    </w:rPr>
  </w:style>
  <w:style w:type="character" w:customStyle="1" w:styleId="Heading2Char">
    <w:name w:val="Heading 2 Char"/>
    <w:basedOn w:val="Heading1Char"/>
    <w:link w:val="Heading2"/>
    <w:rsid w:val="00FE03DD"/>
    <w:rPr>
      <w:rFonts w:cs="Arial"/>
      <w:kern w:val="28"/>
      <w:sz w:val="30"/>
      <w:szCs w:val="30"/>
    </w:rPr>
  </w:style>
  <w:style w:type="character" w:customStyle="1" w:styleId="Head2nonumbersChar">
    <w:name w:val="Head 2 no numbers Char"/>
    <w:basedOn w:val="Head1nonumbersChar"/>
    <w:link w:val="Head2nonumbers"/>
    <w:rsid w:val="00E94275"/>
    <w:rPr>
      <w:rFonts w:cs="Arial"/>
      <w:kern w:val="28"/>
      <w:sz w:val="30"/>
      <w:szCs w:val="28"/>
    </w:rPr>
  </w:style>
  <w:style w:type="character" w:customStyle="1" w:styleId="Head3nonumbersChar">
    <w:name w:val="Head 3 no numbers Char"/>
    <w:basedOn w:val="Head2nonumbersChar"/>
    <w:link w:val="Head3nonumbers"/>
    <w:rsid w:val="00BF3BCB"/>
    <w:rPr>
      <w:rFonts w:cs="Lucida Sans Unicode"/>
      <w:b/>
      <w:kern w:val="28"/>
      <w:sz w:val="24"/>
      <w:szCs w:val="24"/>
    </w:rPr>
  </w:style>
  <w:style w:type="character" w:customStyle="1" w:styleId="Heading3Char">
    <w:name w:val="Heading 3 Char"/>
    <w:basedOn w:val="Heading2Char"/>
    <w:link w:val="Heading3"/>
    <w:rsid w:val="00FE03DD"/>
    <w:rPr>
      <w:rFonts w:cs="Arial"/>
      <w:b/>
      <w:kern w:val="28"/>
      <w:sz w:val="24"/>
      <w:szCs w:val="30"/>
    </w:rPr>
  </w:style>
  <w:style w:type="character" w:customStyle="1" w:styleId="Heading4Char">
    <w:name w:val="Heading 4 Char"/>
    <w:basedOn w:val="Heading3Char"/>
    <w:link w:val="Heading4"/>
    <w:rsid w:val="000067F7"/>
    <w:rPr>
      <w:rFonts w:cs="Arial"/>
      <w:b/>
      <w:i/>
      <w:kern w:val="28"/>
      <w:sz w:val="22"/>
      <w:szCs w:val="30"/>
    </w:rPr>
  </w:style>
  <w:style w:type="character" w:customStyle="1" w:styleId="Head4nonumbersChar">
    <w:name w:val="Head 4 no numbers Char"/>
    <w:basedOn w:val="Heading4Char"/>
    <w:link w:val="Head4nonumbers"/>
    <w:rsid w:val="00BF3BCB"/>
    <w:rPr>
      <w:rFonts w:cs="Lucida Sans Unicode"/>
      <w:b/>
      <w:i/>
      <w:kern w:val="28"/>
      <w:sz w:val="22"/>
      <w:szCs w:val="22"/>
    </w:rPr>
  </w:style>
  <w:style w:type="paragraph" w:styleId="TOC6">
    <w:name w:val="toc 6"/>
    <w:basedOn w:val="Normal"/>
    <w:next w:val="Normal"/>
    <w:autoRedefine/>
    <w:uiPriority w:val="39"/>
    <w:locked/>
    <w:rsid w:val="00BF3BCB"/>
    <w:pPr>
      <w:ind w:left="1050"/>
    </w:pPr>
  </w:style>
  <w:style w:type="paragraph" w:customStyle="1" w:styleId="Bulletlevel1numbered">
    <w:name w:val="Bullet level 1 numbered"/>
    <w:basedOn w:val="BodyText"/>
    <w:link w:val="Bulletlevel1numberedChar"/>
    <w:qFormat/>
    <w:rsid w:val="00BF3BCB"/>
    <w:pPr>
      <w:numPr>
        <w:numId w:val="6"/>
      </w:numPr>
      <w:spacing w:before="60" w:after="60"/>
    </w:pPr>
    <w:rPr>
      <w:rFonts w:eastAsia="Times New Roman"/>
    </w:rPr>
  </w:style>
  <w:style w:type="character" w:customStyle="1" w:styleId="Bulletlevel1numberedChar">
    <w:name w:val="Bullet level 1 numbered Char"/>
    <w:basedOn w:val="Bulletlevel1Char"/>
    <w:link w:val="Bulletlevel1numbered"/>
    <w:rsid w:val="00BF3BCB"/>
    <w:rPr>
      <w:rFonts w:eastAsia="Times New Roman" w:cs="Arial"/>
    </w:rPr>
  </w:style>
  <w:style w:type="paragraph" w:customStyle="1" w:styleId="Bulletlevel2numbered">
    <w:name w:val="Bullet level 2 numbered"/>
    <w:basedOn w:val="Bulletlevel1numbered"/>
    <w:qFormat/>
    <w:rsid w:val="00BF3BCB"/>
    <w:pPr>
      <w:numPr>
        <w:ilvl w:val="1"/>
      </w:numPr>
    </w:pPr>
    <w:rPr>
      <w:rFonts w:eastAsia="Times"/>
    </w:rPr>
  </w:style>
  <w:style w:type="paragraph" w:styleId="TableofFigures">
    <w:name w:val="table of figures"/>
    <w:basedOn w:val="TOC1"/>
    <w:next w:val="BodyText"/>
    <w:uiPriority w:val="99"/>
    <w:qFormat/>
    <w:rsid w:val="00BF3BCB"/>
  </w:style>
  <w:style w:type="numbering" w:styleId="111111">
    <w:name w:val="Outline List 2"/>
    <w:basedOn w:val="NoList"/>
    <w:semiHidden/>
    <w:locked/>
    <w:rsid w:val="00BF3BCB"/>
    <w:pPr>
      <w:numPr>
        <w:numId w:val="2"/>
      </w:numPr>
    </w:pPr>
  </w:style>
  <w:style w:type="numbering" w:styleId="1ai">
    <w:name w:val="Outline List 1"/>
    <w:basedOn w:val="NoList"/>
    <w:semiHidden/>
    <w:locked/>
    <w:rsid w:val="000067F7"/>
    <w:pPr>
      <w:numPr>
        <w:numId w:val="3"/>
      </w:numPr>
    </w:pPr>
  </w:style>
  <w:style w:type="numbering" w:styleId="ArticleSection">
    <w:name w:val="Outline List 3"/>
    <w:basedOn w:val="NoList"/>
    <w:semiHidden/>
    <w:locked/>
    <w:rsid w:val="00BF3BCB"/>
    <w:pPr>
      <w:numPr>
        <w:numId w:val="4"/>
      </w:numPr>
    </w:pPr>
  </w:style>
  <w:style w:type="character" w:styleId="HTMLAcronym">
    <w:name w:val="HTML Acronym"/>
    <w:basedOn w:val="DefaultParagraphFont"/>
    <w:semiHidden/>
    <w:locked/>
    <w:rsid w:val="00BF3BCB"/>
  </w:style>
  <w:style w:type="character" w:styleId="HTMLCite">
    <w:name w:val="HTML Cite"/>
    <w:basedOn w:val="DefaultParagraphFont"/>
    <w:semiHidden/>
    <w:locked/>
    <w:rsid w:val="00BF3BCB"/>
    <w:rPr>
      <w:i/>
      <w:iCs/>
    </w:rPr>
  </w:style>
  <w:style w:type="character" w:styleId="HTMLCode">
    <w:name w:val="HTML Code"/>
    <w:basedOn w:val="DefaultParagraphFont"/>
    <w:semiHidden/>
    <w:locked/>
    <w:rsid w:val="00BF3BCB"/>
    <w:rPr>
      <w:rFonts w:ascii="Courier New" w:hAnsi="Courier New" w:cs="Courier New"/>
      <w:sz w:val="20"/>
      <w:szCs w:val="20"/>
    </w:rPr>
  </w:style>
  <w:style w:type="character" w:styleId="HTMLDefinition">
    <w:name w:val="HTML Definition"/>
    <w:basedOn w:val="DefaultParagraphFont"/>
    <w:semiHidden/>
    <w:locked/>
    <w:rsid w:val="00BF3BCB"/>
    <w:rPr>
      <w:i/>
      <w:iCs/>
    </w:rPr>
  </w:style>
  <w:style w:type="character" w:styleId="HTMLKeyboard">
    <w:name w:val="HTML Keyboard"/>
    <w:basedOn w:val="DefaultParagraphFont"/>
    <w:semiHidden/>
    <w:locked/>
    <w:rsid w:val="00BF3BCB"/>
    <w:rPr>
      <w:rFonts w:ascii="Courier New" w:hAnsi="Courier New" w:cs="Courier New"/>
      <w:sz w:val="20"/>
      <w:szCs w:val="20"/>
    </w:rPr>
  </w:style>
  <w:style w:type="character" w:styleId="HTMLSample">
    <w:name w:val="HTML Sample"/>
    <w:basedOn w:val="DefaultParagraphFont"/>
    <w:semiHidden/>
    <w:locked/>
    <w:rsid w:val="00BF3BCB"/>
    <w:rPr>
      <w:rFonts w:ascii="Courier New" w:hAnsi="Courier New" w:cs="Courier New"/>
    </w:rPr>
  </w:style>
  <w:style w:type="character" w:styleId="HTMLTypewriter">
    <w:name w:val="HTML Typewriter"/>
    <w:basedOn w:val="DefaultParagraphFont"/>
    <w:semiHidden/>
    <w:locked/>
    <w:rsid w:val="00BF3BCB"/>
    <w:rPr>
      <w:rFonts w:ascii="Courier New" w:hAnsi="Courier New" w:cs="Courier New"/>
      <w:sz w:val="20"/>
      <w:szCs w:val="20"/>
    </w:rPr>
  </w:style>
  <w:style w:type="character" w:styleId="HTMLVariable">
    <w:name w:val="HTML Variable"/>
    <w:basedOn w:val="DefaultParagraphFont"/>
    <w:semiHidden/>
    <w:locked/>
    <w:rsid w:val="00BF3BCB"/>
    <w:rPr>
      <w:i/>
      <w:iCs/>
    </w:rPr>
  </w:style>
  <w:style w:type="character" w:styleId="LineNumber">
    <w:name w:val="line number"/>
    <w:basedOn w:val="DefaultParagraphFont"/>
    <w:semiHidden/>
    <w:locked/>
    <w:rsid w:val="00BF3BCB"/>
  </w:style>
  <w:style w:type="table" w:styleId="Table3Deffects2">
    <w:name w:val="Table 3D effects 2"/>
    <w:basedOn w:val="TableNormal"/>
    <w:semiHidden/>
    <w:locked/>
    <w:rsid w:val="00BF3BCB"/>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BF3BCB"/>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BF3BCB"/>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BF3BCB"/>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BF3BCB"/>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BF3BCB"/>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BF3BCB"/>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BF3BCB"/>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BF3BCB"/>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BF3BCB"/>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BF3BCB"/>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BF3BCB"/>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BF3BCB"/>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BF3BCB"/>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BF3BCB"/>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BF3BCB"/>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BF3BC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BF3BCB"/>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BF3BCB"/>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BF3BCB"/>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BF3BCB"/>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BF3BCB"/>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BF3BCB"/>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BF3BCB"/>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BF3BCB"/>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BF3BCB"/>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BF3BCB"/>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BF3BCB"/>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BF3BCB"/>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BF3BCB"/>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BF3BCB"/>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BF3BCB"/>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BF3BCB"/>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BF3BCB"/>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BF3BCB"/>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BF3BCB"/>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BF3BCB"/>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BF3BCB"/>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BF3BCB"/>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BF3BC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BF3BCB"/>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BF3BC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BF3BCB"/>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BF3BCB"/>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BF3BCB"/>
    <w:rPr>
      <w:position w:val="0"/>
      <w:vertAlign w:val="superscript"/>
    </w:rPr>
  </w:style>
  <w:style w:type="character" w:customStyle="1" w:styleId="Subscript">
    <w:name w:val="Subscript"/>
    <w:basedOn w:val="DefaultParagraphFont"/>
    <w:qFormat/>
    <w:rsid w:val="00BF3BCB"/>
    <w:rPr>
      <w:position w:val="-2"/>
      <w:vertAlign w:val="subscript"/>
    </w:rPr>
  </w:style>
  <w:style w:type="paragraph" w:styleId="BalloonText">
    <w:name w:val="Balloon Text"/>
    <w:basedOn w:val="Normal"/>
    <w:link w:val="BalloonTextChar"/>
    <w:semiHidden/>
    <w:locked/>
    <w:rsid w:val="00BF3BCB"/>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BF3BCB"/>
    <w:rPr>
      <w:rFonts w:ascii="Tahoma" w:hAnsi="Tahoma" w:cs="Tahoma"/>
      <w:sz w:val="16"/>
      <w:szCs w:val="16"/>
    </w:rPr>
  </w:style>
  <w:style w:type="character" w:customStyle="1" w:styleId="FooterChar">
    <w:name w:val="Footer Char"/>
    <w:basedOn w:val="DefaultParagraphFont"/>
    <w:link w:val="Footer"/>
    <w:rsid w:val="00BF3BCB"/>
    <w:rPr>
      <w:rFonts w:ascii="Arial Bold" w:hAnsi="Arial Bold" w:cs="Arial"/>
      <w:b/>
      <w:sz w:val="16"/>
      <w:szCs w:val="16"/>
    </w:rPr>
  </w:style>
  <w:style w:type="table" w:styleId="LightShading-Accent5">
    <w:name w:val="Light Shading Accent 5"/>
    <w:basedOn w:val="TableNormal"/>
    <w:uiPriority w:val="60"/>
    <w:locked/>
    <w:rsid w:val="00BF3BCB"/>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BF3BCB"/>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BF3BCB"/>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BF3BCB"/>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BF3BCB"/>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BF3BCB"/>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BF3BCB"/>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BF3BCB"/>
    <w:pPr>
      <w:spacing w:before="0" w:after="600"/>
      <w:outlineLvl w:val="1"/>
    </w:pPr>
    <w:rPr>
      <w:sz w:val="32"/>
      <w:szCs w:val="36"/>
    </w:rPr>
  </w:style>
  <w:style w:type="character" w:customStyle="1" w:styleId="DocumentsubtitleChar">
    <w:name w:val="Document subtitle Char"/>
    <w:basedOn w:val="DefaultParagraphFont"/>
    <w:link w:val="Documentsubtitle"/>
    <w:rsid w:val="00BF3BCB"/>
    <w:rPr>
      <w:rFonts w:eastAsia="Times New Roman"/>
      <w:sz w:val="32"/>
      <w:szCs w:val="36"/>
    </w:rPr>
  </w:style>
  <w:style w:type="paragraph" w:styleId="Bibliography">
    <w:name w:val="Bibliography"/>
    <w:basedOn w:val="Normal"/>
    <w:next w:val="Normal"/>
    <w:uiPriority w:val="37"/>
    <w:unhideWhenUsed/>
    <w:locked/>
    <w:rsid w:val="00BF3BCB"/>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Normal"/>
    <w:qFormat/>
    <w:rsid w:val="00BF3BCB"/>
    <w:pPr>
      <w:spacing w:before="120" w:after="480" w:line="200" w:lineRule="atLeast"/>
    </w:pPr>
    <w:rPr>
      <w:rFonts w:eastAsia="Times New Roman" w:cs="Arial"/>
      <w:i/>
      <w:sz w:val="18"/>
      <w:szCs w:val="18"/>
    </w:rPr>
  </w:style>
  <w:style w:type="paragraph" w:styleId="CommentSubject">
    <w:name w:val="annotation subject"/>
    <w:basedOn w:val="CommentText"/>
    <w:next w:val="CommentText"/>
    <w:link w:val="CommentSubjectChar"/>
    <w:semiHidden/>
    <w:locked/>
    <w:rsid w:val="00BF3BCB"/>
    <w:pPr>
      <w:spacing w:before="120" w:after="120" w:line="240" w:lineRule="auto"/>
    </w:pPr>
    <w:rPr>
      <w:b/>
      <w:bCs/>
    </w:rPr>
  </w:style>
  <w:style w:type="character" w:customStyle="1" w:styleId="CommentSubjectChar">
    <w:name w:val="Comment Subject Char"/>
    <w:basedOn w:val="CommentTextChar"/>
    <w:link w:val="CommentSubject"/>
    <w:semiHidden/>
    <w:rsid w:val="00BF3BCB"/>
    <w:rPr>
      <w:rFonts w:cs="Arial"/>
      <w:b/>
      <w:bCs/>
    </w:rPr>
  </w:style>
  <w:style w:type="paragraph" w:styleId="DocumentMap">
    <w:name w:val="Document Map"/>
    <w:basedOn w:val="Normal"/>
    <w:link w:val="DocumentMapChar"/>
    <w:semiHidden/>
    <w:locked/>
    <w:rsid w:val="00BF3BCB"/>
    <w:pPr>
      <w:spacing w:line="240" w:lineRule="auto"/>
    </w:pPr>
    <w:rPr>
      <w:rFonts w:ascii="Tahoma" w:hAnsi="Tahoma" w:cs="Tahoma"/>
      <w:sz w:val="16"/>
      <w:szCs w:val="16"/>
    </w:rPr>
  </w:style>
  <w:style w:type="character" w:customStyle="1" w:styleId="DocumentMapChar">
    <w:name w:val="Document Map Char"/>
    <w:basedOn w:val="DefaultParagraphFont"/>
    <w:link w:val="DocumentMap"/>
    <w:semiHidden/>
    <w:rsid w:val="00BF3BCB"/>
    <w:rPr>
      <w:rFonts w:ascii="Tahoma" w:hAnsi="Tahoma" w:cs="Tahoma"/>
      <w:sz w:val="16"/>
      <w:szCs w:val="16"/>
    </w:rPr>
  </w:style>
  <w:style w:type="paragraph" w:styleId="FootnoteText">
    <w:name w:val="footnote text"/>
    <w:basedOn w:val="Normal"/>
    <w:link w:val="FootnoteTextChar"/>
    <w:semiHidden/>
    <w:locked/>
    <w:rsid w:val="00884478"/>
    <w:pPr>
      <w:spacing w:line="240" w:lineRule="auto"/>
    </w:pPr>
    <w:rPr>
      <w:sz w:val="18"/>
    </w:rPr>
  </w:style>
  <w:style w:type="character" w:customStyle="1" w:styleId="FootnoteTextChar">
    <w:name w:val="Footnote Text Char"/>
    <w:basedOn w:val="DefaultParagraphFont"/>
    <w:link w:val="FootnoteText"/>
    <w:semiHidden/>
    <w:rsid w:val="00884478"/>
    <w:rPr>
      <w:sz w:val="18"/>
    </w:rPr>
  </w:style>
  <w:style w:type="paragraph" w:styleId="Index1">
    <w:name w:val="index 1"/>
    <w:basedOn w:val="Normal"/>
    <w:next w:val="Normal"/>
    <w:autoRedefine/>
    <w:semiHidden/>
    <w:locked/>
    <w:rsid w:val="00BF3BCB"/>
    <w:pPr>
      <w:spacing w:line="240" w:lineRule="auto"/>
      <w:ind w:left="200" w:hanging="200"/>
    </w:pPr>
  </w:style>
  <w:style w:type="paragraph" w:styleId="Index2">
    <w:name w:val="index 2"/>
    <w:basedOn w:val="Normal"/>
    <w:next w:val="Normal"/>
    <w:autoRedefine/>
    <w:semiHidden/>
    <w:locked/>
    <w:rsid w:val="00BF3BCB"/>
    <w:pPr>
      <w:spacing w:line="240" w:lineRule="auto"/>
      <w:ind w:left="400" w:hanging="200"/>
    </w:pPr>
  </w:style>
  <w:style w:type="paragraph" w:styleId="Index3">
    <w:name w:val="index 3"/>
    <w:basedOn w:val="Normal"/>
    <w:next w:val="Normal"/>
    <w:autoRedefine/>
    <w:semiHidden/>
    <w:locked/>
    <w:rsid w:val="00BF3BCB"/>
    <w:pPr>
      <w:spacing w:line="240" w:lineRule="auto"/>
      <w:ind w:left="600" w:hanging="200"/>
    </w:pPr>
  </w:style>
  <w:style w:type="paragraph" w:styleId="Index4">
    <w:name w:val="index 4"/>
    <w:basedOn w:val="Normal"/>
    <w:next w:val="Normal"/>
    <w:autoRedefine/>
    <w:semiHidden/>
    <w:locked/>
    <w:rsid w:val="00BF3BCB"/>
    <w:pPr>
      <w:spacing w:line="240" w:lineRule="auto"/>
      <w:ind w:left="800" w:hanging="200"/>
    </w:pPr>
  </w:style>
  <w:style w:type="paragraph" w:styleId="Index5">
    <w:name w:val="index 5"/>
    <w:basedOn w:val="Normal"/>
    <w:next w:val="Normal"/>
    <w:autoRedefine/>
    <w:semiHidden/>
    <w:locked/>
    <w:rsid w:val="00BF3BCB"/>
    <w:pPr>
      <w:spacing w:line="240" w:lineRule="auto"/>
      <w:ind w:left="1000" w:hanging="200"/>
    </w:pPr>
  </w:style>
  <w:style w:type="paragraph" w:styleId="Index6">
    <w:name w:val="index 6"/>
    <w:basedOn w:val="Normal"/>
    <w:next w:val="Normal"/>
    <w:autoRedefine/>
    <w:semiHidden/>
    <w:locked/>
    <w:rsid w:val="00BF3BCB"/>
    <w:pPr>
      <w:spacing w:line="240" w:lineRule="auto"/>
      <w:ind w:left="1200" w:hanging="200"/>
    </w:pPr>
  </w:style>
  <w:style w:type="paragraph" w:styleId="Index7">
    <w:name w:val="index 7"/>
    <w:basedOn w:val="Normal"/>
    <w:next w:val="Normal"/>
    <w:autoRedefine/>
    <w:semiHidden/>
    <w:locked/>
    <w:rsid w:val="00BF3BCB"/>
    <w:pPr>
      <w:spacing w:line="240" w:lineRule="auto"/>
      <w:ind w:left="1400" w:hanging="200"/>
    </w:pPr>
  </w:style>
  <w:style w:type="paragraph" w:styleId="Index8">
    <w:name w:val="index 8"/>
    <w:basedOn w:val="Normal"/>
    <w:next w:val="Normal"/>
    <w:autoRedefine/>
    <w:semiHidden/>
    <w:locked/>
    <w:rsid w:val="00BF3BCB"/>
    <w:pPr>
      <w:spacing w:line="240" w:lineRule="auto"/>
      <w:ind w:left="1600" w:hanging="200"/>
    </w:pPr>
  </w:style>
  <w:style w:type="paragraph" w:styleId="Index9">
    <w:name w:val="index 9"/>
    <w:basedOn w:val="Normal"/>
    <w:next w:val="Normal"/>
    <w:autoRedefine/>
    <w:semiHidden/>
    <w:locked/>
    <w:rsid w:val="00BF3BCB"/>
    <w:pPr>
      <w:spacing w:line="240" w:lineRule="auto"/>
      <w:ind w:left="1800" w:hanging="200"/>
    </w:pPr>
  </w:style>
  <w:style w:type="paragraph" w:styleId="IndexHeading">
    <w:name w:val="index heading"/>
    <w:basedOn w:val="Normal"/>
    <w:next w:val="Index1"/>
    <w:semiHidden/>
    <w:locked/>
    <w:rsid w:val="00BF3BCB"/>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qFormat/>
    <w:locked/>
    <w:rsid w:val="00BF3BCB"/>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semiHidden/>
    <w:rsid w:val="00BF3BCB"/>
    <w:rPr>
      <w:b/>
      <w:bCs/>
      <w:i/>
      <w:iCs/>
      <w:color w:val="4F81BD" w:themeColor="accent1"/>
    </w:rPr>
  </w:style>
  <w:style w:type="paragraph" w:styleId="ListParagraph">
    <w:name w:val="List Paragraph"/>
    <w:basedOn w:val="Normal"/>
    <w:uiPriority w:val="34"/>
    <w:semiHidden/>
    <w:qFormat/>
    <w:locked/>
    <w:rsid w:val="00BF3BCB"/>
    <w:pPr>
      <w:ind w:left="720"/>
      <w:contextualSpacing/>
    </w:pPr>
  </w:style>
  <w:style w:type="paragraph" w:styleId="MacroText">
    <w:name w:val="macro"/>
    <w:link w:val="MacroTextChar"/>
    <w:semiHidden/>
    <w:locked/>
    <w:rsid w:val="00BF3BCB"/>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semiHidden/>
    <w:rsid w:val="00BF3BCB"/>
    <w:rPr>
      <w:rFonts w:ascii="Consolas" w:hAnsi="Consolas"/>
    </w:rPr>
  </w:style>
  <w:style w:type="paragraph" w:styleId="NoSpacing">
    <w:name w:val="No Spacing"/>
    <w:uiPriority w:val="1"/>
    <w:semiHidden/>
    <w:qFormat/>
    <w:locked/>
    <w:rsid w:val="00BF3BCB"/>
    <w:pPr>
      <w:spacing w:line="240" w:lineRule="auto"/>
    </w:pPr>
  </w:style>
  <w:style w:type="paragraph" w:styleId="Quote">
    <w:name w:val="Quote"/>
    <w:basedOn w:val="Normal"/>
    <w:next w:val="Normal"/>
    <w:link w:val="QuoteChar"/>
    <w:uiPriority w:val="29"/>
    <w:semiHidden/>
    <w:qFormat/>
    <w:locked/>
    <w:rsid w:val="00BF3BCB"/>
    <w:rPr>
      <w:i/>
      <w:iCs/>
      <w:color w:val="000000" w:themeColor="text1"/>
    </w:rPr>
  </w:style>
  <w:style w:type="character" w:customStyle="1" w:styleId="QuoteChar">
    <w:name w:val="Quote Char"/>
    <w:basedOn w:val="DefaultParagraphFont"/>
    <w:link w:val="Quote"/>
    <w:uiPriority w:val="29"/>
    <w:semiHidden/>
    <w:rsid w:val="00BF3BCB"/>
    <w:rPr>
      <w:i/>
      <w:iCs/>
      <w:color w:val="000000" w:themeColor="text1"/>
    </w:rPr>
  </w:style>
  <w:style w:type="paragraph" w:styleId="TOAHeading">
    <w:name w:val="toa heading"/>
    <w:next w:val="Normal"/>
    <w:uiPriority w:val="99"/>
    <w:semiHidden/>
    <w:locked/>
    <w:rsid w:val="00BF3BCB"/>
    <w:pPr>
      <w:spacing w:before="120"/>
    </w:pPr>
    <w:rPr>
      <w:rFonts w:eastAsiaTheme="majorEastAsia" w:cstheme="majorBidi"/>
      <w:bCs/>
      <w:szCs w:val="24"/>
    </w:rPr>
  </w:style>
  <w:style w:type="paragraph" w:styleId="TOC7">
    <w:name w:val="toc 7"/>
    <w:basedOn w:val="Normal"/>
    <w:next w:val="Normal"/>
    <w:autoRedefine/>
    <w:uiPriority w:val="39"/>
    <w:locked/>
    <w:rsid w:val="00BF3BCB"/>
    <w:pPr>
      <w:spacing w:after="100"/>
      <w:ind w:left="1200"/>
    </w:pPr>
  </w:style>
  <w:style w:type="paragraph" w:styleId="TOC8">
    <w:name w:val="toc 8"/>
    <w:basedOn w:val="Normal"/>
    <w:next w:val="Normal"/>
    <w:autoRedefine/>
    <w:uiPriority w:val="39"/>
    <w:locked/>
    <w:rsid w:val="00BF3BCB"/>
    <w:pPr>
      <w:spacing w:after="100"/>
      <w:ind w:left="1400"/>
    </w:pPr>
  </w:style>
  <w:style w:type="paragraph" w:styleId="TOC9">
    <w:name w:val="toc 9"/>
    <w:basedOn w:val="Normal"/>
    <w:next w:val="Normal"/>
    <w:autoRedefine/>
    <w:uiPriority w:val="39"/>
    <w:locked/>
    <w:rsid w:val="00BF3BCB"/>
    <w:pPr>
      <w:spacing w:after="100"/>
      <w:ind w:left="1600"/>
    </w:pPr>
  </w:style>
  <w:style w:type="numbering" w:customStyle="1" w:styleId="HeadingsNumbered">
    <w:name w:val="Headings Numbered"/>
    <w:uiPriority w:val="99"/>
    <w:rsid w:val="00BF3BCB"/>
    <w:pPr>
      <w:numPr>
        <w:numId w:val="12"/>
      </w:numPr>
    </w:pPr>
  </w:style>
  <w:style w:type="numbering" w:customStyle="1" w:styleId="BulletsNumbered">
    <w:name w:val="Bullets Numbered"/>
    <w:uiPriority w:val="99"/>
    <w:rsid w:val="00BF3BCB"/>
    <w:pPr>
      <w:numPr>
        <w:numId w:val="10"/>
      </w:numPr>
    </w:pPr>
  </w:style>
  <w:style w:type="numbering" w:customStyle="1" w:styleId="Bullets">
    <w:name w:val="Bullets"/>
    <w:uiPriority w:val="99"/>
    <w:rsid w:val="00BF3BCB"/>
    <w:pPr>
      <w:numPr>
        <w:numId w:val="7"/>
      </w:numPr>
    </w:pPr>
  </w:style>
  <w:style w:type="paragraph" w:customStyle="1" w:styleId="Tableheadingcentred">
    <w:name w:val="Table heading centred"/>
    <w:basedOn w:val="Tableheadingleft"/>
    <w:rsid w:val="00BF3BCB"/>
    <w:pPr>
      <w:jc w:val="center"/>
    </w:pPr>
  </w:style>
  <w:style w:type="paragraph" w:customStyle="1" w:styleId="Tableheadingright">
    <w:name w:val="Table heading right"/>
    <w:basedOn w:val="Tableheadingcentred"/>
    <w:rsid w:val="00BF3BCB"/>
    <w:pPr>
      <w:jc w:val="right"/>
    </w:pPr>
  </w:style>
  <w:style w:type="paragraph" w:customStyle="1" w:styleId="Tabletextcentred">
    <w:name w:val="Table text centred"/>
    <w:basedOn w:val="Tabletextleft"/>
    <w:qFormat/>
    <w:rsid w:val="00BF3BCB"/>
    <w:pPr>
      <w:jc w:val="center"/>
    </w:pPr>
  </w:style>
  <w:style w:type="paragraph" w:customStyle="1" w:styleId="Tabletextright">
    <w:name w:val="Table text right"/>
    <w:basedOn w:val="Tabletextcentred"/>
    <w:qFormat/>
    <w:rsid w:val="00BF3BCB"/>
    <w:pPr>
      <w:jc w:val="right"/>
    </w:pPr>
  </w:style>
  <w:style w:type="character" w:customStyle="1" w:styleId="Subscriptitalic">
    <w:name w:val="Subscript italic"/>
    <w:basedOn w:val="Subscript"/>
    <w:qFormat/>
    <w:rsid w:val="00BF3BCB"/>
    <w:rPr>
      <w:i/>
      <w:iCs/>
      <w:position w:val="-2"/>
      <w:vertAlign w:val="subscript"/>
    </w:rPr>
  </w:style>
  <w:style w:type="character" w:customStyle="1" w:styleId="SuperscriptItalic">
    <w:name w:val="Superscript Italic"/>
    <w:basedOn w:val="Superscript"/>
    <w:qFormat/>
    <w:rsid w:val="00BF3BCB"/>
    <w:rPr>
      <w:i/>
      <w:iCs/>
      <w:position w:val="0"/>
      <w:vertAlign w:val="superscript"/>
    </w:rPr>
  </w:style>
  <w:style w:type="numbering" w:customStyle="1" w:styleId="Bulletnew">
    <w:name w:val="Bullet new"/>
    <w:basedOn w:val="Bullets"/>
    <w:uiPriority w:val="99"/>
    <w:rsid w:val="00BF3BCB"/>
    <w:pPr>
      <w:numPr>
        <w:numId w:val="8"/>
      </w:numPr>
    </w:pPr>
  </w:style>
  <w:style w:type="table" w:customStyle="1" w:styleId="TableGANoHeader">
    <w:name w:val="Table GA No Header"/>
    <w:basedOn w:val="TableGAHeaderRow"/>
    <w:uiPriority w:val="99"/>
    <w:rsid w:val="00BF3BCB"/>
    <w:pPr>
      <w:spacing w:line="240" w:lineRule="auto"/>
    </w:p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qFormat/>
    <w:rsid w:val="00BF3BCB"/>
    <w:pPr>
      <w:jc w:val="center"/>
    </w:pPr>
  </w:style>
  <w:style w:type="paragraph" w:customStyle="1" w:styleId="Authors">
    <w:name w:val="Authors"/>
    <w:basedOn w:val="BodyText"/>
    <w:next w:val="Figuresandimagesleft"/>
    <w:qFormat/>
    <w:rsid w:val="00A43BA1"/>
    <w:pPr>
      <w:spacing w:after="5760"/>
    </w:pPr>
  </w:style>
  <w:style w:type="table" w:styleId="MediumShading1">
    <w:name w:val="Medium Shading 1"/>
    <w:basedOn w:val="TableNormal"/>
    <w:uiPriority w:val="63"/>
    <w:locked/>
    <w:rsid w:val="00BF3BCB"/>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BF3BCB"/>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BF3BCB"/>
    <w:pPr>
      <w:spacing w:line="240" w:lineRule="auto"/>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BF3BCB"/>
    <w:pPr>
      <w:tabs>
        <w:tab w:val="clear" w:pos="9072"/>
        <w:tab w:val="right" w:pos="14005"/>
      </w:tabs>
    </w:pPr>
  </w:style>
  <w:style w:type="table" w:customStyle="1" w:styleId="TableGAHeaderColumn">
    <w:name w:val="Table GA Header Column"/>
    <w:basedOn w:val="TableGAHeaderRowColumn"/>
    <w:uiPriority w:val="99"/>
    <w:rsid w:val="00BF3BCB"/>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basedOn w:val="Normal"/>
    <w:next w:val="BodyText"/>
    <w:qFormat/>
    <w:rsid w:val="00BF3BCB"/>
    <w:pPr>
      <w:pageBreakBefore/>
      <w:spacing w:after="60" w:line="240" w:lineRule="atLeast"/>
    </w:pPr>
    <w:rPr>
      <w:rFonts w:cs="Arial"/>
      <w:b/>
      <w:kern w:val="28"/>
    </w:rPr>
  </w:style>
  <w:style w:type="character" w:customStyle="1" w:styleId="Bold">
    <w:name w:val="Bold"/>
    <w:basedOn w:val="DefaultParagraphFont"/>
    <w:qFormat/>
    <w:rsid w:val="00BF3BCB"/>
    <w:rPr>
      <w:b/>
    </w:rPr>
  </w:style>
  <w:style w:type="character" w:customStyle="1" w:styleId="Italic">
    <w:name w:val="Italic"/>
    <w:basedOn w:val="DefaultParagraphFont"/>
    <w:qFormat/>
    <w:rsid w:val="00BF3BCB"/>
    <w:rPr>
      <w:i/>
    </w:rPr>
  </w:style>
  <w:style w:type="character" w:customStyle="1" w:styleId="ReferencesItalic">
    <w:name w:val="References Italic"/>
    <w:basedOn w:val="DefaultParagraphFont"/>
    <w:qFormat/>
    <w:rsid w:val="00BF3BCB"/>
    <w:rPr>
      <w:i/>
    </w:rPr>
  </w:style>
  <w:style w:type="numbering" w:customStyle="1" w:styleId="BulletsGA">
    <w:name w:val="Bullets GA"/>
    <w:basedOn w:val="NoList"/>
    <w:uiPriority w:val="99"/>
    <w:rsid w:val="00BF3BCB"/>
    <w:pPr>
      <w:numPr>
        <w:numId w:val="9"/>
      </w:numPr>
    </w:pPr>
  </w:style>
  <w:style w:type="paragraph" w:customStyle="1" w:styleId="FooterlandscapeA3">
    <w:name w:val="Footer landscape A3"/>
    <w:basedOn w:val="Footerlandscape"/>
    <w:qFormat/>
    <w:rsid w:val="00BF3BCB"/>
    <w:pPr>
      <w:tabs>
        <w:tab w:val="clear" w:pos="14005"/>
        <w:tab w:val="right" w:pos="20979"/>
      </w:tabs>
    </w:pPr>
  </w:style>
  <w:style w:type="paragraph" w:customStyle="1" w:styleId="Tablenotes">
    <w:name w:val="Table notes"/>
    <w:basedOn w:val="BodyText"/>
    <w:qFormat/>
    <w:rsid w:val="00BF3BCB"/>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BF3BCB"/>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FE03DD"/>
    <w:pPr>
      <w:pageBreakBefore w:val="0"/>
      <w:numPr>
        <w:ilvl w:val="1"/>
        <w:numId w:val="11"/>
      </w:numPr>
      <w:spacing w:before="480" w:after="180" w:line="240" w:lineRule="auto"/>
      <w:ind w:left="0" w:firstLine="0"/>
      <w:outlineLvl w:val="1"/>
    </w:pPr>
    <w:rPr>
      <w:sz w:val="30"/>
      <w:szCs w:val="30"/>
    </w:rPr>
  </w:style>
  <w:style w:type="paragraph" w:customStyle="1" w:styleId="Headingappendix3">
    <w:name w:val="Heading appendix 3"/>
    <w:basedOn w:val="Headingappendix2"/>
    <w:next w:val="BodyText"/>
    <w:qFormat/>
    <w:rsid w:val="00FE03DD"/>
    <w:pPr>
      <w:numPr>
        <w:ilvl w:val="2"/>
      </w:numPr>
      <w:ind w:left="0" w:firstLine="0"/>
      <w:outlineLvl w:val="2"/>
    </w:pPr>
    <w:rPr>
      <w:b/>
      <w:bCs/>
      <w:sz w:val="24"/>
    </w:rPr>
  </w:style>
  <w:style w:type="paragraph" w:customStyle="1" w:styleId="Headingappendix4">
    <w:name w:val="Heading appendix 4"/>
    <w:basedOn w:val="Headingappendix3"/>
    <w:next w:val="BodyText"/>
    <w:qFormat/>
    <w:rsid w:val="00FE03DD"/>
    <w:pPr>
      <w:numPr>
        <w:ilvl w:val="3"/>
      </w:numPr>
      <w:spacing w:before="180"/>
      <w:ind w:left="0" w:firstLine="0"/>
      <w:outlineLvl w:val="3"/>
    </w:pPr>
    <w:rPr>
      <w:rFonts w:eastAsia="Times New Roman"/>
      <w:i/>
      <w:iCs/>
      <w:sz w:val="22"/>
      <w:szCs w:val="20"/>
    </w:rPr>
  </w:style>
  <w:style w:type="paragraph" w:customStyle="1" w:styleId="Headingappendix5">
    <w:name w:val="Heading appendix 5"/>
    <w:basedOn w:val="Headingappendix4"/>
    <w:next w:val="BodyText"/>
    <w:qFormat/>
    <w:rsid w:val="00BF3BCB"/>
    <w:pPr>
      <w:numPr>
        <w:ilvl w:val="4"/>
      </w:numPr>
      <w:outlineLvl w:val="4"/>
    </w:pPr>
    <w:rPr>
      <w:b w:val="0"/>
      <w:bCs w:val="0"/>
    </w:rPr>
  </w:style>
  <w:style w:type="paragraph" w:customStyle="1" w:styleId="Equation">
    <w:name w:val="Equation"/>
    <w:basedOn w:val="BodyText"/>
    <w:next w:val="BodyText"/>
    <w:uiPriority w:val="7"/>
    <w:qFormat/>
    <w:rsid w:val="00BF3BCB"/>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Normal"/>
    <w:rsid w:val="00BF3BCB"/>
    <w:pPr>
      <w:spacing w:before="240" w:after="0"/>
    </w:pPr>
    <w:rPr>
      <w:b/>
      <w:kern w:val="28"/>
    </w:rPr>
  </w:style>
  <w:style w:type="character" w:styleId="SubtleReference">
    <w:name w:val="Subtle Reference"/>
    <w:aliases w:val="SR-DO NOT USE"/>
    <w:uiPriority w:val="31"/>
    <w:semiHidden/>
    <w:locked/>
    <w:rsid w:val="00BF3BCB"/>
  </w:style>
  <w:style w:type="character" w:styleId="SubtleEmphasis">
    <w:name w:val="Subtle Emphasis"/>
    <w:aliases w:val="SE-DO NOT USE"/>
    <w:uiPriority w:val="19"/>
    <w:semiHidden/>
    <w:locked/>
    <w:rsid w:val="00BF3BCB"/>
  </w:style>
  <w:style w:type="character" w:customStyle="1" w:styleId="Tablenumber">
    <w:name w:val="Table number"/>
    <w:rsid w:val="008237BB"/>
    <w:rPr>
      <w:b/>
    </w:rPr>
  </w:style>
  <w:style w:type="paragraph" w:customStyle="1" w:styleId="Captions">
    <w:name w:val="Captions"/>
    <w:basedOn w:val="BodyText"/>
    <w:next w:val="BodyText"/>
    <w:semiHidden/>
    <w:locked/>
    <w:rsid w:val="00BF3BCB"/>
    <w:pPr>
      <w:spacing w:before="60" w:after="360"/>
    </w:pPr>
    <w:rPr>
      <w:rFonts w:eastAsia="Times New Roman"/>
      <w:i/>
      <w:sz w:val="18"/>
      <w:szCs w:val="18"/>
    </w:rPr>
  </w:style>
  <w:style w:type="paragraph" w:customStyle="1" w:styleId="Tableheadingrow">
    <w:name w:val="Table heading row"/>
    <w:basedOn w:val="Normal"/>
    <w:rsid w:val="008237BB"/>
    <w:pPr>
      <w:spacing w:before="0" w:after="0" w:line="230" w:lineRule="exact"/>
    </w:pPr>
    <w:rPr>
      <w:rFonts w:eastAsia="Times New Roman"/>
      <w:b/>
      <w:caps/>
      <w:spacing w:val="10"/>
      <w:sz w:val="16"/>
    </w:rPr>
  </w:style>
  <w:style w:type="character" w:customStyle="1" w:styleId="CharChar2">
    <w:name w:val="Char Char2"/>
    <w:semiHidden/>
    <w:locked/>
    <w:rsid w:val="008237BB"/>
    <w:rPr>
      <w:rFonts w:ascii="Times New Roman" w:hAnsi="Times New Roman"/>
      <w:sz w:val="21"/>
      <w:lang w:val="en-AU" w:eastAsia="en-AU" w:bidi="ar-SA"/>
    </w:rPr>
  </w:style>
  <w:style w:type="paragraph" w:customStyle="1" w:styleId="Boxheaders">
    <w:name w:val="Box headers"/>
    <w:basedOn w:val="Head3nonumbers"/>
    <w:qFormat/>
    <w:rsid w:val="00D0344B"/>
    <w:pPr>
      <w:outlineLvl w:val="9"/>
    </w:pPr>
  </w:style>
  <w:style w:type="character" w:styleId="FootnoteReference">
    <w:name w:val="footnote reference"/>
    <w:semiHidden/>
    <w:locked/>
    <w:rsid w:val="008237BB"/>
    <w:rPr>
      <w:vertAlign w:val="superscript"/>
    </w:rPr>
  </w:style>
  <w:style w:type="character" w:styleId="CommentReference">
    <w:name w:val="annotation reference"/>
    <w:semiHidden/>
    <w:locked/>
    <w:rsid w:val="008237BB"/>
    <w:rPr>
      <w:sz w:val="16"/>
      <w:szCs w:val="16"/>
    </w:rPr>
  </w:style>
  <w:style w:type="paragraph" w:customStyle="1" w:styleId="BulletLevel3numbered">
    <w:name w:val="Bullet Level 3 numbered"/>
    <w:basedOn w:val="Normal"/>
    <w:rsid w:val="004911EB"/>
    <w:pPr>
      <w:numPr>
        <w:ilvl w:val="2"/>
        <w:numId w:val="1"/>
      </w:numPr>
      <w:spacing w:before="0" w:after="0" w:line="240" w:lineRule="auto"/>
    </w:pPr>
    <w:rPr>
      <w:rFonts w:eastAsia="Times New Roman"/>
    </w:rPr>
  </w:style>
  <w:style w:type="character" w:styleId="PlaceholderText">
    <w:name w:val="Placeholder Text"/>
    <w:basedOn w:val="DefaultParagraphFont"/>
    <w:uiPriority w:val="99"/>
    <w:semiHidden/>
    <w:locked/>
    <w:rsid w:val="005167BF"/>
    <w:rPr>
      <w:color w:val="808080"/>
    </w:rPr>
  </w:style>
  <w:style w:type="paragraph" w:customStyle="1" w:styleId="Figurex3">
    <w:name w:val="Figure x3"/>
    <w:basedOn w:val="BodyText"/>
    <w:qFormat/>
    <w:rsid w:val="00C86D91"/>
    <w:pPr>
      <w:tabs>
        <w:tab w:val="left" w:pos="3261"/>
        <w:tab w:val="left" w:pos="6096"/>
      </w:tabs>
      <w:ind w:firstLine="426"/>
    </w:pPr>
  </w:style>
  <w:style w:type="paragraph" w:customStyle="1" w:styleId="Contentsbodyindented">
    <w:name w:val="Contents body indented"/>
    <w:basedOn w:val="BodyText"/>
    <w:semiHidden/>
    <w:locked/>
    <w:rsid w:val="00BF3BCB"/>
    <w:pPr>
      <w:ind w:left="284"/>
    </w:pPr>
  </w:style>
  <w:style w:type="paragraph" w:customStyle="1" w:styleId="Contentsbodytext">
    <w:name w:val="Contents body text"/>
    <w:basedOn w:val="BodyText"/>
    <w:semiHidden/>
    <w:locked/>
    <w:rsid w:val="00BF3BCB"/>
    <w:pPr>
      <w:tabs>
        <w:tab w:val="right" w:leader="dot" w:pos="8222"/>
      </w:tabs>
      <w:jc w:val="both"/>
    </w:pPr>
    <w:rPr>
      <w:rFonts w:eastAsia="Times New Roman"/>
    </w:rPr>
  </w:style>
  <w:style w:type="character" w:customStyle="1" w:styleId="ContentsbodytextChar">
    <w:name w:val="Contents body text Char"/>
    <w:basedOn w:val="DefaultParagraphFont"/>
    <w:semiHidden/>
    <w:locked/>
    <w:rsid w:val="00BF3BCB"/>
    <w:rPr>
      <w:noProof w:val="0"/>
      <w:sz w:val="21"/>
      <w:lang w:val="en-AU" w:eastAsia="en-AU" w:bidi="ar-SA"/>
    </w:rPr>
  </w:style>
  <w:style w:type="character" w:styleId="Emphasis">
    <w:name w:val="Emphasis"/>
    <w:basedOn w:val="DefaultParagraphFont"/>
    <w:semiHidden/>
    <w:qFormat/>
    <w:locked/>
    <w:rsid w:val="00BF3BCB"/>
    <w:rPr>
      <w:i/>
      <w:iCs/>
    </w:rPr>
  </w:style>
  <w:style w:type="character" w:customStyle="1" w:styleId="Instructions">
    <w:name w:val="Instructions"/>
    <w:basedOn w:val="DefaultParagraphFont"/>
    <w:semiHidden/>
    <w:locked/>
    <w:rsid w:val="00BF3BCB"/>
    <w:rPr>
      <w:rFonts w:ascii="Arial" w:hAnsi="Arial"/>
      <w:b/>
      <w:bCs/>
      <w:color w:val="FF0000"/>
      <w:sz w:val="16"/>
    </w:rPr>
  </w:style>
  <w:style w:type="paragraph" w:styleId="NormalWeb">
    <w:name w:val="Normal (Web)"/>
    <w:basedOn w:val="BodyText"/>
    <w:next w:val="BodyText"/>
    <w:semiHidden/>
    <w:locked/>
    <w:rsid w:val="00BF3BCB"/>
    <w:rPr>
      <w:sz w:val="24"/>
      <w:szCs w:val="24"/>
    </w:rPr>
  </w:style>
  <w:style w:type="character" w:styleId="Strong">
    <w:name w:val="Strong"/>
    <w:basedOn w:val="DefaultParagraphFont"/>
    <w:semiHidden/>
    <w:qFormat/>
    <w:locked/>
    <w:rsid w:val="00BF3BCB"/>
    <w:rPr>
      <w:b/>
      <w:bCs/>
    </w:rPr>
  </w:style>
  <w:style w:type="character" w:customStyle="1" w:styleId="Bodytextsymbols">
    <w:name w:val="Body text symbols"/>
    <w:basedOn w:val="DefaultParagraphFont"/>
    <w:uiPriority w:val="1"/>
    <w:qFormat/>
    <w:rsid w:val="00F06D18"/>
    <w:rPr>
      <w:rFonts w:ascii="Symbol" w:hAnsi="Symbol"/>
      <w:i/>
    </w:rPr>
  </w:style>
  <w:style w:type="paragraph" w:customStyle="1" w:styleId="bodymappanel">
    <w:name w:val="body map panel"/>
    <w:basedOn w:val="BodyText"/>
    <w:qFormat/>
    <w:rsid w:val="00553E3F"/>
    <w:pPr>
      <w:tabs>
        <w:tab w:val="left" w:pos="2722"/>
        <w:tab w:val="left" w:pos="6634"/>
      </w:tabs>
      <w:spacing w:after="0" w:line="20" w:lineRule="atLeast"/>
    </w:pPr>
    <w:rPr>
      <w:noProof/>
    </w:rPr>
  </w:style>
  <w:style w:type="paragraph" w:customStyle="1" w:styleId="Figurewithheader">
    <w:name w:val="Figure with header"/>
    <w:basedOn w:val="Figuresandimagesleft"/>
    <w:qFormat/>
    <w:rsid w:val="00553E3F"/>
    <w:pPr>
      <w:spacing w:before="0"/>
    </w:pPr>
    <w:rPr>
      <w:noProof/>
    </w:rPr>
  </w:style>
  <w:style w:type="character" w:styleId="EndnoteReference">
    <w:name w:val="endnote reference"/>
    <w:basedOn w:val="DefaultParagraphFont"/>
    <w:semiHidden/>
    <w:locked/>
    <w:rsid w:val="00216096"/>
    <w:rPr>
      <w:vertAlign w:val="superscript"/>
    </w:rPr>
  </w:style>
  <w:style w:type="paragraph" w:customStyle="1" w:styleId="HeadingApxnonumbers">
    <w:name w:val="Heading Apx no numbers"/>
    <w:basedOn w:val="Head2nonumbers"/>
    <w:rsid w:val="0046246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6" w:uiPriority="39"/>
    <w:lsdException w:name="toc 7" w:semiHidden="1" w:uiPriority="39"/>
    <w:lsdException w:name="toc 8" w:semiHidden="1" w:uiPriority="39"/>
    <w:lsdException w:name="toc 9" w:semiHidden="1" w:uiPriority="39"/>
    <w:lsdException w:name="footer" w:locked="0" w:qFormat="1"/>
    <w:lsdException w:name="index heading" w:semiHidden="1"/>
    <w:lsdException w:name="caption" w:locked="0" w:semiHidden="1" w:unhideWhenUsed="1" w:qFormat="1"/>
    <w:lsdException w:name="table of figures" w:locked="0" w:uiPriority="99"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uiPriority="1"/>
    <w:lsdException w:name="Body Text" w:locked="0"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lsdException w:name="Strong" w:semiHidden="1" w:qFormat="1"/>
    <w:lsdException w:name="Emphasis" w:semiHidden="1" w:qFormat="1"/>
    <w:lsdException w:name="Document Map" w:semiHidden="1"/>
    <w:lsdException w:name="HTML Top of Form" w:locked="0"/>
    <w:lsdException w:name="HTML Bottom of Form" w:locked="0"/>
    <w:lsdException w:name="Normal (Web)" w:semiHidden="1"/>
    <w:lsdException w:name="Normal Table" w:locked="0"/>
    <w:lsdException w:name="annotation subject" w:semiHidden="1"/>
    <w:lsdException w:name="No List" w:locked="0" w:uiPriority="99"/>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qFormat="1"/>
  </w:latentStyles>
  <w:style w:type="paragraph" w:default="1" w:styleId="Normal">
    <w:name w:val="Normal"/>
    <w:next w:val="BodyText"/>
    <w:qFormat/>
    <w:rsid w:val="00AD5572"/>
  </w:style>
  <w:style w:type="paragraph" w:styleId="Heading1">
    <w:name w:val="heading 1"/>
    <w:next w:val="BodyText"/>
    <w:link w:val="Heading1Char"/>
    <w:qFormat/>
    <w:rsid w:val="00FE03DD"/>
    <w:pPr>
      <w:keepNext/>
      <w:keepLines/>
      <w:pageBreakBefore/>
      <w:numPr>
        <w:numId w:val="3"/>
      </w:numPr>
      <w:spacing w:after="1080" w:line="240" w:lineRule="auto"/>
      <w:ind w:left="0" w:firstLine="0"/>
      <w:outlineLvl w:val="0"/>
    </w:pPr>
    <w:rPr>
      <w:rFonts w:cs="Arial"/>
      <w:kern w:val="28"/>
      <w:sz w:val="40"/>
    </w:rPr>
  </w:style>
  <w:style w:type="paragraph" w:styleId="Heading2">
    <w:name w:val="heading 2"/>
    <w:basedOn w:val="Heading1"/>
    <w:next w:val="BodyText"/>
    <w:link w:val="Heading2Char"/>
    <w:qFormat/>
    <w:rsid w:val="00FE03DD"/>
    <w:pPr>
      <w:pageBreakBefore w:val="0"/>
      <w:numPr>
        <w:ilvl w:val="1"/>
      </w:numPr>
      <w:spacing w:before="480" w:after="180"/>
      <w:ind w:left="0" w:firstLine="0"/>
      <w:outlineLvl w:val="1"/>
    </w:pPr>
    <w:rPr>
      <w:sz w:val="30"/>
      <w:szCs w:val="30"/>
    </w:rPr>
  </w:style>
  <w:style w:type="paragraph" w:styleId="Heading3">
    <w:name w:val="heading 3"/>
    <w:basedOn w:val="Heading2"/>
    <w:next w:val="BodyText"/>
    <w:link w:val="Heading3Char"/>
    <w:qFormat/>
    <w:rsid w:val="00FE03DD"/>
    <w:pPr>
      <w:numPr>
        <w:ilvl w:val="2"/>
      </w:numPr>
      <w:ind w:left="0" w:firstLine="0"/>
      <w:outlineLvl w:val="2"/>
    </w:pPr>
    <w:rPr>
      <w:b/>
      <w:sz w:val="24"/>
    </w:rPr>
  </w:style>
  <w:style w:type="paragraph" w:styleId="Heading4">
    <w:name w:val="heading 4"/>
    <w:basedOn w:val="Heading3"/>
    <w:next w:val="BodyText"/>
    <w:link w:val="Heading4Char"/>
    <w:qFormat/>
    <w:rsid w:val="000067F7"/>
    <w:pPr>
      <w:numPr>
        <w:ilvl w:val="3"/>
      </w:numPr>
      <w:spacing w:before="180"/>
      <w:outlineLvl w:val="3"/>
    </w:pPr>
    <w:rPr>
      <w:i/>
      <w:sz w:val="22"/>
    </w:rPr>
  </w:style>
  <w:style w:type="paragraph" w:styleId="Heading5">
    <w:name w:val="heading 5"/>
    <w:basedOn w:val="Heading4"/>
    <w:next w:val="BodyText"/>
    <w:qFormat/>
    <w:rsid w:val="000067F7"/>
    <w:pPr>
      <w:numPr>
        <w:ilvl w:val="4"/>
      </w:numPr>
      <w:outlineLvl w:val="4"/>
    </w:pPr>
    <w:rPr>
      <w:b w:val="0"/>
    </w:rPr>
  </w:style>
  <w:style w:type="paragraph" w:styleId="Heading6">
    <w:name w:val="heading 6"/>
    <w:basedOn w:val="Heading5"/>
    <w:next w:val="BodyText"/>
    <w:link w:val="Heading6Char"/>
    <w:semiHidden/>
    <w:qFormat/>
    <w:locked/>
    <w:rsid w:val="00BF3BCB"/>
    <w:pPr>
      <w:numPr>
        <w:ilvl w:val="5"/>
      </w:numPr>
      <w:spacing w:before="240"/>
      <w:ind w:left="680" w:hanging="680"/>
      <w:outlineLvl w:val="5"/>
    </w:pPr>
    <w:rPr>
      <w:b/>
      <w:i w:val="0"/>
      <w:sz w:val="20"/>
    </w:rPr>
  </w:style>
  <w:style w:type="paragraph" w:styleId="Heading7">
    <w:name w:val="heading 7"/>
    <w:basedOn w:val="Heading6"/>
    <w:next w:val="BodyText"/>
    <w:semiHidden/>
    <w:qFormat/>
    <w:locked/>
    <w:rsid w:val="00BF3BCB"/>
    <w:pPr>
      <w:numPr>
        <w:ilvl w:val="6"/>
      </w:numPr>
      <w:spacing w:line="220" w:lineRule="exact"/>
      <w:ind w:left="680" w:hanging="680"/>
      <w:outlineLvl w:val="6"/>
    </w:pPr>
    <w:rPr>
      <w:rFonts w:ascii="Arial Bold" w:hAnsi="Arial Bold"/>
      <w:i/>
      <w:spacing w:val="10"/>
      <w:sz w:val="16"/>
    </w:rPr>
  </w:style>
  <w:style w:type="paragraph" w:styleId="Heading8">
    <w:name w:val="heading 8"/>
    <w:basedOn w:val="Heading7"/>
    <w:next w:val="BodyText"/>
    <w:semiHidden/>
    <w:qFormat/>
    <w:locked/>
    <w:rsid w:val="00BF3BCB"/>
    <w:pPr>
      <w:numPr>
        <w:ilvl w:val="7"/>
      </w:numPr>
      <w:ind w:left="680" w:hanging="680"/>
      <w:outlineLvl w:val="7"/>
    </w:pPr>
    <w:rPr>
      <w:i w:val="0"/>
    </w:rPr>
  </w:style>
  <w:style w:type="paragraph" w:styleId="Heading9">
    <w:name w:val="heading 9"/>
    <w:aliases w:val="Heading appendix 1"/>
    <w:basedOn w:val="Headingappendix1base"/>
    <w:next w:val="BodyText"/>
    <w:qFormat/>
    <w:rsid w:val="00FE03DD"/>
    <w:pPr>
      <w:numPr>
        <w:numId w:val="11"/>
      </w:numPr>
      <w:spacing w:line="240" w:lineRule="auto"/>
      <w:ind w:left="0" w:firstLine="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BF3BCB"/>
    <w:rPr>
      <w:rFonts w:cs="Arial"/>
    </w:rPr>
  </w:style>
  <w:style w:type="paragraph" w:styleId="Footer">
    <w:name w:val="footer"/>
    <w:next w:val="BodyText"/>
    <w:link w:val="FooterChar"/>
    <w:qFormat/>
    <w:rsid w:val="00BF3BCB"/>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ocked/>
    <w:rsid w:val="00BF3BCB"/>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BF3BCB"/>
    <w:pPr>
      <w:keepNext/>
      <w:spacing w:after="1440"/>
    </w:pPr>
    <w:rPr>
      <w:rFonts w:eastAsia="Times New Roman"/>
      <w:caps/>
      <w:spacing w:val="10"/>
      <w:sz w:val="19"/>
    </w:rPr>
  </w:style>
  <w:style w:type="paragraph" w:styleId="BlockText">
    <w:name w:val="Block Text"/>
    <w:basedOn w:val="BodyText"/>
    <w:semiHidden/>
    <w:locked/>
    <w:rsid w:val="00BF3BCB"/>
  </w:style>
  <w:style w:type="character" w:customStyle="1" w:styleId="Captionbold">
    <w:name w:val="Caption bold"/>
    <w:qFormat/>
    <w:rsid w:val="00BF3BCB"/>
    <w:rPr>
      <w:b/>
    </w:rPr>
  </w:style>
  <w:style w:type="paragraph" w:customStyle="1" w:styleId="Contentsheading">
    <w:name w:val="Contents heading"/>
    <w:next w:val="BodyText"/>
    <w:locked/>
    <w:rsid w:val="00BF3BCB"/>
    <w:pPr>
      <w:spacing w:after="960" w:line="240" w:lineRule="auto"/>
      <w:outlineLvl w:val="0"/>
    </w:pPr>
    <w:rPr>
      <w:rFonts w:eastAsia="Times New Roman"/>
      <w:sz w:val="40"/>
    </w:rPr>
  </w:style>
  <w:style w:type="paragraph" w:customStyle="1" w:styleId="Documenttitle">
    <w:name w:val="Document title"/>
    <w:next w:val="BodyText"/>
    <w:qFormat/>
    <w:rsid w:val="00BF3BCB"/>
    <w:pPr>
      <w:keepNext/>
      <w:spacing w:before="1680" w:after="360" w:line="240" w:lineRule="auto"/>
      <w:outlineLvl w:val="0"/>
    </w:pPr>
    <w:rPr>
      <w:rFonts w:eastAsia="Times New Roman"/>
      <w:sz w:val="48"/>
    </w:rPr>
  </w:style>
  <w:style w:type="paragraph" w:customStyle="1" w:styleId="Notes">
    <w:name w:val="Notes"/>
    <w:basedOn w:val="BodyText"/>
    <w:qFormat/>
    <w:rsid w:val="00BF3BCB"/>
    <w:pPr>
      <w:numPr>
        <w:numId w:val="23"/>
      </w:numPr>
      <w:pBdr>
        <w:top w:val="single" w:sz="4" w:space="1" w:color="808080"/>
      </w:pBdr>
      <w:spacing w:before="0" w:after="0" w:line="160" w:lineRule="atLeast"/>
    </w:pPr>
    <w:rPr>
      <w:rFonts w:eastAsia="Times New Roman"/>
      <w:sz w:val="16"/>
    </w:rPr>
  </w:style>
  <w:style w:type="paragraph" w:customStyle="1" w:styleId="Bodyblankpage">
    <w:name w:val="Body blank page"/>
    <w:basedOn w:val="BodyText"/>
    <w:rsid w:val="00716B6D"/>
    <w:pPr>
      <w:pageBreakBefore/>
      <w:spacing w:before="4000"/>
      <w:jc w:val="center"/>
    </w:pPr>
    <w:rPr>
      <w:rFonts w:eastAsia="Times New Roman" w:cs="Times New Roman"/>
    </w:rPr>
  </w:style>
  <w:style w:type="paragraph" w:customStyle="1" w:styleId="Bulletlevel1">
    <w:name w:val="Bullet level 1"/>
    <w:basedOn w:val="BodyText"/>
    <w:link w:val="Bulletlevel1Char"/>
    <w:qFormat/>
    <w:rsid w:val="00BF3BCB"/>
    <w:pPr>
      <w:numPr>
        <w:numId w:val="5"/>
      </w:numPr>
      <w:spacing w:before="60" w:after="60"/>
    </w:pPr>
    <w:rPr>
      <w:rFonts w:eastAsia="Times New Roman"/>
    </w:rPr>
  </w:style>
  <w:style w:type="paragraph" w:customStyle="1" w:styleId="Bulletlevel2">
    <w:name w:val="Bullet level 2"/>
    <w:basedOn w:val="Bulletlevel1"/>
    <w:qFormat/>
    <w:rsid w:val="00BF3BCB"/>
    <w:pPr>
      <w:numPr>
        <w:ilvl w:val="1"/>
      </w:numPr>
    </w:pPr>
  </w:style>
  <w:style w:type="paragraph" w:customStyle="1" w:styleId="Tabletitle">
    <w:name w:val="Table title"/>
    <w:basedOn w:val="BodyText"/>
    <w:next w:val="BodyText"/>
    <w:qFormat/>
    <w:rsid w:val="00BF3BCB"/>
    <w:pPr>
      <w:keepNext/>
      <w:spacing w:before="480" w:after="120" w:line="240" w:lineRule="atLeast"/>
    </w:pPr>
    <w:rPr>
      <w:rFonts w:eastAsia="Times New Roman"/>
      <w:i/>
      <w:sz w:val="18"/>
      <w:szCs w:val="18"/>
    </w:rPr>
  </w:style>
  <w:style w:type="character" w:customStyle="1" w:styleId="Tabletitlebold">
    <w:name w:val="Table title bold"/>
    <w:qFormat/>
    <w:rsid w:val="00BF3BCB"/>
    <w:rPr>
      <w:b/>
    </w:rPr>
  </w:style>
  <w:style w:type="paragraph" w:customStyle="1" w:styleId="Tabletextleft">
    <w:name w:val="Table text left"/>
    <w:qFormat/>
    <w:rsid w:val="001D132F"/>
    <w:pPr>
      <w:tabs>
        <w:tab w:val="center" w:pos="312"/>
        <w:tab w:val="center" w:pos="964"/>
        <w:tab w:val="center" w:pos="1626"/>
      </w:tabs>
      <w:spacing w:before="20" w:after="20" w:line="200" w:lineRule="atLeast"/>
    </w:pPr>
    <w:rPr>
      <w:rFonts w:eastAsia="Times New Roman" w:cs="Arial"/>
      <w:sz w:val="18"/>
    </w:rPr>
  </w:style>
  <w:style w:type="paragraph" w:customStyle="1" w:styleId="Tableheadingleft">
    <w:name w:val="Table heading left"/>
    <w:rsid w:val="00BF3BCB"/>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qFormat/>
    <w:rsid w:val="00BF3BCB"/>
    <w:pPr>
      <w:spacing w:before="60" w:after="60" w:line="240" w:lineRule="atLeast"/>
      <w:ind w:left="284" w:hanging="284"/>
    </w:pPr>
    <w:rPr>
      <w:rFonts w:eastAsia="Times New Roman"/>
    </w:rPr>
  </w:style>
  <w:style w:type="paragraph" w:styleId="CommentText">
    <w:name w:val="annotation text"/>
    <w:basedOn w:val="BodyText"/>
    <w:link w:val="CommentTextChar"/>
    <w:semiHidden/>
    <w:locked/>
    <w:rsid w:val="00BF3BCB"/>
  </w:style>
  <w:style w:type="paragraph" w:styleId="EndnoteText">
    <w:name w:val="endnote text"/>
    <w:basedOn w:val="BodyText"/>
    <w:semiHidden/>
    <w:locked/>
    <w:rsid w:val="00BF3BCB"/>
  </w:style>
  <w:style w:type="character" w:customStyle="1" w:styleId="Bodytextbold">
    <w:name w:val="Body text bold"/>
    <w:qFormat/>
    <w:rsid w:val="00BF3BCB"/>
    <w:rPr>
      <w:b/>
    </w:rPr>
  </w:style>
  <w:style w:type="character" w:customStyle="1" w:styleId="Bodytextitalic">
    <w:name w:val="Body text italic"/>
    <w:qFormat/>
    <w:rsid w:val="00BF3BCB"/>
    <w:rPr>
      <w:i/>
    </w:rPr>
  </w:style>
  <w:style w:type="character" w:customStyle="1" w:styleId="BodyTextChar">
    <w:name w:val="Body Text Char"/>
    <w:basedOn w:val="DefaultParagraphFont"/>
    <w:link w:val="BodyText"/>
    <w:rsid w:val="00BF3BCB"/>
    <w:rPr>
      <w:rFonts w:cs="Arial"/>
    </w:rPr>
  </w:style>
  <w:style w:type="character" w:customStyle="1" w:styleId="CommentTextChar">
    <w:name w:val="Comment Text Char"/>
    <w:basedOn w:val="BodyTextChar"/>
    <w:link w:val="CommentText"/>
    <w:semiHidden/>
    <w:rsid w:val="00BF3BCB"/>
    <w:rPr>
      <w:rFonts w:cs="Arial"/>
    </w:rPr>
  </w:style>
  <w:style w:type="paragraph" w:styleId="TOC1">
    <w:name w:val="toc 1"/>
    <w:basedOn w:val="BodyText"/>
    <w:next w:val="BodyText"/>
    <w:autoRedefine/>
    <w:uiPriority w:val="39"/>
    <w:qFormat/>
    <w:rsid w:val="00BF3BCB"/>
    <w:pPr>
      <w:tabs>
        <w:tab w:val="right" w:leader="dot" w:pos="9072"/>
      </w:tabs>
      <w:spacing w:before="120" w:after="0" w:line="200" w:lineRule="atLeast"/>
      <w:ind w:right="284"/>
    </w:pPr>
    <w:rPr>
      <w:noProof/>
    </w:rPr>
  </w:style>
  <w:style w:type="paragraph" w:styleId="TOC2">
    <w:name w:val="toc 2"/>
    <w:basedOn w:val="TOC1"/>
    <w:next w:val="BodyText"/>
    <w:autoRedefine/>
    <w:uiPriority w:val="39"/>
    <w:qFormat/>
    <w:rsid w:val="00DE1D52"/>
    <w:pPr>
      <w:spacing w:before="60"/>
      <w:ind w:left="142"/>
    </w:pPr>
  </w:style>
  <w:style w:type="paragraph" w:styleId="TOC3">
    <w:name w:val="toc 3"/>
    <w:basedOn w:val="TOC2"/>
    <w:next w:val="BodyText"/>
    <w:autoRedefine/>
    <w:uiPriority w:val="39"/>
    <w:qFormat/>
    <w:rsid w:val="00BF3BCB"/>
    <w:pPr>
      <w:ind w:left="284"/>
    </w:pPr>
  </w:style>
  <w:style w:type="paragraph" w:styleId="TOC4">
    <w:name w:val="toc 4"/>
    <w:basedOn w:val="TOC3"/>
    <w:next w:val="BodyText"/>
    <w:autoRedefine/>
    <w:uiPriority w:val="39"/>
    <w:qFormat/>
    <w:rsid w:val="00BF3BCB"/>
    <w:pPr>
      <w:ind w:left="425"/>
    </w:pPr>
  </w:style>
  <w:style w:type="paragraph" w:customStyle="1" w:styleId="BodyTextbeforeBullet">
    <w:name w:val="Body Text before Bullet"/>
    <w:basedOn w:val="BodyText"/>
    <w:next w:val="Bulletlevel1"/>
    <w:semiHidden/>
    <w:locked/>
    <w:rsid w:val="00BF3BCB"/>
    <w:pPr>
      <w:spacing w:after="0"/>
    </w:pPr>
  </w:style>
  <w:style w:type="paragraph" w:customStyle="1" w:styleId="Head1nonumbers">
    <w:name w:val="Head 1 no numbers"/>
    <w:next w:val="BodyText"/>
    <w:link w:val="Head1nonumbersChar"/>
    <w:qFormat/>
    <w:rsid w:val="00E94275"/>
    <w:pPr>
      <w:keepNext/>
      <w:keepLines/>
      <w:pageBreakBefore/>
      <w:spacing w:after="1080" w:line="240" w:lineRule="auto"/>
      <w:outlineLvl w:val="0"/>
    </w:pPr>
    <w:rPr>
      <w:rFonts w:cs="Arial"/>
      <w:kern w:val="28"/>
      <w:sz w:val="40"/>
    </w:rPr>
  </w:style>
  <w:style w:type="paragraph" w:customStyle="1" w:styleId="Figuresandimagesleft">
    <w:name w:val="Figures and images left"/>
    <w:basedOn w:val="BodyText"/>
    <w:next w:val="Captions"/>
    <w:link w:val="FiguresandimagesleftChar"/>
    <w:qFormat/>
    <w:rsid w:val="00BF3BCB"/>
    <w:pPr>
      <w:keepNext/>
      <w:spacing w:before="480" w:after="80" w:line="160" w:lineRule="atLeast"/>
    </w:pPr>
  </w:style>
  <w:style w:type="character" w:customStyle="1" w:styleId="FiguresandimagesleftChar">
    <w:name w:val="Figures and images left Char"/>
    <w:basedOn w:val="BodyTextChar"/>
    <w:link w:val="Figuresandimagesleft"/>
    <w:rsid w:val="00BF3BCB"/>
    <w:rPr>
      <w:rFonts w:cs="Arial"/>
    </w:rPr>
  </w:style>
  <w:style w:type="character" w:styleId="Hyperlink">
    <w:name w:val="Hyperlink"/>
    <w:uiPriority w:val="99"/>
    <w:qFormat/>
    <w:rsid w:val="00DA5E69"/>
    <w:rPr>
      <w:color w:val="0000FF"/>
    </w:rPr>
  </w:style>
  <w:style w:type="paragraph" w:styleId="TOC5">
    <w:name w:val="toc 5"/>
    <w:basedOn w:val="TOC4"/>
    <w:next w:val="BodyText"/>
    <w:autoRedefine/>
    <w:uiPriority w:val="39"/>
    <w:qFormat/>
    <w:rsid w:val="00BF3BCB"/>
    <w:pPr>
      <w:ind w:left="567"/>
    </w:pPr>
  </w:style>
  <w:style w:type="paragraph" w:customStyle="1" w:styleId="Versopageinfo">
    <w:name w:val="Verso page info"/>
    <w:basedOn w:val="BodyText"/>
    <w:link w:val="VersopageinfoChar"/>
    <w:qFormat/>
    <w:rsid w:val="00BF3BCB"/>
    <w:pPr>
      <w:spacing w:before="0"/>
    </w:pPr>
  </w:style>
  <w:style w:type="character" w:customStyle="1" w:styleId="Heading6Char">
    <w:name w:val="Heading 6 Char"/>
    <w:basedOn w:val="BodyTextChar"/>
    <w:link w:val="Heading6"/>
    <w:semiHidden/>
    <w:rsid w:val="00BF3BCB"/>
    <w:rPr>
      <w:rFonts w:cs="Arial"/>
      <w:b/>
      <w:kern w:val="28"/>
      <w:szCs w:val="30"/>
    </w:rPr>
  </w:style>
  <w:style w:type="character" w:customStyle="1" w:styleId="VersopageinfoChar">
    <w:name w:val="Verso page info Char"/>
    <w:basedOn w:val="BodyTextChar"/>
    <w:link w:val="Versopageinfo"/>
    <w:rsid w:val="00BF3BCB"/>
    <w:rPr>
      <w:rFonts w:cs="Arial"/>
    </w:rPr>
  </w:style>
  <w:style w:type="character" w:customStyle="1" w:styleId="Bulletlevel1Char">
    <w:name w:val="Bullet level 1 Char"/>
    <w:basedOn w:val="BodyTextChar"/>
    <w:link w:val="Bulletlevel1"/>
    <w:rsid w:val="00BF3BCB"/>
    <w:rPr>
      <w:rFonts w:eastAsia="Times New Roman" w:cs="Arial"/>
    </w:rPr>
  </w:style>
  <w:style w:type="character" w:customStyle="1" w:styleId="Hyperlinkprint">
    <w:name w:val="Hyperlink print"/>
    <w:basedOn w:val="Hyperlink"/>
    <w:qFormat/>
    <w:rsid w:val="00BF3BCB"/>
    <w:rPr>
      <w:color w:val="auto"/>
    </w:rPr>
  </w:style>
  <w:style w:type="paragraph" w:styleId="TOCHeading">
    <w:name w:val="TOC Heading"/>
    <w:next w:val="Normal"/>
    <w:qFormat/>
    <w:rsid w:val="00BF3BCB"/>
    <w:pPr>
      <w:pageBreakBefore/>
      <w:spacing w:after="960" w:line="240" w:lineRule="auto"/>
    </w:pPr>
    <w:rPr>
      <w:rFonts w:eastAsia="Times New Roman"/>
      <w:sz w:val="40"/>
    </w:rPr>
  </w:style>
  <w:style w:type="paragraph" w:styleId="Closing">
    <w:name w:val="Closing"/>
    <w:basedOn w:val="BodyText"/>
    <w:next w:val="BodyText"/>
    <w:semiHidden/>
    <w:locked/>
    <w:rsid w:val="00BF3BCB"/>
    <w:pPr>
      <w:ind w:left="4252"/>
    </w:pPr>
  </w:style>
  <w:style w:type="paragraph" w:styleId="Date">
    <w:name w:val="Date"/>
    <w:basedOn w:val="BodyText"/>
    <w:next w:val="BodyText"/>
    <w:semiHidden/>
    <w:locked/>
    <w:rsid w:val="00BF3BCB"/>
  </w:style>
  <w:style w:type="paragraph" w:styleId="E-mailSignature">
    <w:name w:val="E-mail Signature"/>
    <w:basedOn w:val="BodyText"/>
    <w:next w:val="BodyText"/>
    <w:semiHidden/>
    <w:locked/>
    <w:rsid w:val="00BF3BCB"/>
  </w:style>
  <w:style w:type="paragraph" w:styleId="EnvelopeAddress">
    <w:name w:val="envelope address"/>
    <w:basedOn w:val="BodyText"/>
    <w:next w:val="BodyText"/>
    <w:semiHidden/>
    <w:locked/>
    <w:rsid w:val="00BF3BCB"/>
    <w:pPr>
      <w:framePr w:w="7920" w:h="1980" w:hRule="exact" w:hSpace="180" w:wrap="auto" w:hAnchor="page" w:xAlign="center" w:yAlign="bottom"/>
      <w:ind w:left="2880"/>
    </w:pPr>
    <w:rPr>
      <w:sz w:val="24"/>
      <w:szCs w:val="24"/>
    </w:rPr>
  </w:style>
  <w:style w:type="paragraph" w:styleId="EnvelopeReturn">
    <w:name w:val="envelope return"/>
    <w:basedOn w:val="BodyText"/>
    <w:next w:val="BodyText"/>
    <w:semiHidden/>
    <w:locked/>
    <w:rsid w:val="00BF3BCB"/>
  </w:style>
  <w:style w:type="character" w:styleId="FollowedHyperlink">
    <w:name w:val="FollowedHyperlink"/>
    <w:basedOn w:val="Hyperlink"/>
    <w:rsid w:val="00BF3BCB"/>
    <w:rPr>
      <w:color w:val="0000FF"/>
    </w:rPr>
  </w:style>
  <w:style w:type="paragraph" w:styleId="HTMLAddress">
    <w:name w:val="HTML Address"/>
    <w:basedOn w:val="BodyText"/>
    <w:next w:val="BodyText"/>
    <w:semiHidden/>
    <w:locked/>
    <w:rsid w:val="00BF3BCB"/>
    <w:rPr>
      <w:iCs/>
    </w:rPr>
  </w:style>
  <w:style w:type="paragraph" w:styleId="HTMLPreformatted">
    <w:name w:val="HTML Preformatted"/>
    <w:basedOn w:val="BodyText"/>
    <w:next w:val="BodyText"/>
    <w:semiHidden/>
    <w:locked/>
    <w:rsid w:val="00BF3BCB"/>
    <w:rPr>
      <w:rFonts w:ascii="Courier New" w:hAnsi="Courier New" w:cs="Courier New"/>
    </w:rPr>
  </w:style>
  <w:style w:type="paragraph" w:styleId="List">
    <w:name w:val="List"/>
    <w:basedOn w:val="BodyText"/>
    <w:next w:val="BodyText"/>
    <w:semiHidden/>
    <w:locked/>
    <w:rsid w:val="00BF3BCB"/>
    <w:pPr>
      <w:ind w:left="283" w:hanging="283"/>
    </w:pPr>
  </w:style>
  <w:style w:type="paragraph" w:styleId="List2">
    <w:name w:val="List 2"/>
    <w:basedOn w:val="List"/>
    <w:next w:val="BodyText"/>
    <w:semiHidden/>
    <w:locked/>
    <w:rsid w:val="00BF3BCB"/>
    <w:pPr>
      <w:ind w:left="566"/>
    </w:pPr>
  </w:style>
  <w:style w:type="paragraph" w:styleId="List3">
    <w:name w:val="List 3"/>
    <w:basedOn w:val="List2"/>
    <w:next w:val="BodyText"/>
    <w:semiHidden/>
    <w:locked/>
    <w:rsid w:val="00BF3BCB"/>
    <w:pPr>
      <w:ind w:left="849"/>
    </w:pPr>
  </w:style>
  <w:style w:type="paragraph" w:styleId="List4">
    <w:name w:val="List 4"/>
    <w:basedOn w:val="List3"/>
    <w:next w:val="BodyText"/>
    <w:semiHidden/>
    <w:locked/>
    <w:rsid w:val="00BF3BCB"/>
    <w:pPr>
      <w:ind w:left="1132"/>
    </w:pPr>
  </w:style>
  <w:style w:type="paragraph" w:styleId="List5">
    <w:name w:val="List 5"/>
    <w:basedOn w:val="List4"/>
    <w:next w:val="BodyText"/>
    <w:semiHidden/>
    <w:locked/>
    <w:rsid w:val="00BF3BCB"/>
    <w:pPr>
      <w:ind w:left="1415"/>
    </w:pPr>
  </w:style>
  <w:style w:type="paragraph" w:styleId="ListBullet">
    <w:name w:val="List Bullet"/>
    <w:basedOn w:val="BodyText"/>
    <w:next w:val="BodyText"/>
    <w:semiHidden/>
    <w:locked/>
    <w:rsid w:val="00BF3BCB"/>
    <w:pPr>
      <w:numPr>
        <w:numId w:val="13"/>
      </w:numPr>
    </w:pPr>
  </w:style>
  <w:style w:type="paragraph" w:styleId="ListBullet2">
    <w:name w:val="List Bullet 2"/>
    <w:basedOn w:val="ListBullet"/>
    <w:next w:val="BodyText"/>
    <w:semiHidden/>
    <w:locked/>
    <w:rsid w:val="00BF3BCB"/>
    <w:pPr>
      <w:numPr>
        <w:numId w:val="14"/>
      </w:numPr>
    </w:pPr>
  </w:style>
  <w:style w:type="paragraph" w:styleId="ListBullet3">
    <w:name w:val="List Bullet 3"/>
    <w:basedOn w:val="ListBullet2"/>
    <w:next w:val="BodyText"/>
    <w:semiHidden/>
    <w:locked/>
    <w:rsid w:val="00BF3BCB"/>
    <w:pPr>
      <w:numPr>
        <w:numId w:val="15"/>
      </w:numPr>
    </w:pPr>
  </w:style>
  <w:style w:type="paragraph" w:styleId="ListBullet4">
    <w:name w:val="List Bullet 4"/>
    <w:basedOn w:val="ListBullet3"/>
    <w:next w:val="BodyText"/>
    <w:semiHidden/>
    <w:locked/>
    <w:rsid w:val="00BF3BCB"/>
    <w:pPr>
      <w:numPr>
        <w:numId w:val="16"/>
      </w:numPr>
    </w:pPr>
  </w:style>
  <w:style w:type="paragraph" w:styleId="ListBullet5">
    <w:name w:val="List Bullet 5"/>
    <w:basedOn w:val="ListBullet4"/>
    <w:next w:val="BodyText"/>
    <w:semiHidden/>
    <w:locked/>
    <w:rsid w:val="00BF3BCB"/>
    <w:pPr>
      <w:numPr>
        <w:numId w:val="17"/>
      </w:numPr>
    </w:pPr>
  </w:style>
  <w:style w:type="paragraph" w:styleId="ListContinue">
    <w:name w:val="List Continue"/>
    <w:basedOn w:val="BodyText"/>
    <w:next w:val="BodyText"/>
    <w:semiHidden/>
    <w:locked/>
    <w:rsid w:val="00BF3BCB"/>
    <w:pPr>
      <w:ind w:left="283"/>
    </w:pPr>
  </w:style>
  <w:style w:type="paragraph" w:styleId="ListContinue2">
    <w:name w:val="List Continue 2"/>
    <w:basedOn w:val="ListContinue"/>
    <w:next w:val="BodyText"/>
    <w:semiHidden/>
    <w:locked/>
    <w:rsid w:val="00BF3BCB"/>
    <w:pPr>
      <w:ind w:left="566"/>
    </w:pPr>
  </w:style>
  <w:style w:type="paragraph" w:styleId="ListContinue3">
    <w:name w:val="List Continue 3"/>
    <w:basedOn w:val="ListContinue2"/>
    <w:next w:val="BodyText"/>
    <w:semiHidden/>
    <w:locked/>
    <w:rsid w:val="00BF3BCB"/>
    <w:pPr>
      <w:ind w:left="849"/>
    </w:pPr>
  </w:style>
  <w:style w:type="paragraph" w:styleId="ListContinue4">
    <w:name w:val="List Continue 4"/>
    <w:basedOn w:val="ListContinue3"/>
    <w:next w:val="BodyText"/>
    <w:semiHidden/>
    <w:locked/>
    <w:rsid w:val="00BF3BCB"/>
    <w:pPr>
      <w:ind w:left="1132"/>
    </w:pPr>
  </w:style>
  <w:style w:type="paragraph" w:styleId="ListContinue5">
    <w:name w:val="List Continue 5"/>
    <w:basedOn w:val="ListContinue4"/>
    <w:next w:val="BodyText"/>
    <w:semiHidden/>
    <w:locked/>
    <w:rsid w:val="00BF3BCB"/>
    <w:pPr>
      <w:ind w:left="1415"/>
    </w:pPr>
  </w:style>
  <w:style w:type="paragraph" w:styleId="ListNumber">
    <w:name w:val="List Number"/>
    <w:basedOn w:val="BodyText"/>
    <w:next w:val="BodyText"/>
    <w:semiHidden/>
    <w:locked/>
    <w:rsid w:val="00BF3BCB"/>
    <w:pPr>
      <w:numPr>
        <w:numId w:val="18"/>
      </w:numPr>
    </w:pPr>
  </w:style>
  <w:style w:type="paragraph" w:styleId="ListNumber2">
    <w:name w:val="List Number 2"/>
    <w:basedOn w:val="ListNumber"/>
    <w:next w:val="BodyText"/>
    <w:semiHidden/>
    <w:locked/>
    <w:rsid w:val="00BF3BCB"/>
    <w:pPr>
      <w:numPr>
        <w:numId w:val="19"/>
      </w:numPr>
    </w:pPr>
  </w:style>
  <w:style w:type="paragraph" w:styleId="ListNumber3">
    <w:name w:val="List Number 3"/>
    <w:basedOn w:val="ListNumber2"/>
    <w:next w:val="BodyText"/>
    <w:semiHidden/>
    <w:locked/>
    <w:rsid w:val="00BF3BCB"/>
    <w:pPr>
      <w:numPr>
        <w:numId w:val="20"/>
      </w:numPr>
    </w:pPr>
  </w:style>
  <w:style w:type="paragraph" w:styleId="ListNumber4">
    <w:name w:val="List Number 4"/>
    <w:basedOn w:val="ListNumber3"/>
    <w:next w:val="BodyText"/>
    <w:semiHidden/>
    <w:locked/>
    <w:rsid w:val="00BF3BCB"/>
    <w:pPr>
      <w:numPr>
        <w:numId w:val="21"/>
      </w:numPr>
    </w:pPr>
  </w:style>
  <w:style w:type="paragraph" w:styleId="ListNumber5">
    <w:name w:val="List Number 5"/>
    <w:basedOn w:val="ListNumber4"/>
    <w:next w:val="BodyText"/>
    <w:semiHidden/>
    <w:locked/>
    <w:rsid w:val="00BF3BCB"/>
    <w:pPr>
      <w:numPr>
        <w:numId w:val="22"/>
      </w:numPr>
    </w:pPr>
  </w:style>
  <w:style w:type="paragraph" w:styleId="MessageHeader">
    <w:name w:val="Message Header"/>
    <w:basedOn w:val="BodyText"/>
    <w:semiHidden/>
    <w:locked/>
    <w:rsid w:val="00BF3BCB"/>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rPr>
  </w:style>
  <w:style w:type="paragraph" w:styleId="NormalIndent">
    <w:name w:val="Normal Indent"/>
    <w:basedOn w:val="BodyText"/>
    <w:next w:val="BodyText"/>
    <w:semiHidden/>
    <w:locked/>
    <w:rsid w:val="00BF3BCB"/>
    <w:pPr>
      <w:ind w:left="720"/>
    </w:pPr>
  </w:style>
  <w:style w:type="paragraph" w:styleId="NoteHeading">
    <w:name w:val="Note Heading"/>
    <w:basedOn w:val="BodyText"/>
    <w:next w:val="BodyText"/>
    <w:semiHidden/>
    <w:locked/>
    <w:rsid w:val="00BF3BCB"/>
  </w:style>
  <w:style w:type="character" w:styleId="PageNumber">
    <w:name w:val="page number"/>
    <w:basedOn w:val="DefaultParagraphFont"/>
    <w:semiHidden/>
    <w:locked/>
    <w:rsid w:val="00BF3BCB"/>
    <w:rPr>
      <w:rFonts w:ascii="Arial Bold" w:hAnsi="Arial Bold"/>
      <w:b/>
      <w:i w:val="0"/>
      <w:caps w:val="0"/>
      <w:smallCaps w:val="0"/>
      <w:strike w:val="0"/>
      <w:dstrike w:val="0"/>
      <w:vanish w:val="0"/>
      <w:color w:val="auto"/>
      <w:spacing w:val="0"/>
      <w:w w:val="100"/>
      <w:position w:val="0"/>
      <w:sz w:val="16"/>
      <w:vertAlign w:val="baseline"/>
    </w:rPr>
  </w:style>
  <w:style w:type="paragraph" w:styleId="PlainText">
    <w:name w:val="Plain Text"/>
    <w:basedOn w:val="BodyText"/>
    <w:semiHidden/>
    <w:locked/>
    <w:rsid w:val="00BF3BCB"/>
    <w:rPr>
      <w:rFonts w:ascii="Courier New" w:hAnsi="Courier New" w:cs="Courier New"/>
    </w:rPr>
  </w:style>
  <w:style w:type="paragraph" w:styleId="Salutation">
    <w:name w:val="Salutation"/>
    <w:basedOn w:val="BodyText"/>
    <w:next w:val="BodyText"/>
    <w:semiHidden/>
    <w:locked/>
    <w:rsid w:val="00BF3BCB"/>
  </w:style>
  <w:style w:type="paragraph" w:styleId="Signature">
    <w:name w:val="Signature"/>
    <w:basedOn w:val="BodyText"/>
    <w:next w:val="BodyText"/>
    <w:semiHidden/>
    <w:locked/>
    <w:rsid w:val="00BF3BCB"/>
    <w:pPr>
      <w:ind w:left="4252"/>
    </w:pPr>
  </w:style>
  <w:style w:type="paragraph" w:styleId="Subtitle">
    <w:name w:val="Subtitle"/>
    <w:aliases w:val="S-DO NOT USE"/>
    <w:basedOn w:val="Title"/>
    <w:next w:val="BodyText"/>
    <w:semiHidden/>
    <w:qFormat/>
    <w:locked/>
    <w:rsid w:val="00BF3BCB"/>
  </w:style>
  <w:style w:type="table" w:styleId="Table3Deffects1">
    <w:name w:val="Table 3D effects 1"/>
    <w:basedOn w:val="TableNormal"/>
    <w:semiHidden/>
    <w:locked/>
    <w:rsid w:val="00BF3BCB"/>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basedOn w:val="BodyText"/>
    <w:next w:val="BodyText"/>
    <w:semiHidden/>
    <w:locked/>
    <w:rsid w:val="00BF3BCB"/>
  </w:style>
  <w:style w:type="character" w:customStyle="1" w:styleId="Heading1Char">
    <w:name w:val="Heading 1 Char"/>
    <w:basedOn w:val="DefaultParagraphFont"/>
    <w:link w:val="Heading1"/>
    <w:rsid w:val="00FE03DD"/>
    <w:rPr>
      <w:rFonts w:cs="Arial"/>
      <w:kern w:val="28"/>
      <w:sz w:val="40"/>
    </w:rPr>
  </w:style>
  <w:style w:type="character" w:customStyle="1" w:styleId="Head1nonumbersChar">
    <w:name w:val="Head 1 no numbers Char"/>
    <w:basedOn w:val="Heading1Char"/>
    <w:link w:val="Head1nonumbers"/>
    <w:rsid w:val="00E94275"/>
    <w:rPr>
      <w:rFonts w:cs="Arial"/>
      <w:kern w:val="28"/>
      <w:sz w:val="40"/>
    </w:rPr>
  </w:style>
  <w:style w:type="paragraph" w:customStyle="1" w:styleId="Head2nonumbers">
    <w:name w:val="Head 2 no numbers"/>
    <w:basedOn w:val="Head1nonumbers"/>
    <w:next w:val="BodyText"/>
    <w:link w:val="Head2nonumbersChar"/>
    <w:qFormat/>
    <w:rsid w:val="00E94275"/>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BF3BCB"/>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BF3BCB"/>
    <w:pPr>
      <w:numPr>
        <w:ilvl w:val="3"/>
      </w:numPr>
      <w:spacing w:before="180"/>
      <w:outlineLvl w:val="3"/>
    </w:pPr>
    <w:rPr>
      <w:i/>
      <w:sz w:val="22"/>
      <w:szCs w:val="22"/>
    </w:rPr>
  </w:style>
  <w:style w:type="paragraph" w:customStyle="1" w:styleId="Head5nonumbers">
    <w:name w:val="Head 5 no numbers"/>
    <w:basedOn w:val="Head4nonumbers"/>
    <w:next w:val="BodyText"/>
    <w:qFormat/>
    <w:rsid w:val="00BF3BCB"/>
    <w:pPr>
      <w:numPr>
        <w:ilvl w:val="4"/>
      </w:numPr>
      <w:outlineLvl w:val="4"/>
    </w:pPr>
    <w:rPr>
      <w:b w:val="0"/>
    </w:rPr>
  </w:style>
  <w:style w:type="character" w:customStyle="1" w:styleId="Heading2Char">
    <w:name w:val="Heading 2 Char"/>
    <w:basedOn w:val="Heading1Char"/>
    <w:link w:val="Heading2"/>
    <w:rsid w:val="00FE03DD"/>
    <w:rPr>
      <w:rFonts w:cs="Arial"/>
      <w:kern w:val="28"/>
      <w:sz w:val="30"/>
      <w:szCs w:val="30"/>
    </w:rPr>
  </w:style>
  <w:style w:type="character" w:customStyle="1" w:styleId="Head2nonumbersChar">
    <w:name w:val="Head 2 no numbers Char"/>
    <w:basedOn w:val="Head1nonumbersChar"/>
    <w:link w:val="Head2nonumbers"/>
    <w:rsid w:val="00E94275"/>
    <w:rPr>
      <w:rFonts w:cs="Arial"/>
      <w:kern w:val="28"/>
      <w:sz w:val="30"/>
      <w:szCs w:val="28"/>
    </w:rPr>
  </w:style>
  <w:style w:type="character" w:customStyle="1" w:styleId="Head3nonumbersChar">
    <w:name w:val="Head 3 no numbers Char"/>
    <w:basedOn w:val="Head2nonumbersChar"/>
    <w:link w:val="Head3nonumbers"/>
    <w:rsid w:val="00BF3BCB"/>
    <w:rPr>
      <w:rFonts w:cs="Lucida Sans Unicode"/>
      <w:b/>
      <w:kern w:val="28"/>
      <w:sz w:val="24"/>
      <w:szCs w:val="24"/>
    </w:rPr>
  </w:style>
  <w:style w:type="character" w:customStyle="1" w:styleId="Heading3Char">
    <w:name w:val="Heading 3 Char"/>
    <w:basedOn w:val="Heading2Char"/>
    <w:link w:val="Heading3"/>
    <w:rsid w:val="00FE03DD"/>
    <w:rPr>
      <w:rFonts w:cs="Arial"/>
      <w:b/>
      <w:kern w:val="28"/>
      <w:sz w:val="24"/>
      <w:szCs w:val="30"/>
    </w:rPr>
  </w:style>
  <w:style w:type="character" w:customStyle="1" w:styleId="Heading4Char">
    <w:name w:val="Heading 4 Char"/>
    <w:basedOn w:val="Heading3Char"/>
    <w:link w:val="Heading4"/>
    <w:rsid w:val="000067F7"/>
    <w:rPr>
      <w:rFonts w:cs="Arial"/>
      <w:b/>
      <w:i/>
      <w:kern w:val="28"/>
      <w:sz w:val="22"/>
      <w:szCs w:val="30"/>
    </w:rPr>
  </w:style>
  <w:style w:type="character" w:customStyle="1" w:styleId="Head4nonumbersChar">
    <w:name w:val="Head 4 no numbers Char"/>
    <w:basedOn w:val="Heading4Char"/>
    <w:link w:val="Head4nonumbers"/>
    <w:rsid w:val="00BF3BCB"/>
    <w:rPr>
      <w:rFonts w:cs="Lucida Sans Unicode"/>
      <w:b/>
      <w:i/>
      <w:kern w:val="28"/>
      <w:sz w:val="22"/>
      <w:szCs w:val="22"/>
    </w:rPr>
  </w:style>
  <w:style w:type="paragraph" w:styleId="TOC6">
    <w:name w:val="toc 6"/>
    <w:basedOn w:val="Normal"/>
    <w:next w:val="Normal"/>
    <w:autoRedefine/>
    <w:uiPriority w:val="39"/>
    <w:locked/>
    <w:rsid w:val="00BF3BCB"/>
    <w:pPr>
      <w:ind w:left="1050"/>
    </w:pPr>
  </w:style>
  <w:style w:type="paragraph" w:customStyle="1" w:styleId="Bulletlevel1numbered">
    <w:name w:val="Bullet level 1 numbered"/>
    <w:basedOn w:val="BodyText"/>
    <w:link w:val="Bulletlevel1numberedChar"/>
    <w:qFormat/>
    <w:rsid w:val="00BF3BCB"/>
    <w:pPr>
      <w:numPr>
        <w:numId w:val="6"/>
      </w:numPr>
      <w:spacing w:before="60" w:after="60"/>
    </w:pPr>
    <w:rPr>
      <w:rFonts w:eastAsia="Times New Roman"/>
    </w:rPr>
  </w:style>
  <w:style w:type="character" w:customStyle="1" w:styleId="Bulletlevel1numberedChar">
    <w:name w:val="Bullet level 1 numbered Char"/>
    <w:basedOn w:val="Bulletlevel1Char"/>
    <w:link w:val="Bulletlevel1numbered"/>
    <w:rsid w:val="00BF3BCB"/>
    <w:rPr>
      <w:rFonts w:eastAsia="Times New Roman" w:cs="Arial"/>
    </w:rPr>
  </w:style>
  <w:style w:type="paragraph" w:customStyle="1" w:styleId="Bulletlevel2numbered">
    <w:name w:val="Bullet level 2 numbered"/>
    <w:basedOn w:val="Bulletlevel1numbered"/>
    <w:qFormat/>
    <w:rsid w:val="00BF3BCB"/>
    <w:pPr>
      <w:numPr>
        <w:ilvl w:val="1"/>
      </w:numPr>
    </w:pPr>
    <w:rPr>
      <w:rFonts w:eastAsia="Times"/>
    </w:rPr>
  </w:style>
  <w:style w:type="paragraph" w:styleId="TableofFigures">
    <w:name w:val="table of figures"/>
    <w:basedOn w:val="TOC1"/>
    <w:next w:val="BodyText"/>
    <w:uiPriority w:val="99"/>
    <w:qFormat/>
    <w:rsid w:val="00BF3BCB"/>
  </w:style>
  <w:style w:type="numbering" w:styleId="111111">
    <w:name w:val="Outline List 2"/>
    <w:basedOn w:val="NoList"/>
    <w:semiHidden/>
    <w:locked/>
    <w:rsid w:val="00BF3BCB"/>
    <w:pPr>
      <w:numPr>
        <w:numId w:val="2"/>
      </w:numPr>
    </w:pPr>
  </w:style>
  <w:style w:type="numbering" w:styleId="1ai">
    <w:name w:val="Outline List 1"/>
    <w:basedOn w:val="NoList"/>
    <w:semiHidden/>
    <w:locked/>
    <w:rsid w:val="000067F7"/>
    <w:pPr>
      <w:numPr>
        <w:numId w:val="3"/>
      </w:numPr>
    </w:pPr>
  </w:style>
  <w:style w:type="numbering" w:styleId="ArticleSection">
    <w:name w:val="Outline List 3"/>
    <w:basedOn w:val="NoList"/>
    <w:semiHidden/>
    <w:locked/>
    <w:rsid w:val="00BF3BCB"/>
    <w:pPr>
      <w:numPr>
        <w:numId w:val="4"/>
      </w:numPr>
    </w:pPr>
  </w:style>
  <w:style w:type="character" w:styleId="HTMLAcronym">
    <w:name w:val="HTML Acronym"/>
    <w:basedOn w:val="DefaultParagraphFont"/>
    <w:semiHidden/>
    <w:locked/>
    <w:rsid w:val="00BF3BCB"/>
  </w:style>
  <w:style w:type="character" w:styleId="HTMLCite">
    <w:name w:val="HTML Cite"/>
    <w:basedOn w:val="DefaultParagraphFont"/>
    <w:semiHidden/>
    <w:locked/>
    <w:rsid w:val="00BF3BCB"/>
    <w:rPr>
      <w:i/>
      <w:iCs/>
    </w:rPr>
  </w:style>
  <w:style w:type="character" w:styleId="HTMLCode">
    <w:name w:val="HTML Code"/>
    <w:basedOn w:val="DefaultParagraphFont"/>
    <w:semiHidden/>
    <w:locked/>
    <w:rsid w:val="00BF3BCB"/>
    <w:rPr>
      <w:rFonts w:ascii="Courier New" w:hAnsi="Courier New" w:cs="Courier New"/>
      <w:sz w:val="20"/>
      <w:szCs w:val="20"/>
    </w:rPr>
  </w:style>
  <w:style w:type="character" w:styleId="HTMLDefinition">
    <w:name w:val="HTML Definition"/>
    <w:basedOn w:val="DefaultParagraphFont"/>
    <w:semiHidden/>
    <w:locked/>
    <w:rsid w:val="00BF3BCB"/>
    <w:rPr>
      <w:i/>
      <w:iCs/>
    </w:rPr>
  </w:style>
  <w:style w:type="character" w:styleId="HTMLKeyboard">
    <w:name w:val="HTML Keyboard"/>
    <w:basedOn w:val="DefaultParagraphFont"/>
    <w:semiHidden/>
    <w:locked/>
    <w:rsid w:val="00BF3BCB"/>
    <w:rPr>
      <w:rFonts w:ascii="Courier New" w:hAnsi="Courier New" w:cs="Courier New"/>
      <w:sz w:val="20"/>
      <w:szCs w:val="20"/>
    </w:rPr>
  </w:style>
  <w:style w:type="character" w:styleId="HTMLSample">
    <w:name w:val="HTML Sample"/>
    <w:basedOn w:val="DefaultParagraphFont"/>
    <w:semiHidden/>
    <w:locked/>
    <w:rsid w:val="00BF3BCB"/>
    <w:rPr>
      <w:rFonts w:ascii="Courier New" w:hAnsi="Courier New" w:cs="Courier New"/>
    </w:rPr>
  </w:style>
  <w:style w:type="character" w:styleId="HTMLTypewriter">
    <w:name w:val="HTML Typewriter"/>
    <w:basedOn w:val="DefaultParagraphFont"/>
    <w:semiHidden/>
    <w:locked/>
    <w:rsid w:val="00BF3BCB"/>
    <w:rPr>
      <w:rFonts w:ascii="Courier New" w:hAnsi="Courier New" w:cs="Courier New"/>
      <w:sz w:val="20"/>
      <w:szCs w:val="20"/>
    </w:rPr>
  </w:style>
  <w:style w:type="character" w:styleId="HTMLVariable">
    <w:name w:val="HTML Variable"/>
    <w:basedOn w:val="DefaultParagraphFont"/>
    <w:semiHidden/>
    <w:locked/>
    <w:rsid w:val="00BF3BCB"/>
    <w:rPr>
      <w:i/>
      <w:iCs/>
    </w:rPr>
  </w:style>
  <w:style w:type="character" w:styleId="LineNumber">
    <w:name w:val="line number"/>
    <w:basedOn w:val="DefaultParagraphFont"/>
    <w:semiHidden/>
    <w:locked/>
    <w:rsid w:val="00BF3BCB"/>
  </w:style>
  <w:style w:type="table" w:styleId="Table3Deffects2">
    <w:name w:val="Table 3D effects 2"/>
    <w:basedOn w:val="TableNormal"/>
    <w:semiHidden/>
    <w:locked/>
    <w:rsid w:val="00BF3BCB"/>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BF3BCB"/>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BF3BCB"/>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BF3BCB"/>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BF3BCB"/>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BF3BCB"/>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BF3BCB"/>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BF3BCB"/>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BF3BCB"/>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BF3BCB"/>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BF3BCB"/>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BF3BCB"/>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BF3BCB"/>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BF3BCB"/>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BF3BCB"/>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BF3BCB"/>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BF3BC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BF3BCB"/>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BF3BCB"/>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BF3BCB"/>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BF3BCB"/>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BF3BCB"/>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BF3BCB"/>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BF3BCB"/>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BF3BCB"/>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BF3BCB"/>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BF3BCB"/>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BF3BCB"/>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BF3BCB"/>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BF3BCB"/>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BF3BCB"/>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BF3BCB"/>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BF3BCB"/>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BF3BCB"/>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BF3BCB"/>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BF3BCB"/>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BF3BCB"/>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BF3BCB"/>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BF3BCB"/>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BF3BC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BF3BCB"/>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BF3BC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BF3BCB"/>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BF3BCB"/>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BF3BCB"/>
    <w:rPr>
      <w:position w:val="0"/>
      <w:vertAlign w:val="superscript"/>
    </w:rPr>
  </w:style>
  <w:style w:type="character" w:customStyle="1" w:styleId="Subscript">
    <w:name w:val="Subscript"/>
    <w:basedOn w:val="DefaultParagraphFont"/>
    <w:qFormat/>
    <w:rsid w:val="00BF3BCB"/>
    <w:rPr>
      <w:position w:val="-2"/>
      <w:vertAlign w:val="subscript"/>
    </w:rPr>
  </w:style>
  <w:style w:type="paragraph" w:styleId="BalloonText">
    <w:name w:val="Balloon Text"/>
    <w:basedOn w:val="Normal"/>
    <w:link w:val="BalloonTextChar"/>
    <w:semiHidden/>
    <w:locked/>
    <w:rsid w:val="00BF3BCB"/>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BF3BCB"/>
    <w:rPr>
      <w:rFonts w:ascii="Tahoma" w:hAnsi="Tahoma" w:cs="Tahoma"/>
      <w:sz w:val="16"/>
      <w:szCs w:val="16"/>
    </w:rPr>
  </w:style>
  <w:style w:type="character" w:customStyle="1" w:styleId="FooterChar">
    <w:name w:val="Footer Char"/>
    <w:basedOn w:val="DefaultParagraphFont"/>
    <w:link w:val="Footer"/>
    <w:rsid w:val="00BF3BCB"/>
    <w:rPr>
      <w:rFonts w:ascii="Arial Bold" w:hAnsi="Arial Bold" w:cs="Arial"/>
      <w:b/>
      <w:sz w:val="16"/>
      <w:szCs w:val="16"/>
    </w:rPr>
  </w:style>
  <w:style w:type="table" w:styleId="LightShading-Accent5">
    <w:name w:val="Light Shading Accent 5"/>
    <w:basedOn w:val="TableNormal"/>
    <w:uiPriority w:val="60"/>
    <w:locked/>
    <w:rsid w:val="00BF3BCB"/>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BF3BCB"/>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BF3BCB"/>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BF3BCB"/>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BF3BCB"/>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BF3BCB"/>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BF3BCB"/>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BF3BCB"/>
    <w:pPr>
      <w:spacing w:before="0" w:after="600"/>
      <w:outlineLvl w:val="1"/>
    </w:pPr>
    <w:rPr>
      <w:sz w:val="32"/>
      <w:szCs w:val="36"/>
    </w:rPr>
  </w:style>
  <w:style w:type="character" w:customStyle="1" w:styleId="DocumentsubtitleChar">
    <w:name w:val="Document subtitle Char"/>
    <w:basedOn w:val="DefaultParagraphFont"/>
    <w:link w:val="Documentsubtitle"/>
    <w:rsid w:val="00BF3BCB"/>
    <w:rPr>
      <w:rFonts w:eastAsia="Times New Roman"/>
      <w:sz w:val="32"/>
      <w:szCs w:val="36"/>
    </w:rPr>
  </w:style>
  <w:style w:type="paragraph" w:styleId="Bibliography">
    <w:name w:val="Bibliography"/>
    <w:basedOn w:val="Normal"/>
    <w:next w:val="Normal"/>
    <w:uiPriority w:val="37"/>
    <w:unhideWhenUsed/>
    <w:locked/>
    <w:rsid w:val="00BF3BCB"/>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Normal"/>
    <w:qFormat/>
    <w:rsid w:val="00BF3BCB"/>
    <w:pPr>
      <w:spacing w:before="120" w:after="480" w:line="200" w:lineRule="atLeast"/>
    </w:pPr>
    <w:rPr>
      <w:rFonts w:eastAsia="Times New Roman" w:cs="Arial"/>
      <w:i/>
      <w:sz w:val="18"/>
      <w:szCs w:val="18"/>
    </w:rPr>
  </w:style>
  <w:style w:type="paragraph" w:styleId="CommentSubject">
    <w:name w:val="annotation subject"/>
    <w:basedOn w:val="CommentText"/>
    <w:next w:val="CommentText"/>
    <w:link w:val="CommentSubjectChar"/>
    <w:semiHidden/>
    <w:locked/>
    <w:rsid w:val="00BF3BCB"/>
    <w:pPr>
      <w:spacing w:before="120" w:after="120" w:line="240" w:lineRule="auto"/>
    </w:pPr>
    <w:rPr>
      <w:b/>
      <w:bCs/>
    </w:rPr>
  </w:style>
  <w:style w:type="character" w:customStyle="1" w:styleId="CommentSubjectChar">
    <w:name w:val="Comment Subject Char"/>
    <w:basedOn w:val="CommentTextChar"/>
    <w:link w:val="CommentSubject"/>
    <w:semiHidden/>
    <w:rsid w:val="00BF3BCB"/>
    <w:rPr>
      <w:rFonts w:cs="Arial"/>
      <w:b/>
      <w:bCs/>
    </w:rPr>
  </w:style>
  <w:style w:type="paragraph" w:styleId="DocumentMap">
    <w:name w:val="Document Map"/>
    <w:basedOn w:val="Normal"/>
    <w:link w:val="DocumentMapChar"/>
    <w:semiHidden/>
    <w:locked/>
    <w:rsid w:val="00BF3BCB"/>
    <w:pPr>
      <w:spacing w:line="240" w:lineRule="auto"/>
    </w:pPr>
    <w:rPr>
      <w:rFonts w:ascii="Tahoma" w:hAnsi="Tahoma" w:cs="Tahoma"/>
      <w:sz w:val="16"/>
      <w:szCs w:val="16"/>
    </w:rPr>
  </w:style>
  <w:style w:type="character" w:customStyle="1" w:styleId="DocumentMapChar">
    <w:name w:val="Document Map Char"/>
    <w:basedOn w:val="DefaultParagraphFont"/>
    <w:link w:val="DocumentMap"/>
    <w:semiHidden/>
    <w:rsid w:val="00BF3BCB"/>
    <w:rPr>
      <w:rFonts w:ascii="Tahoma" w:hAnsi="Tahoma" w:cs="Tahoma"/>
      <w:sz w:val="16"/>
      <w:szCs w:val="16"/>
    </w:rPr>
  </w:style>
  <w:style w:type="paragraph" w:styleId="FootnoteText">
    <w:name w:val="footnote text"/>
    <w:basedOn w:val="Normal"/>
    <w:link w:val="FootnoteTextChar"/>
    <w:semiHidden/>
    <w:locked/>
    <w:rsid w:val="00884478"/>
    <w:pPr>
      <w:spacing w:line="240" w:lineRule="auto"/>
    </w:pPr>
    <w:rPr>
      <w:sz w:val="18"/>
    </w:rPr>
  </w:style>
  <w:style w:type="character" w:customStyle="1" w:styleId="FootnoteTextChar">
    <w:name w:val="Footnote Text Char"/>
    <w:basedOn w:val="DefaultParagraphFont"/>
    <w:link w:val="FootnoteText"/>
    <w:semiHidden/>
    <w:rsid w:val="00884478"/>
    <w:rPr>
      <w:sz w:val="18"/>
    </w:rPr>
  </w:style>
  <w:style w:type="paragraph" w:styleId="Index1">
    <w:name w:val="index 1"/>
    <w:basedOn w:val="Normal"/>
    <w:next w:val="Normal"/>
    <w:autoRedefine/>
    <w:semiHidden/>
    <w:locked/>
    <w:rsid w:val="00BF3BCB"/>
    <w:pPr>
      <w:spacing w:line="240" w:lineRule="auto"/>
      <w:ind w:left="200" w:hanging="200"/>
    </w:pPr>
  </w:style>
  <w:style w:type="paragraph" w:styleId="Index2">
    <w:name w:val="index 2"/>
    <w:basedOn w:val="Normal"/>
    <w:next w:val="Normal"/>
    <w:autoRedefine/>
    <w:semiHidden/>
    <w:locked/>
    <w:rsid w:val="00BF3BCB"/>
    <w:pPr>
      <w:spacing w:line="240" w:lineRule="auto"/>
      <w:ind w:left="400" w:hanging="200"/>
    </w:pPr>
  </w:style>
  <w:style w:type="paragraph" w:styleId="Index3">
    <w:name w:val="index 3"/>
    <w:basedOn w:val="Normal"/>
    <w:next w:val="Normal"/>
    <w:autoRedefine/>
    <w:semiHidden/>
    <w:locked/>
    <w:rsid w:val="00BF3BCB"/>
    <w:pPr>
      <w:spacing w:line="240" w:lineRule="auto"/>
      <w:ind w:left="600" w:hanging="200"/>
    </w:pPr>
  </w:style>
  <w:style w:type="paragraph" w:styleId="Index4">
    <w:name w:val="index 4"/>
    <w:basedOn w:val="Normal"/>
    <w:next w:val="Normal"/>
    <w:autoRedefine/>
    <w:semiHidden/>
    <w:locked/>
    <w:rsid w:val="00BF3BCB"/>
    <w:pPr>
      <w:spacing w:line="240" w:lineRule="auto"/>
      <w:ind w:left="800" w:hanging="200"/>
    </w:pPr>
  </w:style>
  <w:style w:type="paragraph" w:styleId="Index5">
    <w:name w:val="index 5"/>
    <w:basedOn w:val="Normal"/>
    <w:next w:val="Normal"/>
    <w:autoRedefine/>
    <w:semiHidden/>
    <w:locked/>
    <w:rsid w:val="00BF3BCB"/>
    <w:pPr>
      <w:spacing w:line="240" w:lineRule="auto"/>
      <w:ind w:left="1000" w:hanging="200"/>
    </w:pPr>
  </w:style>
  <w:style w:type="paragraph" w:styleId="Index6">
    <w:name w:val="index 6"/>
    <w:basedOn w:val="Normal"/>
    <w:next w:val="Normal"/>
    <w:autoRedefine/>
    <w:semiHidden/>
    <w:locked/>
    <w:rsid w:val="00BF3BCB"/>
    <w:pPr>
      <w:spacing w:line="240" w:lineRule="auto"/>
      <w:ind w:left="1200" w:hanging="200"/>
    </w:pPr>
  </w:style>
  <w:style w:type="paragraph" w:styleId="Index7">
    <w:name w:val="index 7"/>
    <w:basedOn w:val="Normal"/>
    <w:next w:val="Normal"/>
    <w:autoRedefine/>
    <w:semiHidden/>
    <w:locked/>
    <w:rsid w:val="00BF3BCB"/>
    <w:pPr>
      <w:spacing w:line="240" w:lineRule="auto"/>
      <w:ind w:left="1400" w:hanging="200"/>
    </w:pPr>
  </w:style>
  <w:style w:type="paragraph" w:styleId="Index8">
    <w:name w:val="index 8"/>
    <w:basedOn w:val="Normal"/>
    <w:next w:val="Normal"/>
    <w:autoRedefine/>
    <w:semiHidden/>
    <w:locked/>
    <w:rsid w:val="00BF3BCB"/>
    <w:pPr>
      <w:spacing w:line="240" w:lineRule="auto"/>
      <w:ind w:left="1600" w:hanging="200"/>
    </w:pPr>
  </w:style>
  <w:style w:type="paragraph" w:styleId="Index9">
    <w:name w:val="index 9"/>
    <w:basedOn w:val="Normal"/>
    <w:next w:val="Normal"/>
    <w:autoRedefine/>
    <w:semiHidden/>
    <w:locked/>
    <w:rsid w:val="00BF3BCB"/>
    <w:pPr>
      <w:spacing w:line="240" w:lineRule="auto"/>
      <w:ind w:left="1800" w:hanging="200"/>
    </w:pPr>
  </w:style>
  <w:style w:type="paragraph" w:styleId="IndexHeading">
    <w:name w:val="index heading"/>
    <w:basedOn w:val="Normal"/>
    <w:next w:val="Index1"/>
    <w:semiHidden/>
    <w:locked/>
    <w:rsid w:val="00BF3BCB"/>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qFormat/>
    <w:locked/>
    <w:rsid w:val="00BF3BCB"/>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semiHidden/>
    <w:rsid w:val="00BF3BCB"/>
    <w:rPr>
      <w:b/>
      <w:bCs/>
      <w:i/>
      <w:iCs/>
      <w:color w:val="4F81BD" w:themeColor="accent1"/>
    </w:rPr>
  </w:style>
  <w:style w:type="paragraph" w:styleId="ListParagraph">
    <w:name w:val="List Paragraph"/>
    <w:basedOn w:val="Normal"/>
    <w:uiPriority w:val="34"/>
    <w:semiHidden/>
    <w:qFormat/>
    <w:locked/>
    <w:rsid w:val="00BF3BCB"/>
    <w:pPr>
      <w:ind w:left="720"/>
      <w:contextualSpacing/>
    </w:pPr>
  </w:style>
  <w:style w:type="paragraph" w:styleId="MacroText">
    <w:name w:val="macro"/>
    <w:link w:val="MacroTextChar"/>
    <w:semiHidden/>
    <w:locked/>
    <w:rsid w:val="00BF3BCB"/>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semiHidden/>
    <w:rsid w:val="00BF3BCB"/>
    <w:rPr>
      <w:rFonts w:ascii="Consolas" w:hAnsi="Consolas"/>
    </w:rPr>
  </w:style>
  <w:style w:type="paragraph" w:styleId="NoSpacing">
    <w:name w:val="No Spacing"/>
    <w:uiPriority w:val="1"/>
    <w:semiHidden/>
    <w:qFormat/>
    <w:locked/>
    <w:rsid w:val="00BF3BCB"/>
    <w:pPr>
      <w:spacing w:line="240" w:lineRule="auto"/>
    </w:pPr>
  </w:style>
  <w:style w:type="paragraph" w:styleId="Quote">
    <w:name w:val="Quote"/>
    <w:basedOn w:val="Normal"/>
    <w:next w:val="Normal"/>
    <w:link w:val="QuoteChar"/>
    <w:uiPriority w:val="29"/>
    <w:semiHidden/>
    <w:qFormat/>
    <w:locked/>
    <w:rsid w:val="00BF3BCB"/>
    <w:rPr>
      <w:i/>
      <w:iCs/>
      <w:color w:val="000000" w:themeColor="text1"/>
    </w:rPr>
  </w:style>
  <w:style w:type="character" w:customStyle="1" w:styleId="QuoteChar">
    <w:name w:val="Quote Char"/>
    <w:basedOn w:val="DefaultParagraphFont"/>
    <w:link w:val="Quote"/>
    <w:uiPriority w:val="29"/>
    <w:semiHidden/>
    <w:rsid w:val="00BF3BCB"/>
    <w:rPr>
      <w:i/>
      <w:iCs/>
      <w:color w:val="000000" w:themeColor="text1"/>
    </w:rPr>
  </w:style>
  <w:style w:type="paragraph" w:styleId="TOAHeading">
    <w:name w:val="toa heading"/>
    <w:next w:val="Normal"/>
    <w:uiPriority w:val="99"/>
    <w:semiHidden/>
    <w:locked/>
    <w:rsid w:val="00BF3BCB"/>
    <w:pPr>
      <w:spacing w:before="120"/>
    </w:pPr>
    <w:rPr>
      <w:rFonts w:eastAsiaTheme="majorEastAsia" w:cstheme="majorBidi"/>
      <w:bCs/>
      <w:szCs w:val="24"/>
    </w:rPr>
  </w:style>
  <w:style w:type="paragraph" w:styleId="TOC7">
    <w:name w:val="toc 7"/>
    <w:basedOn w:val="Normal"/>
    <w:next w:val="Normal"/>
    <w:autoRedefine/>
    <w:uiPriority w:val="39"/>
    <w:locked/>
    <w:rsid w:val="00BF3BCB"/>
    <w:pPr>
      <w:spacing w:after="100"/>
      <w:ind w:left="1200"/>
    </w:pPr>
  </w:style>
  <w:style w:type="paragraph" w:styleId="TOC8">
    <w:name w:val="toc 8"/>
    <w:basedOn w:val="Normal"/>
    <w:next w:val="Normal"/>
    <w:autoRedefine/>
    <w:uiPriority w:val="39"/>
    <w:locked/>
    <w:rsid w:val="00BF3BCB"/>
    <w:pPr>
      <w:spacing w:after="100"/>
      <w:ind w:left="1400"/>
    </w:pPr>
  </w:style>
  <w:style w:type="paragraph" w:styleId="TOC9">
    <w:name w:val="toc 9"/>
    <w:basedOn w:val="Normal"/>
    <w:next w:val="Normal"/>
    <w:autoRedefine/>
    <w:uiPriority w:val="39"/>
    <w:locked/>
    <w:rsid w:val="00BF3BCB"/>
    <w:pPr>
      <w:spacing w:after="100"/>
      <w:ind w:left="1600"/>
    </w:pPr>
  </w:style>
  <w:style w:type="numbering" w:customStyle="1" w:styleId="HeadingsNumbered">
    <w:name w:val="Headings Numbered"/>
    <w:uiPriority w:val="99"/>
    <w:rsid w:val="00BF3BCB"/>
    <w:pPr>
      <w:numPr>
        <w:numId w:val="12"/>
      </w:numPr>
    </w:pPr>
  </w:style>
  <w:style w:type="numbering" w:customStyle="1" w:styleId="BulletsNumbered">
    <w:name w:val="Bullets Numbered"/>
    <w:uiPriority w:val="99"/>
    <w:rsid w:val="00BF3BCB"/>
    <w:pPr>
      <w:numPr>
        <w:numId w:val="10"/>
      </w:numPr>
    </w:pPr>
  </w:style>
  <w:style w:type="numbering" w:customStyle="1" w:styleId="Bullets">
    <w:name w:val="Bullets"/>
    <w:uiPriority w:val="99"/>
    <w:rsid w:val="00BF3BCB"/>
    <w:pPr>
      <w:numPr>
        <w:numId w:val="7"/>
      </w:numPr>
    </w:pPr>
  </w:style>
  <w:style w:type="paragraph" w:customStyle="1" w:styleId="Tableheadingcentred">
    <w:name w:val="Table heading centred"/>
    <w:basedOn w:val="Tableheadingleft"/>
    <w:rsid w:val="00BF3BCB"/>
    <w:pPr>
      <w:jc w:val="center"/>
    </w:pPr>
  </w:style>
  <w:style w:type="paragraph" w:customStyle="1" w:styleId="Tableheadingright">
    <w:name w:val="Table heading right"/>
    <w:basedOn w:val="Tableheadingcentred"/>
    <w:rsid w:val="00BF3BCB"/>
    <w:pPr>
      <w:jc w:val="right"/>
    </w:pPr>
  </w:style>
  <w:style w:type="paragraph" w:customStyle="1" w:styleId="Tabletextcentred">
    <w:name w:val="Table text centred"/>
    <w:basedOn w:val="Tabletextleft"/>
    <w:qFormat/>
    <w:rsid w:val="00BF3BCB"/>
    <w:pPr>
      <w:jc w:val="center"/>
    </w:pPr>
  </w:style>
  <w:style w:type="paragraph" w:customStyle="1" w:styleId="Tabletextright">
    <w:name w:val="Table text right"/>
    <w:basedOn w:val="Tabletextcentred"/>
    <w:qFormat/>
    <w:rsid w:val="00BF3BCB"/>
    <w:pPr>
      <w:jc w:val="right"/>
    </w:pPr>
  </w:style>
  <w:style w:type="character" w:customStyle="1" w:styleId="Subscriptitalic">
    <w:name w:val="Subscript italic"/>
    <w:basedOn w:val="Subscript"/>
    <w:qFormat/>
    <w:rsid w:val="00BF3BCB"/>
    <w:rPr>
      <w:i/>
      <w:iCs/>
      <w:position w:val="-2"/>
      <w:vertAlign w:val="subscript"/>
    </w:rPr>
  </w:style>
  <w:style w:type="character" w:customStyle="1" w:styleId="SuperscriptItalic">
    <w:name w:val="Superscript Italic"/>
    <w:basedOn w:val="Superscript"/>
    <w:qFormat/>
    <w:rsid w:val="00BF3BCB"/>
    <w:rPr>
      <w:i/>
      <w:iCs/>
      <w:position w:val="0"/>
      <w:vertAlign w:val="superscript"/>
    </w:rPr>
  </w:style>
  <w:style w:type="numbering" w:customStyle="1" w:styleId="Bulletnew">
    <w:name w:val="Bullet new"/>
    <w:basedOn w:val="Bullets"/>
    <w:uiPriority w:val="99"/>
    <w:rsid w:val="00BF3BCB"/>
    <w:pPr>
      <w:numPr>
        <w:numId w:val="8"/>
      </w:numPr>
    </w:pPr>
  </w:style>
  <w:style w:type="table" w:customStyle="1" w:styleId="TableGANoHeader">
    <w:name w:val="Table GA No Header"/>
    <w:basedOn w:val="TableGAHeaderRow"/>
    <w:uiPriority w:val="99"/>
    <w:rsid w:val="00BF3BCB"/>
    <w:pPr>
      <w:spacing w:line="240" w:lineRule="auto"/>
    </w:p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qFormat/>
    <w:rsid w:val="00BF3BCB"/>
    <w:pPr>
      <w:jc w:val="center"/>
    </w:pPr>
  </w:style>
  <w:style w:type="paragraph" w:customStyle="1" w:styleId="Authors">
    <w:name w:val="Authors"/>
    <w:basedOn w:val="BodyText"/>
    <w:next w:val="Figuresandimagesleft"/>
    <w:qFormat/>
    <w:rsid w:val="00A43BA1"/>
    <w:pPr>
      <w:spacing w:after="5760"/>
    </w:pPr>
  </w:style>
  <w:style w:type="table" w:styleId="MediumShading1">
    <w:name w:val="Medium Shading 1"/>
    <w:basedOn w:val="TableNormal"/>
    <w:uiPriority w:val="63"/>
    <w:locked/>
    <w:rsid w:val="00BF3BCB"/>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BF3BCB"/>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BF3BCB"/>
    <w:pPr>
      <w:spacing w:line="240" w:lineRule="auto"/>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BF3BCB"/>
    <w:pPr>
      <w:tabs>
        <w:tab w:val="clear" w:pos="9072"/>
        <w:tab w:val="right" w:pos="14005"/>
      </w:tabs>
    </w:pPr>
  </w:style>
  <w:style w:type="table" w:customStyle="1" w:styleId="TableGAHeaderColumn">
    <w:name w:val="Table GA Header Column"/>
    <w:basedOn w:val="TableGAHeaderRowColumn"/>
    <w:uiPriority w:val="99"/>
    <w:rsid w:val="00BF3BCB"/>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basedOn w:val="Normal"/>
    <w:next w:val="BodyText"/>
    <w:qFormat/>
    <w:rsid w:val="00BF3BCB"/>
    <w:pPr>
      <w:pageBreakBefore/>
      <w:spacing w:after="60" w:line="240" w:lineRule="atLeast"/>
    </w:pPr>
    <w:rPr>
      <w:rFonts w:cs="Arial"/>
      <w:b/>
      <w:kern w:val="28"/>
    </w:rPr>
  </w:style>
  <w:style w:type="character" w:customStyle="1" w:styleId="Bold">
    <w:name w:val="Bold"/>
    <w:basedOn w:val="DefaultParagraphFont"/>
    <w:qFormat/>
    <w:rsid w:val="00BF3BCB"/>
    <w:rPr>
      <w:b/>
    </w:rPr>
  </w:style>
  <w:style w:type="character" w:customStyle="1" w:styleId="Italic">
    <w:name w:val="Italic"/>
    <w:basedOn w:val="DefaultParagraphFont"/>
    <w:qFormat/>
    <w:rsid w:val="00BF3BCB"/>
    <w:rPr>
      <w:i/>
    </w:rPr>
  </w:style>
  <w:style w:type="character" w:customStyle="1" w:styleId="ReferencesItalic">
    <w:name w:val="References Italic"/>
    <w:basedOn w:val="DefaultParagraphFont"/>
    <w:qFormat/>
    <w:rsid w:val="00BF3BCB"/>
    <w:rPr>
      <w:i/>
    </w:rPr>
  </w:style>
  <w:style w:type="numbering" w:customStyle="1" w:styleId="BulletsGA">
    <w:name w:val="Bullets GA"/>
    <w:basedOn w:val="NoList"/>
    <w:uiPriority w:val="99"/>
    <w:rsid w:val="00BF3BCB"/>
    <w:pPr>
      <w:numPr>
        <w:numId w:val="9"/>
      </w:numPr>
    </w:pPr>
  </w:style>
  <w:style w:type="paragraph" w:customStyle="1" w:styleId="FooterlandscapeA3">
    <w:name w:val="Footer landscape A3"/>
    <w:basedOn w:val="Footerlandscape"/>
    <w:qFormat/>
    <w:rsid w:val="00BF3BCB"/>
    <w:pPr>
      <w:tabs>
        <w:tab w:val="clear" w:pos="14005"/>
        <w:tab w:val="right" w:pos="20979"/>
      </w:tabs>
    </w:pPr>
  </w:style>
  <w:style w:type="paragraph" w:customStyle="1" w:styleId="Tablenotes">
    <w:name w:val="Table notes"/>
    <w:basedOn w:val="BodyText"/>
    <w:qFormat/>
    <w:rsid w:val="00BF3BCB"/>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BF3BCB"/>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FE03DD"/>
    <w:pPr>
      <w:pageBreakBefore w:val="0"/>
      <w:numPr>
        <w:ilvl w:val="1"/>
        <w:numId w:val="11"/>
      </w:numPr>
      <w:spacing w:before="480" w:after="180" w:line="240" w:lineRule="auto"/>
      <w:ind w:left="0" w:firstLine="0"/>
      <w:outlineLvl w:val="1"/>
    </w:pPr>
    <w:rPr>
      <w:sz w:val="30"/>
      <w:szCs w:val="30"/>
    </w:rPr>
  </w:style>
  <w:style w:type="paragraph" w:customStyle="1" w:styleId="Headingappendix3">
    <w:name w:val="Heading appendix 3"/>
    <w:basedOn w:val="Headingappendix2"/>
    <w:next w:val="BodyText"/>
    <w:qFormat/>
    <w:rsid w:val="00FE03DD"/>
    <w:pPr>
      <w:numPr>
        <w:ilvl w:val="2"/>
      </w:numPr>
      <w:ind w:left="0" w:firstLine="0"/>
      <w:outlineLvl w:val="2"/>
    </w:pPr>
    <w:rPr>
      <w:b/>
      <w:bCs/>
      <w:sz w:val="24"/>
    </w:rPr>
  </w:style>
  <w:style w:type="paragraph" w:customStyle="1" w:styleId="Headingappendix4">
    <w:name w:val="Heading appendix 4"/>
    <w:basedOn w:val="Headingappendix3"/>
    <w:next w:val="BodyText"/>
    <w:qFormat/>
    <w:rsid w:val="00FE03DD"/>
    <w:pPr>
      <w:numPr>
        <w:ilvl w:val="3"/>
      </w:numPr>
      <w:spacing w:before="180"/>
      <w:ind w:left="0" w:firstLine="0"/>
      <w:outlineLvl w:val="3"/>
    </w:pPr>
    <w:rPr>
      <w:rFonts w:eastAsia="Times New Roman"/>
      <w:i/>
      <w:iCs/>
      <w:sz w:val="22"/>
      <w:szCs w:val="20"/>
    </w:rPr>
  </w:style>
  <w:style w:type="paragraph" w:customStyle="1" w:styleId="Headingappendix5">
    <w:name w:val="Heading appendix 5"/>
    <w:basedOn w:val="Headingappendix4"/>
    <w:next w:val="BodyText"/>
    <w:qFormat/>
    <w:rsid w:val="00BF3BCB"/>
    <w:pPr>
      <w:numPr>
        <w:ilvl w:val="4"/>
      </w:numPr>
      <w:outlineLvl w:val="4"/>
    </w:pPr>
    <w:rPr>
      <w:b w:val="0"/>
      <w:bCs w:val="0"/>
    </w:rPr>
  </w:style>
  <w:style w:type="paragraph" w:customStyle="1" w:styleId="Equation">
    <w:name w:val="Equation"/>
    <w:basedOn w:val="BodyText"/>
    <w:next w:val="BodyText"/>
    <w:uiPriority w:val="7"/>
    <w:qFormat/>
    <w:rsid w:val="00BF3BCB"/>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Normal"/>
    <w:rsid w:val="00BF3BCB"/>
    <w:pPr>
      <w:spacing w:before="240" w:after="0"/>
    </w:pPr>
    <w:rPr>
      <w:b/>
      <w:kern w:val="28"/>
    </w:rPr>
  </w:style>
  <w:style w:type="character" w:styleId="SubtleReference">
    <w:name w:val="Subtle Reference"/>
    <w:aliases w:val="SR-DO NOT USE"/>
    <w:uiPriority w:val="31"/>
    <w:semiHidden/>
    <w:locked/>
    <w:rsid w:val="00BF3BCB"/>
  </w:style>
  <w:style w:type="character" w:styleId="SubtleEmphasis">
    <w:name w:val="Subtle Emphasis"/>
    <w:aliases w:val="SE-DO NOT USE"/>
    <w:uiPriority w:val="19"/>
    <w:semiHidden/>
    <w:locked/>
    <w:rsid w:val="00BF3BCB"/>
  </w:style>
  <w:style w:type="character" w:customStyle="1" w:styleId="Tablenumber">
    <w:name w:val="Table number"/>
    <w:rsid w:val="008237BB"/>
    <w:rPr>
      <w:b/>
    </w:rPr>
  </w:style>
  <w:style w:type="paragraph" w:customStyle="1" w:styleId="Captions">
    <w:name w:val="Captions"/>
    <w:basedOn w:val="BodyText"/>
    <w:next w:val="BodyText"/>
    <w:semiHidden/>
    <w:locked/>
    <w:rsid w:val="00BF3BCB"/>
    <w:pPr>
      <w:spacing w:before="60" w:after="360"/>
    </w:pPr>
    <w:rPr>
      <w:rFonts w:eastAsia="Times New Roman"/>
      <w:i/>
      <w:sz w:val="18"/>
      <w:szCs w:val="18"/>
    </w:rPr>
  </w:style>
  <w:style w:type="paragraph" w:customStyle="1" w:styleId="Tableheadingrow">
    <w:name w:val="Table heading row"/>
    <w:basedOn w:val="Normal"/>
    <w:rsid w:val="008237BB"/>
    <w:pPr>
      <w:spacing w:before="0" w:after="0" w:line="230" w:lineRule="exact"/>
    </w:pPr>
    <w:rPr>
      <w:rFonts w:eastAsia="Times New Roman"/>
      <w:b/>
      <w:caps/>
      <w:spacing w:val="10"/>
      <w:sz w:val="16"/>
    </w:rPr>
  </w:style>
  <w:style w:type="character" w:customStyle="1" w:styleId="CharChar2">
    <w:name w:val="Char Char2"/>
    <w:semiHidden/>
    <w:locked/>
    <w:rsid w:val="008237BB"/>
    <w:rPr>
      <w:rFonts w:ascii="Times New Roman" w:hAnsi="Times New Roman"/>
      <w:sz w:val="21"/>
      <w:lang w:val="en-AU" w:eastAsia="en-AU" w:bidi="ar-SA"/>
    </w:rPr>
  </w:style>
  <w:style w:type="paragraph" w:customStyle="1" w:styleId="Boxheaders">
    <w:name w:val="Box headers"/>
    <w:basedOn w:val="Head3nonumbers"/>
    <w:qFormat/>
    <w:rsid w:val="00D0344B"/>
    <w:pPr>
      <w:outlineLvl w:val="9"/>
    </w:pPr>
  </w:style>
  <w:style w:type="character" w:styleId="FootnoteReference">
    <w:name w:val="footnote reference"/>
    <w:semiHidden/>
    <w:locked/>
    <w:rsid w:val="008237BB"/>
    <w:rPr>
      <w:vertAlign w:val="superscript"/>
    </w:rPr>
  </w:style>
  <w:style w:type="character" w:styleId="CommentReference">
    <w:name w:val="annotation reference"/>
    <w:semiHidden/>
    <w:locked/>
    <w:rsid w:val="008237BB"/>
    <w:rPr>
      <w:sz w:val="16"/>
      <w:szCs w:val="16"/>
    </w:rPr>
  </w:style>
  <w:style w:type="paragraph" w:customStyle="1" w:styleId="BulletLevel3numbered">
    <w:name w:val="Bullet Level 3 numbered"/>
    <w:basedOn w:val="Normal"/>
    <w:rsid w:val="004911EB"/>
    <w:pPr>
      <w:numPr>
        <w:ilvl w:val="2"/>
        <w:numId w:val="1"/>
      </w:numPr>
      <w:spacing w:before="0" w:after="0" w:line="240" w:lineRule="auto"/>
    </w:pPr>
    <w:rPr>
      <w:rFonts w:eastAsia="Times New Roman"/>
    </w:rPr>
  </w:style>
  <w:style w:type="character" w:styleId="PlaceholderText">
    <w:name w:val="Placeholder Text"/>
    <w:basedOn w:val="DefaultParagraphFont"/>
    <w:uiPriority w:val="99"/>
    <w:semiHidden/>
    <w:locked/>
    <w:rsid w:val="005167BF"/>
    <w:rPr>
      <w:color w:val="808080"/>
    </w:rPr>
  </w:style>
  <w:style w:type="paragraph" w:customStyle="1" w:styleId="Figurex3">
    <w:name w:val="Figure x3"/>
    <w:basedOn w:val="BodyText"/>
    <w:qFormat/>
    <w:rsid w:val="00C86D91"/>
    <w:pPr>
      <w:tabs>
        <w:tab w:val="left" w:pos="3261"/>
        <w:tab w:val="left" w:pos="6096"/>
      </w:tabs>
      <w:ind w:firstLine="426"/>
    </w:pPr>
  </w:style>
  <w:style w:type="paragraph" w:customStyle="1" w:styleId="Contentsbodyindented">
    <w:name w:val="Contents body indented"/>
    <w:basedOn w:val="BodyText"/>
    <w:semiHidden/>
    <w:locked/>
    <w:rsid w:val="00BF3BCB"/>
    <w:pPr>
      <w:ind w:left="284"/>
    </w:pPr>
  </w:style>
  <w:style w:type="paragraph" w:customStyle="1" w:styleId="Contentsbodytext">
    <w:name w:val="Contents body text"/>
    <w:basedOn w:val="BodyText"/>
    <w:semiHidden/>
    <w:locked/>
    <w:rsid w:val="00BF3BCB"/>
    <w:pPr>
      <w:tabs>
        <w:tab w:val="right" w:leader="dot" w:pos="8222"/>
      </w:tabs>
      <w:jc w:val="both"/>
    </w:pPr>
    <w:rPr>
      <w:rFonts w:eastAsia="Times New Roman"/>
    </w:rPr>
  </w:style>
  <w:style w:type="character" w:customStyle="1" w:styleId="ContentsbodytextChar">
    <w:name w:val="Contents body text Char"/>
    <w:basedOn w:val="DefaultParagraphFont"/>
    <w:semiHidden/>
    <w:locked/>
    <w:rsid w:val="00BF3BCB"/>
    <w:rPr>
      <w:noProof w:val="0"/>
      <w:sz w:val="21"/>
      <w:lang w:val="en-AU" w:eastAsia="en-AU" w:bidi="ar-SA"/>
    </w:rPr>
  </w:style>
  <w:style w:type="character" w:styleId="Emphasis">
    <w:name w:val="Emphasis"/>
    <w:basedOn w:val="DefaultParagraphFont"/>
    <w:semiHidden/>
    <w:qFormat/>
    <w:locked/>
    <w:rsid w:val="00BF3BCB"/>
    <w:rPr>
      <w:i/>
      <w:iCs/>
    </w:rPr>
  </w:style>
  <w:style w:type="character" w:customStyle="1" w:styleId="Instructions">
    <w:name w:val="Instructions"/>
    <w:basedOn w:val="DefaultParagraphFont"/>
    <w:semiHidden/>
    <w:locked/>
    <w:rsid w:val="00BF3BCB"/>
    <w:rPr>
      <w:rFonts w:ascii="Arial" w:hAnsi="Arial"/>
      <w:b/>
      <w:bCs/>
      <w:color w:val="FF0000"/>
      <w:sz w:val="16"/>
    </w:rPr>
  </w:style>
  <w:style w:type="paragraph" w:styleId="NormalWeb">
    <w:name w:val="Normal (Web)"/>
    <w:basedOn w:val="BodyText"/>
    <w:next w:val="BodyText"/>
    <w:semiHidden/>
    <w:locked/>
    <w:rsid w:val="00BF3BCB"/>
    <w:rPr>
      <w:sz w:val="24"/>
      <w:szCs w:val="24"/>
    </w:rPr>
  </w:style>
  <w:style w:type="character" w:styleId="Strong">
    <w:name w:val="Strong"/>
    <w:basedOn w:val="DefaultParagraphFont"/>
    <w:semiHidden/>
    <w:qFormat/>
    <w:locked/>
    <w:rsid w:val="00BF3BCB"/>
    <w:rPr>
      <w:b/>
      <w:bCs/>
    </w:rPr>
  </w:style>
  <w:style w:type="character" w:customStyle="1" w:styleId="Bodytextsymbols">
    <w:name w:val="Body text symbols"/>
    <w:basedOn w:val="DefaultParagraphFont"/>
    <w:uiPriority w:val="1"/>
    <w:qFormat/>
    <w:rsid w:val="00F06D18"/>
    <w:rPr>
      <w:rFonts w:ascii="Symbol" w:hAnsi="Symbol"/>
      <w:i/>
    </w:rPr>
  </w:style>
  <w:style w:type="paragraph" w:customStyle="1" w:styleId="bodymappanel">
    <w:name w:val="body map panel"/>
    <w:basedOn w:val="BodyText"/>
    <w:qFormat/>
    <w:rsid w:val="00553E3F"/>
    <w:pPr>
      <w:tabs>
        <w:tab w:val="left" w:pos="2722"/>
        <w:tab w:val="left" w:pos="6634"/>
      </w:tabs>
      <w:spacing w:after="0" w:line="20" w:lineRule="atLeast"/>
    </w:pPr>
    <w:rPr>
      <w:noProof/>
    </w:rPr>
  </w:style>
  <w:style w:type="paragraph" w:customStyle="1" w:styleId="Figurewithheader">
    <w:name w:val="Figure with header"/>
    <w:basedOn w:val="Figuresandimagesleft"/>
    <w:qFormat/>
    <w:rsid w:val="00553E3F"/>
    <w:pPr>
      <w:spacing w:before="0"/>
    </w:pPr>
    <w:rPr>
      <w:noProof/>
    </w:rPr>
  </w:style>
  <w:style w:type="character" w:styleId="EndnoteReference">
    <w:name w:val="endnote reference"/>
    <w:basedOn w:val="DefaultParagraphFont"/>
    <w:semiHidden/>
    <w:locked/>
    <w:rsid w:val="00216096"/>
    <w:rPr>
      <w:vertAlign w:val="superscript"/>
    </w:rPr>
  </w:style>
  <w:style w:type="paragraph" w:customStyle="1" w:styleId="HeadingApxnonumbers">
    <w:name w:val="Heading Apx no numbers"/>
    <w:basedOn w:val="Head2nonumbers"/>
    <w:rsid w:val="004624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5416858">
      <w:bodyDiv w:val="1"/>
      <w:marLeft w:val="0"/>
      <w:marRight w:val="0"/>
      <w:marTop w:val="0"/>
      <w:marBottom w:val="0"/>
      <w:divBdr>
        <w:top w:val="none" w:sz="0" w:space="0" w:color="auto"/>
        <w:left w:val="none" w:sz="0" w:space="0" w:color="auto"/>
        <w:bottom w:val="none" w:sz="0" w:space="0" w:color="auto"/>
        <w:right w:val="none" w:sz="0" w:space="0" w:color="auto"/>
      </w:divBdr>
    </w:div>
    <w:div w:id="217321211">
      <w:bodyDiv w:val="1"/>
      <w:marLeft w:val="0"/>
      <w:marRight w:val="0"/>
      <w:marTop w:val="0"/>
      <w:marBottom w:val="0"/>
      <w:divBdr>
        <w:top w:val="none" w:sz="0" w:space="0" w:color="auto"/>
        <w:left w:val="none" w:sz="0" w:space="0" w:color="auto"/>
        <w:bottom w:val="none" w:sz="0" w:space="0" w:color="auto"/>
        <w:right w:val="none" w:sz="0" w:space="0" w:color="auto"/>
      </w:divBdr>
    </w:div>
    <w:div w:id="302583352">
      <w:bodyDiv w:val="1"/>
      <w:marLeft w:val="0"/>
      <w:marRight w:val="0"/>
      <w:marTop w:val="0"/>
      <w:marBottom w:val="0"/>
      <w:divBdr>
        <w:top w:val="none" w:sz="0" w:space="0" w:color="auto"/>
        <w:left w:val="none" w:sz="0" w:space="0" w:color="auto"/>
        <w:bottom w:val="none" w:sz="0" w:space="0" w:color="auto"/>
        <w:right w:val="none" w:sz="0" w:space="0" w:color="auto"/>
      </w:divBdr>
    </w:div>
    <w:div w:id="617294312">
      <w:bodyDiv w:val="1"/>
      <w:marLeft w:val="0"/>
      <w:marRight w:val="0"/>
      <w:marTop w:val="0"/>
      <w:marBottom w:val="0"/>
      <w:divBdr>
        <w:top w:val="none" w:sz="0" w:space="0" w:color="auto"/>
        <w:left w:val="none" w:sz="0" w:space="0" w:color="auto"/>
        <w:bottom w:val="none" w:sz="0" w:space="0" w:color="auto"/>
        <w:right w:val="none" w:sz="0" w:space="0" w:color="auto"/>
      </w:divBdr>
    </w:div>
    <w:div w:id="1306161318">
      <w:bodyDiv w:val="1"/>
      <w:marLeft w:val="0"/>
      <w:marRight w:val="0"/>
      <w:marTop w:val="0"/>
      <w:marBottom w:val="0"/>
      <w:divBdr>
        <w:top w:val="none" w:sz="0" w:space="0" w:color="auto"/>
        <w:left w:val="none" w:sz="0" w:space="0" w:color="auto"/>
        <w:bottom w:val="none" w:sz="0" w:space="0" w:color="auto"/>
        <w:right w:val="none" w:sz="0" w:space="0" w:color="auto"/>
      </w:divBdr>
      <w:divsChild>
        <w:div w:id="42605765">
          <w:marLeft w:val="0"/>
          <w:marRight w:val="0"/>
          <w:marTop w:val="0"/>
          <w:marBottom w:val="0"/>
          <w:divBdr>
            <w:top w:val="none" w:sz="0" w:space="0" w:color="auto"/>
            <w:left w:val="none" w:sz="0" w:space="0" w:color="auto"/>
            <w:bottom w:val="none" w:sz="0" w:space="0" w:color="auto"/>
            <w:right w:val="none" w:sz="0" w:space="0" w:color="auto"/>
          </w:divBdr>
        </w:div>
        <w:div w:id="62873952">
          <w:marLeft w:val="0"/>
          <w:marRight w:val="0"/>
          <w:marTop w:val="0"/>
          <w:marBottom w:val="0"/>
          <w:divBdr>
            <w:top w:val="none" w:sz="0" w:space="0" w:color="auto"/>
            <w:left w:val="none" w:sz="0" w:space="0" w:color="auto"/>
            <w:bottom w:val="none" w:sz="0" w:space="0" w:color="auto"/>
            <w:right w:val="none" w:sz="0" w:space="0" w:color="auto"/>
          </w:divBdr>
        </w:div>
        <w:div w:id="248930724">
          <w:marLeft w:val="0"/>
          <w:marRight w:val="0"/>
          <w:marTop w:val="0"/>
          <w:marBottom w:val="0"/>
          <w:divBdr>
            <w:top w:val="none" w:sz="0" w:space="0" w:color="auto"/>
            <w:left w:val="none" w:sz="0" w:space="0" w:color="auto"/>
            <w:bottom w:val="none" w:sz="0" w:space="0" w:color="auto"/>
            <w:right w:val="none" w:sz="0" w:space="0" w:color="auto"/>
          </w:divBdr>
        </w:div>
        <w:div w:id="389233467">
          <w:marLeft w:val="0"/>
          <w:marRight w:val="0"/>
          <w:marTop w:val="0"/>
          <w:marBottom w:val="0"/>
          <w:divBdr>
            <w:top w:val="none" w:sz="0" w:space="0" w:color="auto"/>
            <w:left w:val="none" w:sz="0" w:space="0" w:color="auto"/>
            <w:bottom w:val="none" w:sz="0" w:space="0" w:color="auto"/>
            <w:right w:val="none" w:sz="0" w:space="0" w:color="auto"/>
          </w:divBdr>
        </w:div>
        <w:div w:id="496770780">
          <w:marLeft w:val="0"/>
          <w:marRight w:val="0"/>
          <w:marTop w:val="0"/>
          <w:marBottom w:val="0"/>
          <w:divBdr>
            <w:top w:val="none" w:sz="0" w:space="0" w:color="auto"/>
            <w:left w:val="none" w:sz="0" w:space="0" w:color="auto"/>
            <w:bottom w:val="none" w:sz="0" w:space="0" w:color="auto"/>
            <w:right w:val="none" w:sz="0" w:space="0" w:color="auto"/>
          </w:divBdr>
        </w:div>
        <w:div w:id="552935835">
          <w:marLeft w:val="0"/>
          <w:marRight w:val="0"/>
          <w:marTop w:val="0"/>
          <w:marBottom w:val="0"/>
          <w:divBdr>
            <w:top w:val="none" w:sz="0" w:space="0" w:color="auto"/>
            <w:left w:val="none" w:sz="0" w:space="0" w:color="auto"/>
            <w:bottom w:val="none" w:sz="0" w:space="0" w:color="auto"/>
            <w:right w:val="none" w:sz="0" w:space="0" w:color="auto"/>
          </w:divBdr>
        </w:div>
        <w:div w:id="669257385">
          <w:marLeft w:val="0"/>
          <w:marRight w:val="0"/>
          <w:marTop w:val="0"/>
          <w:marBottom w:val="0"/>
          <w:divBdr>
            <w:top w:val="none" w:sz="0" w:space="0" w:color="auto"/>
            <w:left w:val="none" w:sz="0" w:space="0" w:color="auto"/>
            <w:bottom w:val="none" w:sz="0" w:space="0" w:color="auto"/>
            <w:right w:val="none" w:sz="0" w:space="0" w:color="auto"/>
          </w:divBdr>
        </w:div>
        <w:div w:id="700207112">
          <w:marLeft w:val="0"/>
          <w:marRight w:val="0"/>
          <w:marTop w:val="0"/>
          <w:marBottom w:val="0"/>
          <w:divBdr>
            <w:top w:val="none" w:sz="0" w:space="0" w:color="auto"/>
            <w:left w:val="none" w:sz="0" w:space="0" w:color="auto"/>
            <w:bottom w:val="none" w:sz="0" w:space="0" w:color="auto"/>
            <w:right w:val="none" w:sz="0" w:space="0" w:color="auto"/>
          </w:divBdr>
        </w:div>
        <w:div w:id="781850707">
          <w:marLeft w:val="0"/>
          <w:marRight w:val="0"/>
          <w:marTop w:val="0"/>
          <w:marBottom w:val="0"/>
          <w:divBdr>
            <w:top w:val="none" w:sz="0" w:space="0" w:color="auto"/>
            <w:left w:val="none" w:sz="0" w:space="0" w:color="auto"/>
            <w:bottom w:val="none" w:sz="0" w:space="0" w:color="auto"/>
            <w:right w:val="none" w:sz="0" w:space="0" w:color="auto"/>
          </w:divBdr>
        </w:div>
        <w:div w:id="980427888">
          <w:marLeft w:val="0"/>
          <w:marRight w:val="0"/>
          <w:marTop w:val="0"/>
          <w:marBottom w:val="0"/>
          <w:divBdr>
            <w:top w:val="none" w:sz="0" w:space="0" w:color="auto"/>
            <w:left w:val="none" w:sz="0" w:space="0" w:color="auto"/>
            <w:bottom w:val="none" w:sz="0" w:space="0" w:color="auto"/>
            <w:right w:val="none" w:sz="0" w:space="0" w:color="auto"/>
          </w:divBdr>
        </w:div>
        <w:div w:id="1238662185">
          <w:marLeft w:val="0"/>
          <w:marRight w:val="0"/>
          <w:marTop w:val="0"/>
          <w:marBottom w:val="0"/>
          <w:divBdr>
            <w:top w:val="none" w:sz="0" w:space="0" w:color="auto"/>
            <w:left w:val="none" w:sz="0" w:space="0" w:color="auto"/>
            <w:bottom w:val="none" w:sz="0" w:space="0" w:color="auto"/>
            <w:right w:val="none" w:sz="0" w:space="0" w:color="auto"/>
          </w:divBdr>
        </w:div>
        <w:div w:id="1288505118">
          <w:marLeft w:val="0"/>
          <w:marRight w:val="0"/>
          <w:marTop w:val="0"/>
          <w:marBottom w:val="0"/>
          <w:divBdr>
            <w:top w:val="none" w:sz="0" w:space="0" w:color="auto"/>
            <w:left w:val="none" w:sz="0" w:space="0" w:color="auto"/>
            <w:bottom w:val="none" w:sz="0" w:space="0" w:color="auto"/>
            <w:right w:val="none" w:sz="0" w:space="0" w:color="auto"/>
          </w:divBdr>
        </w:div>
        <w:div w:id="1396510159">
          <w:marLeft w:val="0"/>
          <w:marRight w:val="0"/>
          <w:marTop w:val="0"/>
          <w:marBottom w:val="0"/>
          <w:divBdr>
            <w:top w:val="none" w:sz="0" w:space="0" w:color="auto"/>
            <w:left w:val="none" w:sz="0" w:space="0" w:color="auto"/>
            <w:bottom w:val="none" w:sz="0" w:space="0" w:color="auto"/>
            <w:right w:val="none" w:sz="0" w:space="0" w:color="auto"/>
          </w:divBdr>
        </w:div>
        <w:div w:id="1476683207">
          <w:marLeft w:val="0"/>
          <w:marRight w:val="0"/>
          <w:marTop w:val="0"/>
          <w:marBottom w:val="0"/>
          <w:divBdr>
            <w:top w:val="none" w:sz="0" w:space="0" w:color="auto"/>
            <w:left w:val="none" w:sz="0" w:space="0" w:color="auto"/>
            <w:bottom w:val="none" w:sz="0" w:space="0" w:color="auto"/>
            <w:right w:val="none" w:sz="0" w:space="0" w:color="auto"/>
          </w:divBdr>
        </w:div>
        <w:div w:id="1480807102">
          <w:marLeft w:val="0"/>
          <w:marRight w:val="0"/>
          <w:marTop w:val="0"/>
          <w:marBottom w:val="0"/>
          <w:divBdr>
            <w:top w:val="none" w:sz="0" w:space="0" w:color="auto"/>
            <w:left w:val="none" w:sz="0" w:space="0" w:color="auto"/>
            <w:bottom w:val="none" w:sz="0" w:space="0" w:color="auto"/>
            <w:right w:val="none" w:sz="0" w:space="0" w:color="auto"/>
          </w:divBdr>
        </w:div>
        <w:div w:id="1493836830">
          <w:marLeft w:val="0"/>
          <w:marRight w:val="0"/>
          <w:marTop w:val="0"/>
          <w:marBottom w:val="0"/>
          <w:divBdr>
            <w:top w:val="none" w:sz="0" w:space="0" w:color="auto"/>
            <w:left w:val="none" w:sz="0" w:space="0" w:color="auto"/>
            <w:bottom w:val="none" w:sz="0" w:space="0" w:color="auto"/>
            <w:right w:val="none" w:sz="0" w:space="0" w:color="auto"/>
          </w:divBdr>
        </w:div>
        <w:div w:id="1566447481">
          <w:marLeft w:val="0"/>
          <w:marRight w:val="0"/>
          <w:marTop w:val="0"/>
          <w:marBottom w:val="0"/>
          <w:divBdr>
            <w:top w:val="none" w:sz="0" w:space="0" w:color="auto"/>
            <w:left w:val="none" w:sz="0" w:space="0" w:color="auto"/>
            <w:bottom w:val="none" w:sz="0" w:space="0" w:color="auto"/>
            <w:right w:val="none" w:sz="0" w:space="0" w:color="auto"/>
          </w:divBdr>
        </w:div>
        <w:div w:id="1662586397">
          <w:marLeft w:val="0"/>
          <w:marRight w:val="0"/>
          <w:marTop w:val="0"/>
          <w:marBottom w:val="0"/>
          <w:divBdr>
            <w:top w:val="none" w:sz="0" w:space="0" w:color="auto"/>
            <w:left w:val="none" w:sz="0" w:space="0" w:color="auto"/>
            <w:bottom w:val="none" w:sz="0" w:space="0" w:color="auto"/>
            <w:right w:val="none" w:sz="0" w:space="0" w:color="auto"/>
          </w:divBdr>
        </w:div>
        <w:div w:id="1698045460">
          <w:marLeft w:val="0"/>
          <w:marRight w:val="0"/>
          <w:marTop w:val="0"/>
          <w:marBottom w:val="0"/>
          <w:divBdr>
            <w:top w:val="none" w:sz="0" w:space="0" w:color="auto"/>
            <w:left w:val="none" w:sz="0" w:space="0" w:color="auto"/>
            <w:bottom w:val="none" w:sz="0" w:space="0" w:color="auto"/>
            <w:right w:val="none" w:sz="0" w:space="0" w:color="auto"/>
          </w:divBdr>
        </w:div>
        <w:div w:id="1774132886">
          <w:marLeft w:val="0"/>
          <w:marRight w:val="0"/>
          <w:marTop w:val="0"/>
          <w:marBottom w:val="0"/>
          <w:divBdr>
            <w:top w:val="none" w:sz="0" w:space="0" w:color="auto"/>
            <w:left w:val="none" w:sz="0" w:space="0" w:color="auto"/>
            <w:bottom w:val="none" w:sz="0" w:space="0" w:color="auto"/>
            <w:right w:val="none" w:sz="0" w:space="0" w:color="auto"/>
          </w:divBdr>
        </w:div>
        <w:div w:id="1839882512">
          <w:marLeft w:val="0"/>
          <w:marRight w:val="0"/>
          <w:marTop w:val="0"/>
          <w:marBottom w:val="0"/>
          <w:divBdr>
            <w:top w:val="none" w:sz="0" w:space="0" w:color="auto"/>
            <w:left w:val="none" w:sz="0" w:space="0" w:color="auto"/>
            <w:bottom w:val="none" w:sz="0" w:space="0" w:color="auto"/>
            <w:right w:val="none" w:sz="0" w:space="0" w:color="auto"/>
          </w:divBdr>
        </w:div>
        <w:div w:id="1889874055">
          <w:marLeft w:val="0"/>
          <w:marRight w:val="0"/>
          <w:marTop w:val="0"/>
          <w:marBottom w:val="0"/>
          <w:divBdr>
            <w:top w:val="none" w:sz="0" w:space="0" w:color="auto"/>
            <w:left w:val="none" w:sz="0" w:space="0" w:color="auto"/>
            <w:bottom w:val="none" w:sz="0" w:space="0" w:color="auto"/>
            <w:right w:val="none" w:sz="0" w:space="0" w:color="auto"/>
          </w:divBdr>
        </w:div>
        <w:div w:id="1914732373">
          <w:marLeft w:val="0"/>
          <w:marRight w:val="0"/>
          <w:marTop w:val="0"/>
          <w:marBottom w:val="0"/>
          <w:divBdr>
            <w:top w:val="none" w:sz="0" w:space="0" w:color="auto"/>
            <w:left w:val="none" w:sz="0" w:space="0" w:color="auto"/>
            <w:bottom w:val="none" w:sz="0" w:space="0" w:color="auto"/>
            <w:right w:val="none" w:sz="0" w:space="0" w:color="auto"/>
          </w:divBdr>
        </w:div>
        <w:div w:id="2001928640">
          <w:marLeft w:val="0"/>
          <w:marRight w:val="0"/>
          <w:marTop w:val="0"/>
          <w:marBottom w:val="0"/>
          <w:divBdr>
            <w:top w:val="none" w:sz="0" w:space="0" w:color="auto"/>
            <w:left w:val="none" w:sz="0" w:space="0" w:color="auto"/>
            <w:bottom w:val="none" w:sz="0" w:space="0" w:color="auto"/>
            <w:right w:val="none" w:sz="0" w:space="0" w:color="auto"/>
          </w:divBdr>
        </w:div>
        <w:div w:id="2019036142">
          <w:marLeft w:val="0"/>
          <w:marRight w:val="0"/>
          <w:marTop w:val="0"/>
          <w:marBottom w:val="0"/>
          <w:divBdr>
            <w:top w:val="none" w:sz="0" w:space="0" w:color="auto"/>
            <w:left w:val="none" w:sz="0" w:space="0" w:color="auto"/>
            <w:bottom w:val="none" w:sz="0" w:space="0" w:color="auto"/>
            <w:right w:val="none" w:sz="0" w:space="0" w:color="auto"/>
          </w:divBdr>
        </w:div>
      </w:divsChild>
    </w:div>
    <w:div w:id="1893074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image" Target="media/image68.jpeg"/><Relationship Id="rId21" Type="http://schemas.openxmlformats.org/officeDocument/2006/relationships/image" Target="media/image4.jpeg"/><Relationship Id="rId42" Type="http://schemas.openxmlformats.org/officeDocument/2006/relationships/hyperlink" Target="http://www.ehp.qld.gov.au/climatechange/pdf/regionsummary-cq.pdf" TargetMode="External"/><Relationship Id="rId47" Type="http://schemas.openxmlformats.org/officeDocument/2006/relationships/hyperlink" Target="http://www.wmo.int/pages/prog/www/tcp/documents/WMO_TD_1555_en.pdf" TargetMode="External"/><Relationship Id="rId63" Type="http://schemas.openxmlformats.org/officeDocument/2006/relationships/image" Target="media/image15.emf"/><Relationship Id="rId68" Type="http://schemas.openxmlformats.org/officeDocument/2006/relationships/image" Target="media/image20.jpeg"/><Relationship Id="rId84" Type="http://schemas.openxmlformats.org/officeDocument/2006/relationships/hyperlink" Target="http://mag.ncep.noaa.gov/NCOMAGWEB/appcontroller" TargetMode="External"/><Relationship Id="rId89" Type="http://schemas.openxmlformats.org/officeDocument/2006/relationships/image" Target="media/image40.png"/><Relationship Id="rId112" Type="http://schemas.openxmlformats.org/officeDocument/2006/relationships/image" Target="media/image63.png"/><Relationship Id="rId133" Type="http://schemas.openxmlformats.org/officeDocument/2006/relationships/oleObject" Target="embeddings/oleObject2.bin"/><Relationship Id="rId138" Type="http://schemas.openxmlformats.org/officeDocument/2006/relationships/theme" Target="theme/theme1.xml"/><Relationship Id="rId16" Type="http://schemas.openxmlformats.org/officeDocument/2006/relationships/footer" Target="footer2.xml"/><Relationship Id="rId107" Type="http://schemas.openxmlformats.org/officeDocument/2006/relationships/image" Target="media/image58.jpeg"/><Relationship Id="rId11" Type="http://schemas.openxmlformats.org/officeDocument/2006/relationships/hyperlink" Target="http://www.creativecommons.org/licenses/by/3.0/au/deed.en" TargetMode="External"/><Relationship Id="rId32" Type="http://schemas.openxmlformats.org/officeDocument/2006/relationships/hyperlink" Target="http://www.climatechange.tas.gov.au/" TargetMode="External"/><Relationship Id="rId37" Type="http://schemas.openxmlformats.org/officeDocument/2006/relationships/hyperlink" Target="http://www.csiro.au/Outcomes/Climate/Understanding/State-of-the-Climate-2012.aspx" TargetMode="External"/><Relationship Id="rId53" Type="http://schemas.openxmlformats.org/officeDocument/2006/relationships/hyperlink" Target="http://onlinelibrary.wiley.com/doi/10.1111/j.1753-318X.2009.01058.x/full" TargetMode="External"/><Relationship Id="rId58" Type="http://schemas.openxmlformats.org/officeDocument/2006/relationships/hyperlink" Target="http://www.springerlink.com/content/brmpmturdqvxh3vv" TargetMode="External"/><Relationship Id="rId74" Type="http://schemas.openxmlformats.org/officeDocument/2006/relationships/image" Target="media/image26.jpeg"/><Relationship Id="rId79" Type="http://schemas.openxmlformats.org/officeDocument/2006/relationships/image" Target="media/image31.jpeg"/><Relationship Id="rId102" Type="http://schemas.openxmlformats.org/officeDocument/2006/relationships/image" Target="media/image53.jpeg"/><Relationship Id="rId123" Type="http://schemas.openxmlformats.org/officeDocument/2006/relationships/image" Target="media/image74.jpeg"/><Relationship Id="rId128" Type="http://schemas.openxmlformats.org/officeDocument/2006/relationships/image" Target="media/image79.emf"/><Relationship Id="rId5" Type="http://schemas.openxmlformats.org/officeDocument/2006/relationships/settings" Target="settings.xml"/><Relationship Id="rId90" Type="http://schemas.openxmlformats.org/officeDocument/2006/relationships/image" Target="media/image41.jpeg"/><Relationship Id="rId95" Type="http://schemas.openxmlformats.org/officeDocument/2006/relationships/image" Target="media/image46.jpeg"/><Relationship Id="rId14" Type="http://schemas.openxmlformats.org/officeDocument/2006/relationships/header" Target="header2.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hyperlink" Target="http://reg.bom.gov.au/info/cyclone/stormsurge.pdf" TargetMode="External"/><Relationship Id="rId43" Type="http://schemas.openxmlformats.org/officeDocument/2006/relationships/hyperlink" Target="http://rti.cabinet.qld.gov.au/documents/2009/May/ClimateQ%20toward%20a%20greener%20Qld/Attachments/ClimateQ_Report_web_FINAL_20090715.pdf" TargetMode="External"/><Relationship Id="rId48" Type="http://schemas.openxmlformats.org/officeDocument/2006/relationships/hyperlink" Target="http://www.ipcc.ch/pdf/assessment-report/ar4/wg1/ar4-wg1-spm.pdf" TargetMode="External"/><Relationship Id="rId56" Type="http://schemas.openxmlformats.org/officeDocument/2006/relationships/hyperlink" Target="http://www.nature.com/nclimate/journal/v3/n1/full/nclimate1783.html" TargetMode="External"/><Relationship Id="rId64" Type="http://schemas.openxmlformats.org/officeDocument/2006/relationships/image" Target="media/image16.emf"/><Relationship Id="rId69" Type="http://schemas.openxmlformats.org/officeDocument/2006/relationships/image" Target="media/image21.jpeg"/><Relationship Id="rId77" Type="http://schemas.openxmlformats.org/officeDocument/2006/relationships/image" Target="media/image29.jpeg"/><Relationship Id="rId100" Type="http://schemas.openxmlformats.org/officeDocument/2006/relationships/image" Target="media/image51.jpeg"/><Relationship Id="rId105" Type="http://schemas.openxmlformats.org/officeDocument/2006/relationships/image" Target="media/image56.jpeg"/><Relationship Id="rId113" Type="http://schemas.openxmlformats.org/officeDocument/2006/relationships/image" Target="media/image64.emf"/><Relationship Id="rId118" Type="http://schemas.openxmlformats.org/officeDocument/2006/relationships/image" Target="media/image69.jpeg"/><Relationship Id="rId126" Type="http://schemas.openxmlformats.org/officeDocument/2006/relationships/image" Target="media/image77.emf"/><Relationship Id="rId134" Type="http://schemas.openxmlformats.org/officeDocument/2006/relationships/image" Target="media/image84.jpeg"/><Relationship Id="rId8" Type="http://schemas.openxmlformats.org/officeDocument/2006/relationships/endnotes" Target="endnotes.xml"/><Relationship Id="rId51" Type="http://schemas.openxmlformats.org/officeDocument/2006/relationships/hyperlink" Target="http://dx.doi.org/10.1175/2009BAMS2769.1" TargetMode="External"/><Relationship Id="rId72" Type="http://schemas.openxmlformats.org/officeDocument/2006/relationships/image" Target="media/image24.jpeg"/><Relationship Id="rId80" Type="http://schemas.openxmlformats.org/officeDocument/2006/relationships/image" Target="media/image32.jpeg"/><Relationship Id="rId85" Type="http://schemas.openxmlformats.org/officeDocument/2006/relationships/image" Target="media/image36.png"/><Relationship Id="rId93" Type="http://schemas.openxmlformats.org/officeDocument/2006/relationships/image" Target="media/image44.jpeg"/><Relationship Id="rId98" Type="http://schemas.openxmlformats.org/officeDocument/2006/relationships/image" Target="media/image49.jpeg"/><Relationship Id="rId121" Type="http://schemas.openxmlformats.org/officeDocument/2006/relationships/image" Target="media/image72.jpeg"/><Relationship Id="rId3" Type="http://schemas.openxmlformats.org/officeDocument/2006/relationships/styles" Target="styles.xml"/><Relationship Id="rId12" Type="http://schemas.openxmlformats.org/officeDocument/2006/relationships/hyperlink" Target="mailto:feedback@ga.gov.au" TargetMode="External"/><Relationship Id="rId17" Type="http://schemas.openxmlformats.org/officeDocument/2006/relationships/hyperlink" Target="http://en.wikipedia.org/wiki/Greenhouse_gas" TargetMode="External"/><Relationship Id="rId25" Type="http://schemas.openxmlformats.org/officeDocument/2006/relationships/image" Target="media/image8.jpeg"/><Relationship Id="rId33" Type="http://schemas.openxmlformats.org/officeDocument/2006/relationships/hyperlink" Target="http://www.hydro.gov.au/aboutus/glossary.htm" TargetMode="External"/><Relationship Id="rId38" Type="http://schemas.openxmlformats.org/officeDocument/2006/relationships/hyperlink" Target="http://www.csiro.au/en/Organisation-Structure/Flagships/Climate-Adaptation-Flagship/seqcari/Multi-sector-study.aspx" TargetMode="External"/><Relationship Id="rId46" Type="http://schemas.openxmlformats.org/officeDocument/2006/relationships/hyperlink" Target="http://www.acecrc.org.au/access/repository/resource/e8af5cd2-3bb8-1030-998b-40404adc5e91" TargetMode="External"/><Relationship Id="rId59" Type="http://schemas.openxmlformats.org/officeDocument/2006/relationships/hyperlink" Target="http://www.publish.csiro.au/pid/6558.htm" TargetMode="External"/><Relationship Id="rId67" Type="http://schemas.openxmlformats.org/officeDocument/2006/relationships/image" Target="media/image19.emf"/><Relationship Id="rId103" Type="http://schemas.openxmlformats.org/officeDocument/2006/relationships/image" Target="media/image54.jpeg"/><Relationship Id="rId108" Type="http://schemas.openxmlformats.org/officeDocument/2006/relationships/image" Target="media/image59.jpeg"/><Relationship Id="rId116" Type="http://schemas.openxmlformats.org/officeDocument/2006/relationships/image" Target="media/image67.emf"/><Relationship Id="rId124" Type="http://schemas.openxmlformats.org/officeDocument/2006/relationships/image" Target="media/image75.jpeg"/><Relationship Id="rId129" Type="http://schemas.openxmlformats.org/officeDocument/2006/relationships/image" Target="media/image80.emf"/><Relationship Id="rId137" Type="http://schemas.openxmlformats.org/officeDocument/2006/relationships/fontTable" Target="fontTable.xml"/><Relationship Id="rId20" Type="http://schemas.openxmlformats.org/officeDocument/2006/relationships/image" Target="media/image3.jpeg"/><Relationship Id="rId41" Type="http://schemas.openxmlformats.org/officeDocument/2006/relationships/hyperlink" Target="http://www.ehp.qld.gov.au/coastal/development/assessment/erosion_prone_areas.html" TargetMode="External"/><Relationship Id="rId54" Type="http://schemas.openxmlformats.org/officeDocument/2006/relationships/hyperlink" Target="http://www.oesr.qld.gov.au/products/profiles/pop-housing-profiles-lga/pop-housing-profile-rockhampton.pdf" TargetMode="External"/><Relationship Id="rId62" Type="http://schemas.openxmlformats.org/officeDocument/2006/relationships/oleObject" Target="embeddings/oleObject1.bin"/><Relationship Id="rId70" Type="http://schemas.openxmlformats.org/officeDocument/2006/relationships/image" Target="media/image22.jpeg"/><Relationship Id="rId75" Type="http://schemas.openxmlformats.org/officeDocument/2006/relationships/image" Target="media/image27.jpeg"/><Relationship Id="rId83" Type="http://schemas.openxmlformats.org/officeDocument/2006/relationships/image" Target="media/image35.jpeg"/><Relationship Id="rId88" Type="http://schemas.openxmlformats.org/officeDocument/2006/relationships/image" Target="media/image39.png"/><Relationship Id="rId91" Type="http://schemas.openxmlformats.org/officeDocument/2006/relationships/image" Target="media/image42.jpeg"/><Relationship Id="rId96" Type="http://schemas.openxmlformats.org/officeDocument/2006/relationships/image" Target="media/image47.jpeg"/><Relationship Id="rId111" Type="http://schemas.openxmlformats.org/officeDocument/2006/relationships/image" Target="media/image62.png"/><Relationship Id="rId132" Type="http://schemas.openxmlformats.org/officeDocument/2006/relationships/image" Target="media/image83.w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hyperlink" Target="http://www.cmar.csiro.au/sealevel/sl_drives_longer.html" TargetMode="External"/><Relationship Id="rId49" Type="http://schemas.openxmlformats.org/officeDocument/2006/relationships/hyperlink" Target="http://www.ipcc.ch/pdf/assessment-report/ar4/wg1/ar4-wg1-chapter10.pdf" TargetMode="External"/><Relationship Id="rId57" Type="http://schemas.openxmlformats.org/officeDocument/2006/relationships/hyperlink" Target="http://www.ga.gov.au/ausgeonews/ausgeonews200806/disaster.jsp" TargetMode="External"/><Relationship Id="rId106" Type="http://schemas.openxmlformats.org/officeDocument/2006/relationships/image" Target="media/image57.jpeg"/><Relationship Id="rId114" Type="http://schemas.openxmlformats.org/officeDocument/2006/relationships/image" Target="media/image65.emf"/><Relationship Id="rId119" Type="http://schemas.openxmlformats.org/officeDocument/2006/relationships/image" Target="media/image70.jpeg"/><Relationship Id="rId127" Type="http://schemas.openxmlformats.org/officeDocument/2006/relationships/image" Target="media/image78.emf"/><Relationship Id="rId10" Type="http://schemas.openxmlformats.org/officeDocument/2006/relationships/image" Target="media/image2.jpeg"/><Relationship Id="rId31" Type="http://schemas.openxmlformats.org/officeDocument/2006/relationships/hyperlink" Target="http://www.csiro.au/en/Organisation-Structure/Flagships/Climate-Adaptation-Flagship/CAF-working-papers.aspx" TargetMode="External"/><Relationship Id="rId44" Type="http://schemas.openxmlformats.org/officeDocument/2006/relationships/hyperlink" Target="http://www.ehp.qld.gov.au/coastalplan/pdf/hazards-guideline.pdf" TargetMode="External"/><Relationship Id="rId52" Type="http://schemas.openxmlformats.org/officeDocument/2006/relationships/hyperlink" Target="http://www.msq.qld.gov.au/~/media/msqinternet/msqfiles/home/tides/tidal%20planes/semidiurnal_planes_2012.pdf" TargetMode="External"/><Relationship Id="rId60" Type="http://schemas.openxmlformats.org/officeDocument/2006/relationships/hyperlink" Target="http://climatechange.worldbank.org/sites/default/files/Turn_Down_the_heat_Why_a_4_degree_centrigrade_warmer_world_must_be_avoided.pdf" TargetMode="External"/><Relationship Id="rId65" Type="http://schemas.openxmlformats.org/officeDocument/2006/relationships/image" Target="media/image17.jpeg"/><Relationship Id="rId73" Type="http://schemas.openxmlformats.org/officeDocument/2006/relationships/image" Target="media/image25.jpeg"/><Relationship Id="rId78" Type="http://schemas.openxmlformats.org/officeDocument/2006/relationships/image" Target="media/image30.jpeg"/><Relationship Id="rId81" Type="http://schemas.openxmlformats.org/officeDocument/2006/relationships/image" Target="media/image33.jpeg"/><Relationship Id="rId86" Type="http://schemas.openxmlformats.org/officeDocument/2006/relationships/image" Target="media/image37.jpeg"/><Relationship Id="rId94" Type="http://schemas.openxmlformats.org/officeDocument/2006/relationships/image" Target="media/image45.jpeg"/><Relationship Id="rId99" Type="http://schemas.openxmlformats.org/officeDocument/2006/relationships/image" Target="media/image50.jpeg"/><Relationship Id="rId101" Type="http://schemas.openxmlformats.org/officeDocument/2006/relationships/image" Target="media/image52.jpeg"/><Relationship Id="rId122" Type="http://schemas.openxmlformats.org/officeDocument/2006/relationships/image" Target="media/image73.jpeg"/><Relationship Id="rId130" Type="http://schemas.openxmlformats.org/officeDocument/2006/relationships/image" Target="media/image81.emf"/><Relationship Id="rId135" Type="http://schemas.openxmlformats.org/officeDocument/2006/relationships/image" Target="media/image85.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hyperlink" Target="http://en.wikipedia.org/wiki/Intergovernmental_Panel_on_Climate_Change" TargetMode="External"/><Relationship Id="rId39" Type="http://schemas.openxmlformats.org/officeDocument/2006/relationships/hyperlink" Target="http://www.climatechangeinaustralia.gov.au/futureclimate.php" TargetMode="External"/><Relationship Id="rId109" Type="http://schemas.openxmlformats.org/officeDocument/2006/relationships/image" Target="media/image60.jpeg"/><Relationship Id="rId34" Type="http://schemas.openxmlformats.org/officeDocument/2006/relationships/hyperlink" Target="http://www.mssanz.org.au/modsim2011/F7/cechet.pdf" TargetMode="External"/><Relationship Id="rId50" Type="http://schemas.openxmlformats.org/officeDocument/2006/relationships/hyperlink" Target="ftp://ftp.gfdl.noaa.gov/pub/rt/Leslieetal97.pdf" TargetMode="External"/><Relationship Id="rId55" Type="http://schemas.openxmlformats.org/officeDocument/2006/relationships/hyperlink" Target="http://www.ozcoasts.gov.au/climate/sd_visual.jsp" TargetMode="External"/><Relationship Id="rId76" Type="http://schemas.openxmlformats.org/officeDocument/2006/relationships/image" Target="media/image28.jpeg"/><Relationship Id="rId97" Type="http://schemas.openxmlformats.org/officeDocument/2006/relationships/image" Target="media/image48.jpeg"/><Relationship Id="rId104" Type="http://schemas.openxmlformats.org/officeDocument/2006/relationships/image" Target="media/image55.jpeg"/><Relationship Id="rId120" Type="http://schemas.openxmlformats.org/officeDocument/2006/relationships/image" Target="media/image71.jpeg"/><Relationship Id="rId125" Type="http://schemas.openxmlformats.org/officeDocument/2006/relationships/image" Target="media/image76.jpeg"/><Relationship Id="rId7" Type="http://schemas.openxmlformats.org/officeDocument/2006/relationships/footnotes" Target="footnotes.xml"/><Relationship Id="rId71" Type="http://schemas.openxmlformats.org/officeDocument/2006/relationships/image" Target="media/image23.jpeg"/><Relationship Id="rId92" Type="http://schemas.openxmlformats.org/officeDocument/2006/relationships/image" Target="media/image43.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hyperlink" Target="http://www.climatechange.gov.au/publications/coastline/climate-change-risks-to-australias-coasts.aspx" TargetMode="External"/><Relationship Id="rId45" Type="http://schemas.openxmlformats.org/officeDocument/2006/relationships/hyperlink" Target="http://dx.doi.org/10.1175/2010EI361.1" TargetMode="External"/><Relationship Id="rId66" Type="http://schemas.openxmlformats.org/officeDocument/2006/relationships/image" Target="media/image18.jpeg"/><Relationship Id="rId87" Type="http://schemas.openxmlformats.org/officeDocument/2006/relationships/image" Target="media/image38.jpeg"/><Relationship Id="rId110" Type="http://schemas.openxmlformats.org/officeDocument/2006/relationships/image" Target="media/image61.jpeg"/><Relationship Id="rId115" Type="http://schemas.openxmlformats.org/officeDocument/2006/relationships/image" Target="media/image66.emf"/><Relationship Id="rId131" Type="http://schemas.openxmlformats.org/officeDocument/2006/relationships/image" Target="media/image82.emf"/><Relationship Id="rId136" Type="http://schemas.openxmlformats.org/officeDocument/2006/relationships/image" Target="media/image86.jpeg"/><Relationship Id="rId61" Type="http://schemas.openxmlformats.org/officeDocument/2006/relationships/image" Target="media/image14.wmf"/><Relationship Id="rId82" Type="http://schemas.openxmlformats.org/officeDocument/2006/relationships/image" Target="media/image34.jpeg"/><Relationship Id="rId19" Type="http://schemas.openxmlformats.org/officeDocument/2006/relationships/hyperlink" Target="http://en.wikipedia.org/wiki/IPCC_Fifth_Assessment_Report"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wrf-model.org/index.php" TargetMode="External"/><Relationship Id="rId13" Type="http://schemas.openxmlformats.org/officeDocument/2006/relationships/hyperlink" Target="http://www.ehp.qld.gov.au/coastal/development/assessment/pdf/ror1a.pdf" TargetMode="External"/><Relationship Id="rId3" Type="http://schemas.openxmlformats.org/officeDocument/2006/relationships/hyperlink" Target="http://hardenup.org/be-aware/weather-events/events/1910-1919/cyclone-mackay-1918-1918-01-21.aspx" TargetMode="External"/><Relationship Id="rId7" Type="http://schemas.openxmlformats.org/officeDocument/2006/relationships/hyperlink" Target="http://www.bom.gov.au/cyclone/history/tracks/index.shtml" TargetMode="External"/><Relationship Id="rId12" Type="http://schemas.openxmlformats.org/officeDocument/2006/relationships/hyperlink" Target="http://www.msq.qld.gov.au/~/media/msqinternet/msqfiles/home/tides/tidal%20planes/semidiurnal_planes_2012.pdf" TargetMode="External"/><Relationship Id="rId17" Type="http://schemas.openxmlformats.org/officeDocument/2006/relationships/hyperlink" Target="http://www.ozcoasts.gov.au/climate/sd_visual.jsp" TargetMode="External"/><Relationship Id="rId2" Type="http://schemas.openxmlformats.org/officeDocument/2006/relationships/hyperlink" Target="http://www.msq.qld.gov.au/Tides/Notes-and-definitions.aspx" TargetMode="External"/><Relationship Id="rId16" Type="http://schemas.openxmlformats.org/officeDocument/2006/relationships/hyperlink" Target="http://www.ehp.qld.gov.au/coastalplan/pdf/qcp-web.pdf" TargetMode="External"/><Relationship Id="rId1" Type="http://schemas.openxmlformats.org/officeDocument/2006/relationships/hyperlink" Target="http://www.msq.qld.gov.au/Tides/Notes-and-definitions.aspx" TargetMode="External"/><Relationship Id="rId6" Type="http://schemas.openxmlformats.org/officeDocument/2006/relationships/hyperlink" Target="http://code.google.com/p/tcrm" TargetMode="External"/><Relationship Id="rId11" Type="http://schemas.openxmlformats.org/officeDocument/2006/relationships/hyperlink" Target="http://www.msq.qld.gov.au/~/media/msqinternet/msqfiles/home/tides/tidal%20planes/semidiurnal_planes_2012.pdf" TargetMode="External"/><Relationship Id="rId5" Type="http://schemas.openxmlformats.org/officeDocument/2006/relationships/hyperlink" Target="http://www.csiro.au/Outcomes/Climate/Reliability-Climate-Models.aspx" TargetMode="External"/><Relationship Id="rId15" Type="http://schemas.openxmlformats.org/officeDocument/2006/relationships/hyperlink" Target="http://www.hydro.gov.au/aboutus/glossary.htm" TargetMode="External"/><Relationship Id="rId10" Type="http://schemas.openxmlformats.org/officeDocument/2006/relationships/hyperlink" Target="http://canute2.sealevelrise.info/slr/Important%20Information" TargetMode="External"/><Relationship Id="rId4" Type="http://schemas.openxmlformats.org/officeDocument/2006/relationships/hyperlink" Target="http://canute2.sealevelrise.info/slr/Important%20Information" TargetMode="External"/><Relationship Id="rId9" Type="http://schemas.openxmlformats.org/officeDocument/2006/relationships/hyperlink" Target="http://www.ruralfire.qld.gov.au/national_warning_system.asp" TargetMode="External"/><Relationship Id="rId14" Type="http://schemas.openxmlformats.org/officeDocument/2006/relationships/hyperlink" Target="http://www.msq.qld.gov.au/~/media/msqinternet/msqfiles/home/tides/tidal%20planes/semidiurnal_planes_2012.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apps2\apps\Templates\GA%20Win7\GA%20Rec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A9AA99-50C2-47A8-B894-2A6A17791F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GA Record.dotx</Template>
  <TotalTime>1</TotalTime>
  <Pages>144</Pages>
  <Words>32204</Words>
  <Characters>209011</Characters>
  <Application>Microsoft Office Word</Application>
  <DocSecurity>0</DocSecurity>
  <Lines>1741</Lines>
  <Paragraphs>481</Paragraphs>
  <ScaleCrop>false</ScaleCrop>
  <HeadingPairs>
    <vt:vector size="2" baseType="variant">
      <vt:variant>
        <vt:lpstr>Title</vt:lpstr>
      </vt:variant>
      <vt:variant>
        <vt:i4>1</vt:i4>
      </vt:variant>
    </vt:vector>
  </HeadingPairs>
  <TitlesOfParts>
    <vt:vector size="1" baseType="lpstr">
      <vt:lpstr>GA Record Template</vt:lpstr>
    </vt:vector>
  </TitlesOfParts>
  <Company>Geoscience Australia</Company>
  <LinksUpToDate>false</LinksUpToDate>
  <CharactersWithSpaces>240734</CharactersWithSpaces>
  <SharedDoc>false</SharedDoc>
  <HLinks>
    <vt:vector size="66" baseType="variant">
      <vt:variant>
        <vt:i4>1048639</vt:i4>
      </vt:variant>
      <vt:variant>
        <vt:i4>62</vt:i4>
      </vt:variant>
      <vt:variant>
        <vt:i4>0</vt:i4>
      </vt:variant>
      <vt:variant>
        <vt:i4>5</vt:i4>
      </vt:variant>
      <vt:variant>
        <vt:lpwstr/>
      </vt:variant>
      <vt:variant>
        <vt:lpwstr>_Toc335392058</vt:lpwstr>
      </vt:variant>
      <vt:variant>
        <vt:i4>1048639</vt:i4>
      </vt:variant>
      <vt:variant>
        <vt:i4>56</vt:i4>
      </vt:variant>
      <vt:variant>
        <vt:i4>0</vt:i4>
      </vt:variant>
      <vt:variant>
        <vt:i4>5</vt:i4>
      </vt:variant>
      <vt:variant>
        <vt:lpwstr/>
      </vt:variant>
      <vt:variant>
        <vt:lpwstr>_Toc335392057</vt:lpwstr>
      </vt:variant>
      <vt:variant>
        <vt:i4>1048639</vt:i4>
      </vt:variant>
      <vt:variant>
        <vt:i4>50</vt:i4>
      </vt:variant>
      <vt:variant>
        <vt:i4>0</vt:i4>
      </vt:variant>
      <vt:variant>
        <vt:i4>5</vt:i4>
      </vt:variant>
      <vt:variant>
        <vt:lpwstr/>
      </vt:variant>
      <vt:variant>
        <vt:lpwstr>_Toc335392056</vt:lpwstr>
      </vt:variant>
      <vt:variant>
        <vt:i4>1048639</vt:i4>
      </vt:variant>
      <vt:variant>
        <vt:i4>44</vt:i4>
      </vt:variant>
      <vt:variant>
        <vt:i4>0</vt:i4>
      </vt:variant>
      <vt:variant>
        <vt:i4>5</vt:i4>
      </vt:variant>
      <vt:variant>
        <vt:lpwstr/>
      </vt:variant>
      <vt:variant>
        <vt:lpwstr>_Toc335392055</vt:lpwstr>
      </vt:variant>
      <vt:variant>
        <vt:i4>1048639</vt:i4>
      </vt:variant>
      <vt:variant>
        <vt:i4>38</vt:i4>
      </vt:variant>
      <vt:variant>
        <vt:i4>0</vt:i4>
      </vt:variant>
      <vt:variant>
        <vt:i4>5</vt:i4>
      </vt:variant>
      <vt:variant>
        <vt:lpwstr/>
      </vt:variant>
      <vt:variant>
        <vt:lpwstr>_Toc335392054</vt:lpwstr>
      </vt:variant>
      <vt:variant>
        <vt:i4>1048639</vt:i4>
      </vt:variant>
      <vt:variant>
        <vt:i4>32</vt:i4>
      </vt:variant>
      <vt:variant>
        <vt:i4>0</vt:i4>
      </vt:variant>
      <vt:variant>
        <vt:i4>5</vt:i4>
      </vt:variant>
      <vt:variant>
        <vt:lpwstr/>
      </vt:variant>
      <vt:variant>
        <vt:lpwstr>_Toc335392053</vt:lpwstr>
      </vt:variant>
      <vt:variant>
        <vt:i4>1048639</vt:i4>
      </vt:variant>
      <vt:variant>
        <vt:i4>26</vt:i4>
      </vt:variant>
      <vt:variant>
        <vt:i4>0</vt:i4>
      </vt:variant>
      <vt:variant>
        <vt:i4>5</vt:i4>
      </vt:variant>
      <vt:variant>
        <vt:lpwstr/>
      </vt:variant>
      <vt:variant>
        <vt:lpwstr>_Toc335392052</vt:lpwstr>
      </vt:variant>
      <vt:variant>
        <vt:i4>1048639</vt:i4>
      </vt:variant>
      <vt:variant>
        <vt:i4>20</vt:i4>
      </vt:variant>
      <vt:variant>
        <vt:i4>0</vt:i4>
      </vt:variant>
      <vt:variant>
        <vt:i4>5</vt:i4>
      </vt:variant>
      <vt:variant>
        <vt:lpwstr/>
      </vt:variant>
      <vt:variant>
        <vt:lpwstr>_Toc335392051</vt:lpwstr>
      </vt:variant>
      <vt:variant>
        <vt:i4>1048639</vt:i4>
      </vt:variant>
      <vt:variant>
        <vt:i4>14</vt:i4>
      </vt:variant>
      <vt:variant>
        <vt:i4>0</vt:i4>
      </vt:variant>
      <vt:variant>
        <vt:i4>5</vt:i4>
      </vt:variant>
      <vt:variant>
        <vt:lpwstr/>
      </vt:variant>
      <vt:variant>
        <vt:lpwstr>_Toc335392050</vt:lpwstr>
      </vt:variant>
      <vt:variant>
        <vt:i4>1114175</vt:i4>
      </vt:variant>
      <vt:variant>
        <vt:i4>8</vt:i4>
      </vt:variant>
      <vt:variant>
        <vt:i4>0</vt:i4>
      </vt:variant>
      <vt:variant>
        <vt:i4>5</vt:i4>
      </vt:variant>
      <vt:variant>
        <vt:lpwstr/>
      </vt:variant>
      <vt:variant>
        <vt:lpwstr>_Toc335392049</vt:lpwstr>
      </vt:variant>
      <vt:variant>
        <vt:i4>1114175</vt:i4>
      </vt:variant>
      <vt:variant>
        <vt:i4>2</vt:i4>
      </vt:variant>
      <vt:variant>
        <vt:i4>0</vt:i4>
      </vt:variant>
      <vt:variant>
        <vt:i4>5</vt:i4>
      </vt:variant>
      <vt:variant>
        <vt:lpwstr/>
      </vt:variant>
      <vt:variant>
        <vt:lpwstr>_Toc335392048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 Record Template</dc:title>
  <dc:creator>Geoscience Australia</dc:creator>
  <dc:description>Updated January 2013</dc:description>
  <cp:lastModifiedBy>Geoscience Australia</cp:lastModifiedBy>
  <cp:revision>3</cp:revision>
  <cp:lastPrinted>2013-05-01T00:38:00Z</cp:lastPrinted>
  <dcterms:created xsi:type="dcterms:W3CDTF">2013-05-29T06:32:00Z</dcterms:created>
  <dcterms:modified xsi:type="dcterms:W3CDTF">2013-05-29T22:00:00Z</dcterms:modified>
</cp:coreProperties>
</file>