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27B" w:rsidRPr="00CD2239" w:rsidRDefault="00BC127B" w:rsidP="00BC127B">
      <w:pPr>
        <w:pStyle w:val="Documenttitle"/>
      </w:pPr>
      <w:bookmarkStart w:id="0" w:name="_GoBack"/>
      <w:bookmarkEnd w:id="0"/>
      <w:r>
        <w:t>Assessment of Tropical Cyclone Risk in the Pacific Region</w:t>
      </w:r>
    </w:p>
    <w:p w:rsidR="00BC127B" w:rsidRPr="00DC0D80" w:rsidRDefault="00BC127B" w:rsidP="00BC127B">
      <w:pPr>
        <w:pStyle w:val="Documentsubtitle"/>
      </w:pPr>
      <w:r>
        <w:t>Analysis of Changes in Key Tropical Cyclone Parameters</w:t>
      </w:r>
    </w:p>
    <w:p w:rsidR="00BC127B" w:rsidRPr="00CD2239" w:rsidRDefault="00BC127B" w:rsidP="00BC127B">
      <w:pPr>
        <w:pStyle w:val="Record"/>
      </w:pPr>
      <w:r>
        <w:t>Geoscience Australia</w:t>
      </w:r>
      <w:r>
        <w:br/>
        <w:t>RECORD</w:t>
      </w:r>
      <w:r w:rsidRPr="008E6EEB">
        <w:t xml:space="preserve"> </w:t>
      </w:r>
      <w:r w:rsidRPr="00CD2239">
        <w:t>201</w:t>
      </w:r>
      <w:r>
        <w:t>3</w:t>
      </w:r>
      <w:r w:rsidR="004648E4">
        <w:t>/23</w:t>
      </w:r>
    </w:p>
    <w:p w:rsidR="00BC127B" w:rsidRPr="00213B94" w:rsidRDefault="00E52B45" w:rsidP="00BC127B">
      <w:pPr>
        <w:pStyle w:val="Authors"/>
      </w:pPr>
      <w:r>
        <w:t xml:space="preserve">W. C. </w:t>
      </w:r>
      <w:r w:rsidR="00BC127B">
        <w:t>Arthur</w:t>
      </w:r>
      <w:r>
        <w:t xml:space="preserve"> and</w:t>
      </w:r>
      <w:r w:rsidR="00BC127B" w:rsidRPr="00213B94">
        <w:t xml:space="preserve"> </w:t>
      </w:r>
      <w:r>
        <w:t xml:space="preserve">H. M. </w:t>
      </w:r>
      <w:r w:rsidR="00BC127B">
        <w:t xml:space="preserve">Woolf </w:t>
      </w:r>
    </w:p>
    <w:p w:rsidR="00BC127B" w:rsidRPr="00A54C1B" w:rsidRDefault="00BC127B" w:rsidP="00BC127B">
      <w:pPr>
        <w:pStyle w:val="Figuresandimagesleft"/>
      </w:pPr>
      <w:r>
        <w:rPr>
          <w:noProof/>
        </w:rPr>
        <w:drawing>
          <wp:inline distT="0" distB="0" distL="0" distR="0" wp14:anchorId="7FE1E6FC" wp14:editId="18673F8B">
            <wp:extent cx="2552065" cy="743585"/>
            <wp:effectExtent l="0" t="0" r="635" b="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065" cy="743585"/>
                    </a:xfrm>
                    <a:prstGeom prst="rect">
                      <a:avLst/>
                    </a:prstGeom>
                    <a:noFill/>
                    <a:ln>
                      <a:noFill/>
                    </a:ln>
                  </pic:spPr>
                </pic:pic>
              </a:graphicData>
            </a:graphic>
          </wp:inline>
        </w:drawing>
      </w:r>
    </w:p>
    <w:p w:rsidR="00BC127B" w:rsidRPr="00710117" w:rsidRDefault="00BC127B" w:rsidP="00BC127B">
      <w:pPr>
        <w:pStyle w:val="VersoBoldPgB4"/>
      </w:pPr>
      <w:r w:rsidRPr="00AD2347">
        <w:lastRenderedPageBreak/>
        <w:t>Department</w:t>
      </w:r>
      <w:r w:rsidRPr="00710117">
        <w:t xml:space="preserve"> of Resources, Energy and Tourism</w:t>
      </w:r>
    </w:p>
    <w:p w:rsidR="00BC127B" w:rsidRPr="00A32A11" w:rsidRDefault="00BC127B" w:rsidP="00BC127B">
      <w:pPr>
        <w:pStyle w:val="Versopageinfo"/>
      </w:pPr>
      <w:r w:rsidRPr="00661A73">
        <w:t xml:space="preserve">Minister for Resources and Energy: </w:t>
      </w:r>
      <w:r w:rsidRPr="00692160">
        <w:t xml:space="preserve">The Hon Gary </w:t>
      </w:r>
      <w:proofErr w:type="spellStart"/>
      <w:r w:rsidRPr="00692160">
        <w:t>Gray</w:t>
      </w:r>
      <w:proofErr w:type="spellEnd"/>
      <w:r w:rsidRPr="00692160">
        <w:t xml:space="preserve"> AO MP</w:t>
      </w:r>
      <w:r>
        <w:br/>
      </w:r>
      <w:r w:rsidRPr="00661A73">
        <w:t>Secretary</w:t>
      </w:r>
      <w:r w:rsidRPr="00A32A11">
        <w:t xml:space="preserve">: Mr </w:t>
      </w:r>
      <w:r>
        <w:t xml:space="preserve">Blair </w:t>
      </w:r>
      <w:proofErr w:type="spellStart"/>
      <w:r>
        <w:t>Comley</w:t>
      </w:r>
      <w:proofErr w:type="spellEnd"/>
      <w:r>
        <w:t>, PSM</w:t>
      </w:r>
    </w:p>
    <w:p w:rsidR="00BC127B" w:rsidRDefault="00BC127B" w:rsidP="00BC127B">
      <w:pPr>
        <w:pStyle w:val="VersoBold"/>
      </w:pPr>
      <w:r>
        <w:t>Geoscience Australia</w:t>
      </w:r>
    </w:p>
    <w:p w:rsidR="00BC127B" w:rsidRDefault="00BC127B" w:rsidP="001617F2">
      <w:pPr>
        <w:pStyle w:val="BodyText"/>
      </w:pPr>
      <w:r>
        <w:t xml:space="preserve">Chief Executive Officer: Dr Chris </w:t>
      </w:r>
      <w:proofErr w:type="spellStart"/>
      <w:r>
        <w:t>Pigram</w:t>
      </w:r>
      <w:proofErr w:type="spellEnd"/>
      <w:r>
        <w:br/>
        <w:t>This paper is published with the permission of the CEO, Geoscience Australia</w:t>
      </w:r>
    </w:p>
    <w:p w:rsidR="00BC127B" w:rsidRDefault="00BC127B" w:rsidP="00BC127B">
      <w:pPr>
        <w:pStyle w:val="Figuresandimagesleft"/>
      </w:pPr>
      <w:r>
        <w:rPr>
          <w:noProof/>
        </w:rPr>
        <w:drawing>
          <wp:inline distT="0" distB="0" distL="0" distR="0" wp14:anchorId="4BFD83D9" wp14:editId="57B7F931">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BC127B" w:rsidRDefault="00BC127B" w:rsidP="00BC127B">
      <w:pPr>
        <w:pStyle w:val="Versopageinfo"/>
      </w:pPr>
      <w:r>
        <w:t>© Commonwealth of Australia (Geoscience Australia) 2013</w:t>
      </w:r>
    </w:p>
    <w:p w:rsidR="00BC127B" w:rsidRDefault="00BC127B" w:rsidP="00BC127B">
      <w:pPr>
        <w:pStyle w:val="Versopageinfo"/>
      </w:pPr>
      <w:r>
        <w:t>With the exception of the Commonwealth Coat of Arms and where otherwise noted, all material in this publication is provided under a Creative Commons Attribution 3.0 Australia Licence. (</w:t>
      </w:r>
      <w:hyperlink r:id="rId11" w:tooltip="Creative Commons website" w:history="1">
        <w:r w:rsidRPr="002E4BF6">
          <w:rPr>
            <w:rStyle w:val="Hyperlink"/>
          </w:rPr>
          <w:t>http://www.creativecommons.org/licenses/by/3.0/au/deed.en</w:t>
        </w:r>
      </w:hyperlink>
      <w:r>
        <w:t>)</w:t>
      </w:r>
    </w:p>
    <w:p w:rsidR="00BC127B" w:rsidRDefault="00BC127B" w:rsidP="00BC127B">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BC127B" w:rsidRDefault="00BC127B" w:rsidP="00BC127B">
      <w:pPr>
        <w:pStyle w:val="Versopageinfo"/>
      </w:pPr>
      <w:r>
        <w:t xml:space="preserve">Geoscience Australia is committed to providing web accessible content wherever possible. If you are having difficulties with accessing this document please contact </w:t>
      </w:r>
      <w:hyperlink r:id="rId12" w:tooltip="Email Geoscience Australia" w:history="1">
        <w:r w:rsidR="00D8188D" w:rsidRPr="007D7955">
          <w:rPr>
            <w:rStyle w:val="Hyperlink"/>
          </w:rPr>
          <w:t>clientservices@ga.gov.au</w:t>
        </w:r>
      </w:hyperlink>
      <w:r w:rsidRPr="003726DC">
        <w:t>.</w:t>
      </w:r>
    </w:p>
    <w:p w:rsidR="00BC127B" w:rsidRPr="00661A73" w:rsidRDefault="00BC127B" w:rsidP="00BC127B">
      <w:pPr>
        <w:pStyle w:val="VersoBold"/>
      </w:pPr>
      <w:r>
        <w:t>ISSN 2201-702X (PDF)</w:t>
      </w:r>
    </w:p>
    <w:p w:rsidR="004648E4" w:rsidRDefault="00BC127B" w:rsidP="00BC127B">
      <w:pPr>
        <w:pStyle w:val="VersoBold"/>
      </w:pPr>
      <w:r w:rsidRPr="00661A73">
        <w:t xml:space="preserve">ISBN </w:t>
      </w:r>
      <w:r w:rsidR="004648E4" w:rsidRPr="004648E4">
        <w:t xml:space="preserve">978-1-922201-54-6 </w:t>
      </w:r>
      <w:r w:rsidRPr="00661A73">
        <w:t>(PDF)</w:t>
      </w:r>
    </w:p>
    <w:p w:rsidR="00BC127B" w:rsidRPr="00F77E2B" w:rsidRDefault="00BC127B" w:rsidP="00BC127B">
      <w:pPr>
        <w:pStyle w:val="VersoBold"/>
      </w:pPr>
      <w:proofErr w:type="spellStart"/>
      <w:r w:rsidRPr="00661A73">
        <w:t>GeoCat</w:t>
      </w:r>
      <w:proofErr w:type="spellEnd"/>
      <w:r w:rsidRPr="00F77E2B">
        <w:t xml:space="preserve"> </w:t>
      </w:r>
      <w:r>
        <w:t>76213</w:t>
      </w:r>
    </w:p>
    <w:p w:rsidR="00BC127B" w:rsidRPr="00CD2239" w:rsidRDefault="00BC127B" w:rsidP="00BC127B">
      <w:pPr>
        <w:pStyle w:val="Bibliography"/>
      </w:pPr>
      <w:r w:rsidRPr="00195F5B">
        <w:rPr>
          <w:rStyle w:val="BodyTextBoldChar"/>
        </w:rPr>
        <w:t>Bibliographic reference:</w:t>
      </w:r>
      <w:r w:rsidRPr="00F71B2B">
        <w:t xml:space="preserve"> </w:t>
      </w:r>
      <w:r w:rsidR="004648E4">
        <w:t>Arthur, W. C. &amp;</w:t>
      </w:r>
      <w:r w:rsidRPr="00FF3B10">
        <w:t xml:space="preserve"> </w:t>
      </w:r>
      <w:r>
        <w:t xml:space="preserve">Woolf, H. M. 2013. </w:t>
      </w:r>
      <w:r w:rsidRPr="00F82AE9">
        <w:rPr>
          <w:rStyle w:val="Italic"/>
        </w:rPr>
        <w:t xml:space="preserve">Assessment of </w:t>
      </w:r>
      <w:r w:rsidR="004648E4">
        <w:rPr>
          <w:rStyle w:val="Italic"/>
        </w:rPr>
        <w:t>t</w:t>
      </w:r>
      <w:r w:rsidRPr="00F82AE9">
        <w:rPr>
          <w:rStyle w:val="Italic"/>
        </w:rPr>
        <w:t xml:space="preserve">ropical </w:t>
      </w:r>
      <w:r w:rsidR="004648E4">
        <w:rPr>
          <w:rStyle w:val="Italic"/>
        </w:rPr>
        <w:t>c</w:t>
      </w:r>
      <w:r w:rsidRPr="00F82AE9">
        <w:rPr>
          <w:rStyle w:val="Italic"/>
        </w:rPr>
        <w:t xml:space="preserve">yclone </w:t>
      </w:r>
      <w:r w:rsidR="004648E4">
        <w:rPr>
          <w:rStyle w:val="Italic"/>
        </w:rPr>
        <w:t>r</w:t>
      </w:r>
      <w:r w:rsidRPr="00F82AE9">
        <w:rPr>
          <w:rStyle w:val="Italic"/>
        </w:rPr>
        <w:t xml:space="preserve">isk in the Pacific </w:t>
      </w:r>
      <w:r w:rsidR="004648E4">
        <w:rPr>
          <w:rStyle w:val="Italic"/>
        </w:rPr>
        <w:t>r</w:t>
      </w:r>
      <w:r w:rsidRPr="00F82AE9">
        <w:rPr>
          <w:rStyle w:val="Italic"/>
        </w:rPr>
        <w:t xml:space="preserve">egion: </w:t>
      </w:r>
      <w:r w:rsidR="004648E4">
        <w:rPr>
          <w:rStyle w:val="Italic"/>
        </w:rPr>
        <w:t>a</w:t>
      </w:r>
      <w:r w:rsidRPr="00F82AE9">
        <w:rPr>
          <w:rStyle w:val="Italic"/>
        </w:rPr>
        <w:t xml:space="preserve">nalysis of </w:t>
      </w:r>
      <w:r w:rsidR="004648E4">
        <w:rPr>
          <w:rStyle w:val="Italic"/>
        </w:rPr>
        <w:t>c</w:t>
      </w:r>
      <w:r w:rsidRPr="00F82AE9">
        <w:rPr>
          <w:rStyle w:val="Italic"/>
        </w:rPr>
        <w:t xml:space="preserve">hanges in </w:t>
      </w:r>
      <w:r w:rsidR="004648E4">
        <w:rPr>
          <w:rStyle w:val="Italic"/>
        </w:rPr>
        <w:t>k</w:t>
      </w:r>
      <w:r w:rsidRPr="00F82AE9">
        <w:rPr>
          <w:rStyle w:val="Italic"/>
        </w:rPr>
        <w:t xml:space="preserve">ey </w:t>
      </w:r>
      <w:r w:rsidR="004648E4">
        <w:rPr>
          <w:rStyle w:val="Italic"/>
        </w:rPr>
        <w:t>t</w:t>
      </w:r>
      <w:r w:rsidRPr="00F82AE9">
        <w:rPr>
          <w:rStyle w:val="Italic"/>
        </w:rPr>
        <w:t xml:space="preserve">ropical </w:t>
      </w:r>
      <w:r w:rsidR="004648E4">
        <w:rPr>
          <w:rStyle w:val="Italic"/>
        </w:rPr>
        <w:t>c</w:t>
      </w:r>
      <w:r w:rsidRPr="00F82AE9">
        <w:rPr>
          <w:rStyle w:val="Italic"/>
        </w:rPr>
        <w:t xml:space="preserve">yclone </w:t>
      </w:r>
      <w:r w:rsidR="004648E4">
        <w:rPr>
          <w:rStyle w:val="Italic"/>
        </w:rPr>
        <w:t>p</w:t>
      </w:r>
      <w:r w:rsidRPr="00F82AE9">
        <w:rPr>
          <w:rStyle w:val="Italic"/>
        </w:rPr>
        <w:t>arameters</w:t>
      </w:r>
      <w:r w:rsidR="004648E4">
        <w:t>. Record 2013/23</w:t>
      </w:r>
      <w:r>
        <w:t>. Geoscience Australia: Canberra.</w:t>
      </w:r>
    </w:p>
    <w:p w:rsidR="00BC127B" w:rsidRDefault="00BC127B" w:rsidP="00D22C29">
      <w:pPr>
        <w:pStyle w:val="Versopageinfo"/>
      </w:pPr>
      <w:r>
        <w:t>Version: 1305-01.</w:t>
      </w:r>
    </w:p>
    <w:p w:rsidR="00D22C29" w:rsidRDefault="00D22C29" w:rsidP="00D22C29">
      <w:pPr>
        <w:pStyle w:val="Versopageinfo"/>
      </w:pPr>
      <w:r w:rsidRPr="009F2B97">
        <w:rPr>
          <w:rStyle w:val="BodyTextBoldChar"/>
        </w:rPr>
        <w:t>Left cover image</w:t>
      </w:r>
      <w:r>
        <w:t xml:space="preserve">: Tropical Cyclone Zoe (category 5) northeast of Vanuatu, South Pacific Ocean, on 27 December 2002. Image courtesy NASA Earth Observing System Data and Information System (EOSDIS) </w:t>
      </w:r>
      <w:hyperlink r:id="rId13" w:tooltip="Earth Data website" w:history="1">
        <w:r>
          <w:rPr>
            <w:rStyle w:val="Hyperlink"/>
          </w:rPr>
          <w:t>https://earthdata.nasa.gov/</w:t>
        </w:r>
      </w:hyperlink>
    </w:p>
    <w:p w:rsidR="00D22C29" w:rsidRDefault="00D22C29" w:rsidP="00D22C29">
      <w:pPr>
        <w:pStyle w:val="Versopageinfo"/>
      </w:pPr>
    </w:p>
    <w:p w:rsidR="00D22C29" w:rsidRDefault="00D22C29" w:rsidP="00D22C29">
      <w:pPr>
        <w:pStyle w:val="Versopageinfo"/>
        <w:sectPr w:rsidR="00D22C29" w:rsidSect="00EF41F0">
          <w:pgSz w:w="11907" w:h="16840" w:code="9"/>
          <w:pgMar w:top="1985" w:right="1418" w:bottom="1418" w:left="1418" w:header="720" w:footer="397" w:gutter="0"/>
          <w:pgNumType w:fmt="lowerRoman" w:start="1"/>
          <w:cols w:space="720"/>
        </w:sectPr>
      </w:pPr>
    </w:p>
    <w:p w:rsidR="00BC127B" w:rsidRPr="00E176A9" w:rsidRDefault="00BC127B" w:rsidP="00BC127B">
      <w:pPr>
        <w:pStyle w:val="TOCHeading"/>
      </w:pPr>
      <w:r w:rsidRPr="00E176A9">
        <w:lastRenderedPageBreak/>
        <w:t>Contents</w:t>
      </w:r>
    </w:p>
    <w:p w:rsidR="00E57C2A" w:rsidRDefault="00BC127B">
      <w:pPr>
        <w:pStyle w:val="TOC1"/>
        <w:rPr>
          <w:rFonts w:asciiTheme="minorHAnsi" w:eastAsiaTheme="minorEastAsia" w:hAnsiTheme="minorHAnsi" w:cstheme="minorBidi"/>
          <w:sz w:val="22"/>
          <w:szCs w:val="22"/>
        </w:rPr>
      </w:pPr>
      <w:r>
        <w:fldChar w:fldCharType="begin"/>
      </w:r>
      <w:r>
        <w:instrText xml:space="preserve"> TOC \o "5-5" \h \z \t "Heading 1,1,Heading 2,2,Heading 3,3,Heading 4,4,Heading 9,1,Head 1 no numbers,1,Head 2 no numbers,2,Head 3 no numbers,3,Head 4 no numbers,4,H1 appendix,1,Heading appendix 2,2,Heading appendix 3,3,Heading appendix 4,4" </w:instrText>
      </w:r>
      <w:r>
        <w:fldChar w:fldCharType="separate"/>
      </w:r>
      <w:hyperlink w:anchor="_Toc361914676" w:history="1">
        <w:r w:rsidR="00E57C2A" w:rsidRPr="00146F0B">
          <w:rPr>
            <w:rStyle w:val="Hyperlink"/>
          </w:rPr>
          <w:t>Executive Summary</w:t>
        </w:r>
        <w:r w:rsidR="00E57C2A">
          <w:rPr>
            <w:webHidden/>
          </w:rPr>
          <w:tab/>
        </w:r>
        <w:r w:rsidR="00E57C2A">
          <w:rPr>
            <w:webHidden/>
          </w:rPr>
          <w:fldChar w:fldCharType="begin"/>
        </w:r>
        <w:r w:rsidR="00E57C2A">
          <w:rPr>
            <w:webHidden/>
          </w:rPr>
          <w:instrText xml:space="preserve"> PAGEREF _Toc361914676 \h </w:instrText>
        </w:r>
        <w:r w:rsidR="00E57C2A">
          <w:rPr>
            <w:webHidden/>
          </w:rPr>
        </w:r>
        <w:r w:rsidR="00E57C2A">
          <w:rPr>
            <w:webHidden/>
          </w:rPr>
          <w:fldChar w:fldCharType="separate"/>
        </w:r>
        <w:r w:rsidR="00E57C2A">
          <w:rPr>
            <w:webHidden/>
          </w:rPr>
          <w:t>1</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77" w:history="1">
        <w:r w:rsidR="00E57C2A" w:rsidRPr="00146F0B">
          <w:rPr>
            <w:rStyle w:val="Hyperlink"/>
          </w:rPr>
          <w:t>Acknowledgements</w:t>
        </w:r>
        <w:r w:rsidR="00E57C2A">
          <w:rPr>
            <w:webHidden/>
          </w:rPr>
          <w:tab/>
        </w:r>
        <w:r w:rsidR="00E57C2A">
          <w:rPr>
            <w:webHidden/>
          </w:rPr>
          <w:fldChar w:fldCharType="begin"/>
        </w:r>
        <w:r w:rsidR="00E57C2A">
          <w:rPr>
            <w:webHidden/>
          </w:rPr>
          <w:instrText xml:space="preserve"> PAGEREF _Toc361914677 \h </w:instrText>
        </w:r>
        <w:r w:rsidR="00E57C2A">
          <w:rPr>
            <w:webHidden/>
          </w:rPr>
        </w:r>
        <w:r w:rsidR="00E57C2A">
          <w:rPr>
            <w:webHidden/>
          </w:rPr>
          <w:fldChar w:fldCharType="separate"/>
        </w:r>
        <w:r w:rsidR="00E57C2A">
          <w:rPr>
            <w:webHidden/>
          </w:rPr>
          <w:t>2</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78" w:history="1">
        <w:r w:rsidR="00E57C2A" w:rsidRPr="00146F0B">
          <w:rPr>
            <w:rStyle w:val="Hyperlink"/>
          </w:rPr>
          <w:t>Glossary</w:t>
        </w:r>
        <w:r w:rsidR="00E57C2A">
          <w:rPr>
            <w:webHidden/>
          </w:rPr>
          <w:tab/>
        </w:r>
        <w:r w:rsidR="00E57C2A">
          <w:rPr>
            <w:webHidden/>
          </w:rPr>
          <w:fldChar w:fldCharType="begin"/>
        </w:r>
        <w:r w:rsidR="00E57C2A">
          <w:rPr>
            <w:webHidden/>
          </w:rPr>
          <w:instrText xml:space="preserve"> PAGEREF _Toc361914678 \h </w:instrText>
        </w:r>
        <w:r w:rsidR="00E57C2A">
          <w:rPr>
            <w:webHidden/>
          </w:rPr>
        </w:r>
        <w:r w:rsidR="00E57C2A">
          <w:rPr>
            <w:webHidden/>
          </w:rPr>
          <w:fldChar w:fldCharType="separate"/>
        </w:r>
        <w:r w:rsidR="00E57C2A">
          <w:rPr>
            <w:webHidden/>
          </w:rPr>
          <w:t>3</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79" w:history="1">
        <w:r w:rsidR="00E57C2A" w:rsidRPr="00146F0B">
          <w:rPr>
            <w:rStyle w:val="Hyperlink"/>
          </w:rPr>
          <w:t>1. Introduction</w:t>
        </w:r>
        <w:r w:rsidR="00E57C2A">
          <w:rPr>
            <w:webHidden/>
          </w:rPr>
          <w:tab/>
        </w:r>
        <w:r w:rsidR="00E57C2A">
          <w:rPr>
            <w:webHidden/>
          </w:rPr>
          <w:fldChar w:fldCharType="begin"/>
        </w:r>
        <w:r w:rsidR="00E57C2A">
          <w:rPr>
            <w:webHidden/>
          </w:rPr>
          <w:instrText xml:space="preserve"> PAGEREF _Toc361914679 \h </w:instrText>
        </w:r>
        <w:r w:rsidR="00E57C2A">
          <w:rPr>
            <w:webHidden/>
          </w:rPr>
        </w:r>
        <w:r w:rsidR="00E57C2A">
          <w:rPr>
            <w:webHidden/>
          </w:rPr>
          <w:fldChar w:fldCharType="separate"/>
        </w:r>
        <w:r w:rsidR="00E57C2A">
          <w:rPr>
            <w:webHidden/>
          </w:rPr>
          <w:t>4</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80" w:history="1">
        <w:r w:rsidR="00E57C2A" w:rsidRPr="00146F0B">
          <w:rPr>
            <w:rStyle w:val="Hyperlink"/>
          </w:rPr>
          <w:t>2. Study area</w:t>
        </w:r>
        <w:r w:rsidR="00E57C2A">
          <w:rPr>
            <w:webHidden/>
          </w:rPr>
          <w:tab/>
        </w:r>
        <w:r w:rsidR="00E57C2A">
          <w:rPr>
            <w:webHidden/>
          </w:rPr>
          <w:fldChar w:fldCharType="begin"/>
        </w:r>
        <w:r w:rsidR="00E57C2A">
          <w:rPr>
            <w:webHidden/>
          </w:rPr>
          <w:instrText xml:space="preserve"> PAGEREF _Toc361914680 \h </w:instrText>
        </w:r>
        <w:r w:rsidR="00E57C2A">
          <w:rPr>
            <w:webHidden/>
          </w:rPr>
        </w:r>
        <w:r w:rsidR="00E57C2A">
          <w:rPr>
            <w:webHidden/>
          </w:rPr>
          <w:fldChar w:fldCharType="separate"/>
        </w:r>
        <w:r w:rsidR="00E57C2A">
          <w:rPr>
            <w:webHidden/>
          </w:rPr>
          <w:t>5</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81" w:history="1">
        <w:r w:rsidR="00E57C2A" w:rsidRPr="00146F0B">
          <w:rPr>
            <w:rStyle w:val="Hyperlink"/>
          </w:rPr>
          <w:t>3. Source data</w:t>
        </w:r>
        <w:r w:rsidR="00E57C2A">
          <w:rPr>
            <w:webHidden/>
          </w:rPr>
          <w:tab/>
        </w:r>
        <w:r w:rsidR="00E57C2A">
          <w:rPr>
            <w:webHidden/>
          </w:rPr>
          <w:fldChar w:fldCharType="begin"/>
        </w:r>
        <w:r w:rsidR="00E57C2A">
          <w:rPr>
            <w:webHidden/>
          </w:rPr>
          <w:instrText xml:space="preserve"> PAGEREF _Toc361914681 \h </w:instrText>
        </w:r>
        <w:r w:rsidR="00E57C2A">
          <w:rPr>
            <w:webHidden/>
          </w:rPr>
        </w:r>
        <w:r w:rsidR="00E57C2A">
          <w:rPr>
            <w:webHidden/>
          </w:rPr>
          <w:fldChar w:fldCharType="separate"/>
        </w:r>
        <w:r w:rsidR="00E57C2A">
          <w:rPr>
            <w:webHidden/>
          </w:rPr>
          <w:t>6</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82" w:history="1">
        <w:r w:rsidR="00E57C2A" w:rsidRPr="00146F0B">
          <w:rPr>
            <w:rStyle w:val="Hyperlink"/>
          </w:rPr>
          <w:t>3.1. Tropical Cyclone-Like Vortices</w:t>
        </w:r>
        <w:r w:rsidR="00E57C2A">
          <w:rPr>
            <w:webHidden/>
          </w:rPr>
          <w:tab/>
        </w:r>
        <w:r w:rsidR="00E57C2A">
          <w:rPr>
            <w:webHidden/>
          </w:rPr>
          <w:fldChar w:fldCharType="begin"/>
        </w:r>
        <w:r w:rsidR="00E57C2A">
          <w:rPr>
            <w:webHidden/>
          </w:rPr>
          <w:instrText xml:space="preserve"> PAGEREF _Toc361914682 \h </w:instrText>
        </w:r>
        <w:r w:rsidR="00E57C2A">
          <w:rPr>
            <w:webHidden/>
          </w:rPr>
        </w:r>
        <w:r w:rsidR="00E57C2A">
          <w:rPr>
            <w:webHidden/>
          </w:rPr>
          <w:fldChar w:fldCharType="separate"/>
        </w:r>
        <w:r w:rsidR="00E57C2A">
          <w:rPr>
            <w:webHidden/>
          </w:rPr>
          <w:t>6</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83" w:history="1">
        <w:r w:rsidR="00E57C2A" w:rsidRPr="00146F0B">
          <w:rPr>
            <w:rStyle w:val="Hyperlink"/>
          </w:rPr>
          <w:t>3.2. Historical tropical cyclone track data</w:t>
        </w:r>
        <w:r w:rsidR="00E57C2A">
          <w:rPr>
            <w:webHidden/>
          </w:rPr>
          <w:tab/>
        </w:r>
        <w:r w:rsidR="00E57C2A">
          <w:rPr>
            <w:webHidden/>
          </w:rPr>
          <w:fldChar w:fldCharType="begin"/>
        </w:r>
        <w:r w:rsidR="00E57C2A">
          <w:rPr>
            <w:webHidden/>
          </w:rPr>
          <w:instrText xml:space="preserve"> PAGEREF _Toc361914683 \h </w:instrText>
        </w:r>
        <w:r w:rsidR="00E57C2A">
          <w:rPr>
            <w:webHidden/>
          </w:rPr>
        </w:r>
        <w:r w:rsidR="00E57C2A">
          <w:rPr>
            <w:webHidden/>
          </w:rPr>
          <w:fldChar w:fldCharType="separate"/>
        </w:r>
        <w:r w:rsidR="00E57C2A">
          <w:rPr>
            <w:webHidden/>
          </w:rPr>
          <w:t>8</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84" w:history="1">
        <w:r w:rsidR="00E57C2A" w:rsidRPr="00146F0B">
          <w:rPr>
            <w:rStyle w:val="Hyperlink"/>
          </w:rPr>
          <w:t>4. Methods</w:t>
        </w:r>
        <w:r w:rsidR="00E57C2A">
          <w:rPr>
            <w:webHidden/>
          </w:rPr>
          <w:tab/>
        </w:r>
        <w:r w:rsidR="00E57C2A">
          <w:rPr>
            <w:webHidden/>
          </w:rPr>
          <w:fldChar w:fldCharType="begin"/>
        </w:r>
        <w:r w:rsidR="00E57C2A">
          <w:rPr>
            <w:webHidden/>
          </w:rPr>
          <w:instrText xml:space="preserve"> PAGEREF _Toc361914684 \h </w:instrText>
        </w:r>
        <w:r w:rsidR="00E57C2A">
          <w:rPr>
            <w:webHidden/>
          </w:rPr>
        </w:r>
        <w:r w:rsidR="00E57C2A">
          <w:rPr>
            <w:webHidden/>
          </w:rPr>
          <w:fldChar w:fldCharType="separate"/>
        </w:r>
        <w:r w:rsidR="00E57C2A">
          <w:rPr>
            <w:webHidden/>
          </w:rPr>
          <w:t>10</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85" w:history="1">
        <w:r w:rsidR="00E57C2A" w:rsidRPr="00146F0B">
          <w:rPr>
            <w:rStyle w:val="Hyperlink"/>
          </w:rPr>
          <w:t>4.1. Parameters</w:t>
        </w:r>
        <w:r w:rsidR="00E57C2A">
          <w:rPr>
            <w:webHidden/>
          </w:rPr>
          <w:tab/>
        </w:r>
        <w:r w:rsidR="00E57C2A">
          <w:rPr>
            <w:webHidden/>
          </w:rPr>
          <w:fldChar w:fldCharType="begin"/>
        </w:r>
        <w:r w:rsidR="00E57C2A">
          <w:rPr>
            <w:webHidden/>
          </w:rPr>
          <w:instrText xml:space="preserve"> PAGEREF _Toc361914685 \h </w:instrText>
        </w:r>
        <w:r w:rsidR="00E57C2A">
          <w:rPr>
            <w:webHidden/>
          </w:rPr>
        </w:r>
        <w:r w:rsidR="00E57C2A">
          <w:rPr>
            <w:webHidden/>
          </w:rPr>
          <w:fldChar w:fldCharType="separate"/>
        </w:r>
        <w:r w:rsidR="00E57C2A">
          <w:rPr>
            <w:webHidden/>
          </w:rPr>
          <w:t>10</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86" w:history="1">
        <w:r w:rsidR="00E57C2A" w:rsidRPr="00146F0B">
          <w:rPr>
            <w:rStyle w:val="Hyperlink"/>
          </w:rPr>
          <w:t>4.2. Central pressure deficit scaling</w:t>
        </w:r>
        <w:r w:rsidR="00E57C2A">
          <w:rPr>
            <w:webHidden/>
          </w:rPr>
          <w:tab/>
        </w:r>
        <w:r w:rsidR="00E57C2A">
          <w:rPr>
            <w:webHidden/>
          </w:rPr>
          <w:fldChar w:fldCharType="begin"/>
        </w:r>
        <w:r w:rsidR="00E57C2A">
          <w:rPr>
            <w:webHidden/>
          </w:rPr>
          <w:instrText xml:space="preserve"> PAGEREF _Toc361914686 \h </w:instrText>
        </w:r>
        <w:r w:rsidR="00E57C2A">
          <w:rPr>
            <w:webHidden/>
          </w:rPr>
        </w:r>
        <w:r w:rsidR="00E57C2A">
          <w:rPr>
            <w:webHidden/>
          </w:rPr>
          <w:fldChar w:fldCharType="separate"/>
        </w:r>
        <w:r w:rsidR="00E57C2A">
          <w:rPr>
            <w:webHidden/>
          </w:rPr>
          <w:t>10</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87" w:history="1">
        <w:r w:rsidR="00E57C2A" w:rsidRPr="00146F0B">
          <w:rPr>
            <w:rStyle w:val="Hyperlink"/>
          </w:rPr>
          <w:t>4.3. Wind-pressure relations</w:t>
        </w:r>
        <w:r w:rsidR="00E57C2A">
          <w:rPr>
            <w:webHidden/>
          </w:rPr>
          <w:tab/>
        </w:r>
        <w:r w:rsidR="00E57C2A">
          <w:rPr>
            <w:webHidden/>
          </w:rPr>
          <w:fldChar w:fldCharType="begin"/>
        </w:r>
        <w:r w:rsidR="00E57C2A">
          <w:rPr>
            <w:webHidden/>
          </w:rPr>
          <w:instrText xml:space="preserve"> PAGEREF _Toc361914687 \h </w:instrText>
        </w:r>
        <w:r w:rsidR="00E57C2A">
          <w:rPr>
            <w:webHidden/>
          </w:rPr>
        </w:r>
        <w:r w:rsidR="00E57C2A">
          <w:rPr>
            <w:webHidden/>
          </w:rPr>
          <w:fldChar w:fldCharType="separate"/>
        </w:r>
        <w:r w:rsidR="00E57C2A">
          <w:rPr>
            <w:webHidden/>
          </w:rPr>
          <w:t>13</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88" w:history="1">
        <w:r w:rsidR="00E57C2A" w:rsidRPr="00146F0B">
          <w:rPr>
            <w:rStyle w:val="Hyperlink"/>
          </w:rPr>
          <w:t>4.4. Categorisation</w:t>
        </w:r>
        <w:r w:rsidR="00E57C2A">
          <w:rPr>
            <w:webHidden/>
          </w:rPr>
          <w:tab/>
        </w:r>
        <w:r w:rsidR="00E57C2A">
          <w:rPr>
            <w:webHidden/>
          </w:rPr>
          <w:fldChar w:fldCharType="begin"/>
        </w:r>
        <w:r w:rsidR="00E57C2A">
          <w:rPr>
            <w:webHidden/>
          </w:rPr>
          <w:instrText xml:space="preserve"> PAGEREF _Toc361914688 \h </w:instrText>
        </w:r>
        <w:r w:rsidR="00E57C2A">
          <w:rPr>
            <w:webHidden/>
          </w:rPr>
        </w:r>
        <w:r w:rsidR="00E57C2A">
          <w:rPr>
            <w:webHidden/>
          </w:rPr>
          <w:fldChar w:fldCharType="separate"/>
        </w:r>
        <w:r w:rsidR="00E57C2A">
          <w:rPr>
            <w:webHidden/>
          </w:rPr>
          <w:t>14</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89" w:history="1">
        <w:r w:rsidR="00E57C2A" w:rsidRPr="00146F0B">
          <w:rPr>
            <w:rStyle w:val="Hyperlink"/>
          </w:rPr>
          <w:t>4.5. Annual frequency calibration</w:t>
        </w:r>
        <w:r w:rsidR="00E57C2A">
          <w:rPr>
            <w:webHidden/>
          </w:rPr>
          <w:tab/>
        </w:r>
        <w:r w:rsidR="00E57C2A">
          <w:rPr>
            <w:webHidden/>
          </w:rPr>
          <w:fldChar w:fldCharType="begin"/>
        </w:r>
        <w:r w:rsidR="00E57C2A">
          <w:rPr>
            <w:webHidden/>
          </w:rPr>
          <w:instrText xml:space="preserve"> PAGEREF _Toc361914689 \h </w:instrText>
        </w:r>
        <w:r w:rsidR="00E57C2A">
          <w:rPr>
            <w:webHidden/>
          </w:rPr>
        </w:r>
        <w:r w:rsidR="00E57C2A">
          <w:rPr>
            <w:webHidden/>
          </w:rPr>
          <w:fldChar w:fldCharType="separate"/>
        </w:r>
        <w:r w:rsidR="00E57C2A">
          <w:rPr>
            <w:webHidden/>
          </w:rPr>
          <w:t>15</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90" w:history="1">
        <w:r w:rsidR="00E57C2A" w:rsidRPr="00146F0B">
          <w:rPr>
            <w:rStyle w:val="Hyperlink"/>
          </w:rPr>
          <w:t>4.6. Significance testing</w:t>
        </w:r>
        <w:r w:rsidR="00E57C2A">
          <w:rPr>
            <w:webHidden/>
          </w:rPr>
          <w:tab/>
        </w:r>
        <w:r w:rsidR="00E57C2A">
          <w:rPr>
            <w:webHidden/>
          </w:rPr>
          <w:fldChar w:fldCharType="begin"/>
        </w:r>
        <w:r w:rsidR="00E57C2A">
          <w:rPr>
            <w:webHidden/>
          </w:rPr>
          <w:instrText xml:space="preserve"> PAGEREF _Toc361914690 \h </w:instrText>
        </w:r>
        <w:r w:rsidR="00E57C2A">
          <w:rPr>
            <w:webHidden/>
          </w:rPr>
        </w:r>
        <w:r w:rsidR="00E57C2A">
          <w:rPr>
            <w:webHidden/>
          </w:rPr>
          <w:fldChar w:fldCharType="separate"/>
        </w:r>
        <w:r w:rsidR="00E57C2A">
          <w:rPr>
            <w:webHidden/>
          </w:rPr>
          <w:t>16</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91" w:history="1">
        <w:r w:rsidR="00E57C2A" w:rsidRPr="00146F0B">
          <w:rPr>
            <w:rStyle w:val="Hyperlink"/>
          </w:rPr>
          <w:t>4.7. Evaluating mid-century changes</w:t>
        </w:r>
        <w:r w:rsidR="00E57C2A">
          <w:rPr>
            <w:webHidden/>
          </w:rPr>
          <w:tab/>
        </w:r>
        <w:r w:rsidR="00E57C2A">
          <w:rPr>
            <w:webHidden/>
          </w:rPr>
          <w:fldChar w:fldCharType="begin"/>
        </w:r>
        <w:r w:rsidR="00E57C2A">
          <w:rPr>
            <w:webHidden/>
          </w:rPr>
          <w:instrText xml:space="preserve"> PAGEREF _Toc361914691 \h </w:instrText>
        </w:r>
        <w:r w:rsidR="00E57C2A">
          <w:rPr>
            <w:webHidden/>
          </w:rPr>
        </w:r>
        <w:r w:rsidR="00E57C2A">
          <w:rPr>
            <w:webHidden/>
          </w:rPr>
          <w:fldChar w:fldCharType="separate"/>
        </w:r>
        <w:r w:rsidR="00E57C2A">
          <w:rPr>
            <w:webHidden/>
          </w:rPr>
          <w:t>16</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92" w:history="1">
        <w:r w:rsidR="00E57C2A" w:rsidRPr="00146F0B">
          <w:rPr>
            <w:rStyle w:val="Hyperlink"/>
          </w:rPr>
          <w:t>5. Results</w:t>
        </w:r>
        <w:r w:rsidR="00E57C2A">
          <w:rPr>
            <w:webHidden/>
          </w:rPr>
          <w:tab/>
        </w:r>
        <w:r w:rsidR="00E57C2A">
          <w:rPr>
            <w:webHidden/>
          </w:rPr>
          <w:fldChar w:fldCharType="begin"/>
        </w:r>
        <w:r w:rsidR="00E57C2A">
          <w:rPr>
            <w:webHidden/>
          </w:rPr>
          <w:instrText xml:space="preserve"> PAGEREF _Toc361914692 \h </w:instrText>
        </w:r>
        <w:r w:rsidR="00E57C2A">
          <w:rPr>
            <w:webHidden/>
          </w:rPr>
        </w:r>
        <w:r w:rsidR="00E57C2A">
          <w:rPr>
            <w:webHidden/>
          </w:rPr>
          <w:fldChar w:fldCharType="separate"/>
        </w:r>
        <w:r w:rsidR="00E57C2A">
          <w:rPr>
            <w:webHidden/>
          </w:rPr>
          <w:t>19</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93" w:history="1">
        <w:r w:rsidR="00E57C2A" w:rsidRPr="00146F0B">
          <w:rPr>
            <w:rStyle w:val="Hyperlink"/>
          </w:rPr>
          <w:t>5.1. Ensemble results</w:t>
        </w:r>
        <w:r w:rsidR="00E57C2A">
          <w:rPr>
            <w:webHidden/>
          </w:rPr>
          <w:tab/>
        </w:r>
        <w:r w:rsidR="00E57C2A">
          <w:rPr>
            <w:webHidden/>
          </w:rPr>
          <w:fldChar w:fldCharType="begin"/>
        </w:r>
        <w:r w:rsidR="00E57C2A">
          <w:rPr>
            <w:webHidden/>
          </w:rPr>
          <w:instrText xml:space="preserve"> PAGEREF _Toc361914693 \h </w:instrText>
        </w:r>
        <w:r w:rsidR="00E57C2A">
          <w:rPr>
            <w:webHidden/>
          </w:rPr>
        </w:r>
        <w:r w:rsidR="00E57C2A">
          <w:rPr>
            <w:webHidden/>
          </w:rPr>
          <w:fldChar w:fldCharType="separate"/>
        </w:r>
        <w:r w:rsidR="00E57C2A">
          <w:rPr>
            <w:webHidden/>
          </w:rPr>
          <w:t>26</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94" w:history="1">
        <w:r w:rsidR="00E57C2A" w:rsidRPr="00146F0B">
          <w:rPr>
            <w:rStyle w:val="Hyperlink"/>
          </w:rPr>
          <w:t>6. Summary</w:t>
        </w:r>
        <w:r w:rsidR="00E57C2A">
          <w:rPr>
            <w:webHidden/>
          </w:rPr>
          <w:tab/>
        </w:r>
        <w:r w:rsidR="00E57C2A">
          <w:rPr>
            <w:webHidden/>
          </w:rPr>
          <w:fldChar w:fldCharType="begin"/>
        </w:r>
        <w:r w:rsidR="00E57C2A">
          <w:rPr>
            <w:webHidden/>
          </w:rPr>
          <w:instrText xml:space="preserve"> PAGEREF _Toc361914694 \h </w:instrText>
        </w:r>
        <w:r w:rsidR="00E57C2A">
          <w:rPr>
            <w:webHidden/>
          </w:rPr>
        </w:r>
        <w:r w:rsidR="00E57C2A">
          <w:rPr>
            <w:webHidden/>
          </w:rPr>
          <w:fldChar w:fldCharType="separate"/>
        </w:r>
        <w:r w:rsidR="00E57C2A">
          <w:rPr>
            <w:webHidden/>
          </w:rPr>
          <w:t>31</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95" w:history="1">
        <w:r w:rsidR="00E57C2A" w:rsidRPr="00146F0B">
          <w:rPr>
            <w:rStyle w:val="Hyperlink"/>
            <w14:scene3d>
              <w14:camera w14:prst="orthographicFront"/>
              <w14:lightRig w14:rig="threePt" w14:dir="t">
                <w14:rot w14:lat="0" w14:lon="0" w14:rev="0"/>
              </w14:lightRig>
            </w14:scene3d>
          </w:rPr>
          <w:t>Appendix A.</w:t>
        </w:r>
        <w:r w:rsidR="00E57C2A" w:rsidRPr="00146F0B">
          <w:rPr>
            <w:rStyle w:val="Hyperlink"/>
          </w:rPr>
          <w:t xml:space="preserve"> Climate modelling groups</w:t>
        </w:r>
        <w:r w:rsidR="00E57C2A">
          <w:rPr>
            <w:webHidden/>
          </w:rPr>
          <w:tab/>
        </w:r>
        <w:r w:rsidR="00E57C2A">
          <w:rPr>
            <w:webHidden/>
          </w:rPr>
          <w:fldChar w:fldCharType="begin"/>
        </w:r>
        <w:r w:rsidR="00E57C2A">
          <w:rPr>
            <w:webHidden/>
          </w:rPr>
          <w:instrText xml:space="preserve"> PAGEREF _Toc361914695 \h </w:instrText>
        </w:r>
        <w:r w:rsidR="00E57C2A">
          <w:rPr>
            <w:webHidden/>
          </w:rPr>
        </w:r>
        <w:r w:rsidR="00E57C2A">
          <w:rPr>
            <w:webHidden/>
          </w:rPr>
          <w:fldChar w:fldCharType="separate"/>
        </w:r>
        <w:r w:rsidR="00E57C2A">
          <w:rPr>
            <w:webHidden/>
          </w:rPr>
          <w:t>33</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96" w:history="1">
        <w:r w:rsidR="00E57C2A" w:rsidRPr="00146F0B">
          <w:rPr>
            <w:rStyle w:val="Hyperlink"/>
            <w14:scene3d>
              <w14:camera w14:prst="orthographicFront"/>
              <w14:lightRig w14:rig="threePt" w14:dir="t">
                <w14:rot w14:lat="0" w14:lon="0" w14:rev="0"/>
              </w14:lightRig>
            </w14:scene3d>
          </w:rPr>
          <w:t>Appendix B.</w:t>
        </w:r>
        <w:r w:rsidR="00E57C2A" w:rsidRPr="00146F0B">
          <w:rPr>
            <w:rStyle w:val="Hyperlink"/>
          </w:rPr>
          <w:t xml:space="preserve"> Relative distribution of TC intensity</w:t>
        </w:r>
        <w:r w:rsidR="00E57C2A">
          <w:rPr>
            <w:webHidden/>
          </w:rPr>
          <w:tab/>
        </w:r>
        <w:r w:rsidR="00E57C2A">
          <w:rPr>
            <w:webHidden/>
          </w:rPr>
          <w:fldChar w:fldCharType="begin"/>
        </w:r>
        <w:r w:rsidR="00E57C2A">
          <w:rPr>
            <w:webHidden/>
          </w:rPr>
          <w:instrText xml:space="preserve"> PAGEREF _Toc361914696 \h </w:instrText>
        </w:r>
        <w:r w:rsidR="00E57C2A">
          <w:rPr>
            <w:webHidden/>
          </w:rPr>
        </w:r>
        <w:r w:rsidR="00E57C2A">
          <w:rPr>
            <w:webHidden/>
          </w:rPr>
          <w:fldChar w:fldCharType="separate"/>
        </w:r>
        <w:r w:rsidR="00E57C2A">
          <w:rPr>
            <w:webHidden/>
          </w:rPr>
          <w:t>34</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97" w:history="1">
        <w:r w:rsidR="00E57C2A" w:rsidRPr="00146F0B">
          <w:rPr>
            <w:rStyle w:val="Hyperlink"/>
          </w:rPr>
          <w:t>B.1. Southern hemisphere domain</w:t>
        </w:r>
        <w:r w:rsidR="00E57C2A">
          <w:rPr>
            <w:webHidden/>
          </w:rPr>
          <w:tab/>
        </w:r>
        <w:r w:rsidR="00E57C2A">
          <w:rPr>
            <w:webHidden/>
          </w:rPr>
          <w:fldChar w:fldCharType="begin"/>
        </w:r>
        <w:r w:rsidR="00E57C2A">
          <w:rPr>
            <w:webHidden/>
          </w:rPr>
          <w:instrText xml:space="preserve"> PAGEREF _Toc361914697 \h </w:instrText>
        </w:r>
        <w:r w:rsidR="00E57C2A">
          <w:rPr>
            <w:webHidden/>
          </w:rPr>
        </w:r>
        <w:r w:rsidR="00E57C2A">
          <w:rPr>
            <w:webHidden/>
          </w:rPr>
          <w:fldChar w:fldCharType="separate"/>
        </w:r>
        <w:r w:rsidR="00E57C2A">
          <w:rPr>
            <w:webHidden/>
          </w:rPr>
          <w:t>35</w:t>
        </w:r>
        <w:r w:rsidR="00E57C2A">
          <w:rPr>
            <w:webHidden/>
          </w:rPr>
          <w:fldChar w:fldCharType="end"/>
        </w:r>
      </w:hyperlink>
    </w:p>
    <w:p w:rsidR="00E57C2A" w:rsidRDefault="006A5281">
      <w:pPr>
        <w:pStyle w:val="TOC2"/>
        <w:rPr>
          <w:rFonts w:asciiTheme="minorHAnsi" w:eastAsiaTheme="minorEastAsia" w:hAnsiTheme="minorHAnsi" w:cstheme="minorBidi"/>
          <w:sz w:val="22"/>
          <w:szCs w:val="22"/>
        </w:rPr>
      </w:pPr>
      <w:hyperlink w:anchor="_Toc361914698" w:history="1">
        <w:r w:rsidR="00E57C2A" w:rsidRPr="00146F0B">
          <w:rPr>
            <w:rStyle w:val="Hyperlink"/>
          </w:rPr>
          <w:t>B.2. Northern hemisphere domain</w:t>
        </w:r>
        <w:r w:rsidR="00E57C2A">
          <w:rPr>
            <w:webHidden/>
          </w:rPr>
          <w:tab/>
        </w:r>
        <w:r w:rsidR="00E57C2A">
          <w:rPr>
            <w:webHidden/>
          </w:rPr>
          <w:fldChar w:fldCharType="begin"/>
        </w:r>
        <w:r w:rsidR="00E57C2A">
          <w:rPr>
            <w:webHidden/>
          </w:rPr>
          <w:instrText xml:space="preserve"> PAGEREF _Toc361914698 \h </w:instrText>
        </w:r>
        <w:r w:rsidR="00E57C2A">
          <w:rPr>
            <w:webHidden/>
          </w:rPr>
        </w:r>
        <w:r w:rsidR="00E57C2A">
          <w:rPr>
            <w:webHidden/>
          </w:rPr>
          <w:fldChar w:fldCharType="separate"/>
        </w:r>
        <w:r w:rsidR="00E57C2A">
          <w:rPr>
            <w:webHidden/>
          </w:rPr>
          <w:t>40</w:t>
        </w:r>
        <w:r w:rsidR="00E57C2A">
          <w:rPr>
            <w:webHidden/>
          </w:rPr>
          <w:fldChar w:fldCharType="end"/>
        </w:r>
      </w:hyperlink>
    </w:p>
    <w:p w:rsidR="00E57C2A" w:rsidRDefault="006A5281">
      <w:pPr>
        <w:pStyle w:val="TOC1"/>
        <w:rPr>
          <w:rFonts w:asciiTheme="minorHAnsi" w:eastAsiaTheme="minorEastAsia" w:hAnsiTheme="minorHAnsi" w:cstheme="minorBidi"/>
          <w:sz w:val="22"/>
          <w:szCs w:val="22"/>
        </w:rPr>
      </w:pPr>
      <w:hyperlink w:anchor="_Toc361914699" w:history="1">
        <w:r w:rsidR="00E57C2A" w:rsidRPr="00146F0B">
          <w:rPr>
            <w:rStyle w:val="Hyperlink"/>
          </w:rPr>
          <w:t>References</w:t>
        </w:r>
        <w:r w:rsidR="00E57C2A">
          <w:rPr>
            <w:webHidden/>
          </w:rPr>
          <w:tab/>
        </w:r>
        <w:r w:rsidR="00E57C2A">
          <w:rPr>
            <w:webHidden/>
          </w:rPr>
          <w:fldChar w:fldCharType="begin"/>
        </w:r>
        <w:r w:rsidR="00E57C2A">
          <w:rPr>
            <w:webHidden/>
          </w:rPr>
          <w:instrText xml:space="preserve"> PAGEREF _Toc361914699 \h </w:instrText>
        </w:r>
        <w:r w:rsidR="00E57C2A">
          <w:rPr>
            <w:webHidden/>
          </w:rPr>
        </w:r>
        <w:r w:rsidR="00E57C2A">
          <w:rPr>
            <w:webHidden/>
          </w:rPr>
          <w:fldChar w:fldCharType="separate"/>
        </w:r>
        <w:r w:rsidR="00E57C2A">
          <w:rPr>
            <w:webHidden/>
          </w:rPr>
          <w:t>46</w:t>
        </w:r>
        <w:r w:rsidR="00E57C2A">
          <w:rPr>
            <w:webHidden/>
          </w:rPr>
          <w:fldChar w:fldCharType="end"/>
        </w:r>
      </w:hyperlink>
    </w:p>
    <w:p w:rsidR="00BC127B" w:rsidRPr="00D17B8F" w:rsidRDefault="00BC127B" w:rsidP="00BC127B">
      <w:pPr>
        <w:pStyle w:val="BodyText"/>
        <w:sectPr w:rsidR="00BC127B" w:rsidRPr="00D17B8F" w:rsidSect="00EF41F0">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r>
        <w:rPr>
          <w:noProof/>
        </w:rPr>
        <w:fldChar w:fldCharType="end"/>
      </w:r>
      <w:r>
        <w:br w:type="page"/>
      </w:r>
    </w:p>
    <w:p w:rsidR="00DD2B6F" w:rsidRDefault="00DD2B6F" w:rsidP="00DD2B6F">
      <w:pPr>
        <w:pStyle w:val="Head1nonumbers"/>
      </w:pPr>
      <w:bookmarkStart w:id="1" w:name="_Toc357065166"/>
      <w:bookmarkStart w:id="2" w:name="_Toc361914676"/>
      <w:bookmarkStart w:id="3" w:name="_Toc356827187"/>
      <w:bookmarkStart w:id="4" w:name="_Toc357065164"/>
      <w:r>
        <w:lastRenderedPageBreak/>
        <w:t>Executive Summary</w:t>
      </w:r>
      <w:bookmarkEnd w:id="1"/>
      <w:bookmarkEnd w:id="2"/>
    </w:p>
    <w:p w:rsidR="00DD2B6F" w:rsidRPr="001F5A54" w:rsidRDefault="00DD2B6F" w:rsidP="001F5A54">
      <w:pPr>
        <w:pStyle w:val="BodyText"/>
      </w:pPr>
      <w:r w:rsidRPr="00F82AE9">
        <w:t>A</w:t>
      </w:r>
      <w:r w:rsidRPr="001F5A54">
        <w:t>s part of the Pacific-Australia Climate Change Science and Adaptation Planning Program (PACCSAP), t</w:t>
      </w:r>
      <w:r w:rsidRPr="00F82AE9">
        <w:t xml:space="preserve">he </w:t>
      </w:r>
      <w:r w:rsidRPr="001F5A54">
        <w:t xml:space="preserve">Assessment of Tropical Cyclone Risks in the Pacific Region </w:t>
      </w:r>
      <w:r w:rsidRPr="00F82AE9">
        <w:t>project represents a collaboration between DIICCSRTE and Geoscience Australia with the Pacific Catastrophe Risk Assessment and Financing Initiative (PCRAFI) and AIR Worldwide Corporation. Building on the expertise of each organisation, the project will deliver an assessment of the financial risks to buildings, infrastructure and agriculture arising from tropical cyclones (TCs) under current and future climate regimes. T</w:t>
      </w:r>
      <w:r w:rsidRPr="001F5A54">
        <w:t xml:space="preserve">he project aims to improve the understanding of financial risks posed by tropical cyclones to key assets in Partner Countries – </w:t>
      </w:r>
      <w:r>
        <w:t xml:space="preserve">Cook Islands, Fiji, Kiribati, Federated States of Micronesia, Republic of the Marshall Islands, Nauru, Niue, Palau, Papua New Guinea, Samoa, Solomon Islands, Timor </w:t>
      </w:r>
      <w:proofErr w:type="spellStart"/>
      <w:r>
        <w:t>Leste</w:t>
      </w:r>
      <w:proofErr w:type="spellEnd"/>
      <w:r>
        <w:t>, Tonga, Tuvalu and Vanuatu</w:t>
      </w:r>
      <w:r w:rsidRPr="001F5A54">
        <w:t xml:space="preserve"> – under future climate scenarios. </w:t>
      </w:r>
      <w:r w:rsidRPr="00451072">
        <w:t>The resulting risk information will allow Partner Country governments to better integrate climate risk considerations into infrastructure development and ex-ante disaster planning.</w:t>
      </w:r>
    </w:p>
    <w:p w:rsidR="00DD2B6F" w:rsidRPr="001F5A54" w:rsidRDefault="00DD2B6F" w:rsidP="001F5A54">
      <w:pPr>
        <w:pStyle w:val="BodyText"/>
      </w:pPr>
      <w:r w:rsidRPr="001F5A54">
        <w:t>To achieve this goal, the project identifies changes in key TC parameters –</w:t>
      </w:r>
      <w:r w:rsidR="00261317" w:rsidRPr="001F5A54">
        <w:t xml:space="preserve"> </w:t>
      </w:r>
      <w:r w:rsidRPr="001F5A54">
        <w:t>annual mean frequency, mean maximum intensity, mean latitude of genesis, mean latitude of peak intensity and proportion of intense TCs – between simulations of the current and future climate. Relative changes in these parameters are evaluated as the fractional change between TC behavio</w:t>
      </w:r>
      <w:r w:rsidR="006420DD">
        <w:t>u</w:t>
      </w:r>
      <w:r w:rsidRPr="001F5A54">
        <w:t>r in current climate simulations and future climate simulations.</w:t>
      </w:r>
      <w:r w:rsidR="006420DD">
        <w:t xml:space="preserve"> </w:t>
      </w:r>
      <w:r w:rsidRPr="001F5A54">
        <w:t xml:space="preserve">These relative changes are delivered as a set of </w:t>
      </w:r>
      <w:r w:rsidRPr="00F82AE9">
        <w:t>peril matrices</w:t>
      </w:r>
      <w:r w:rsidRPr="001F5A54">
        <w:t xml:space="preserve"> and are used by AIR Worldwide to inform a targeted sampling process to develop a climate-conditioned catalo</w:t>
      </w:r>
      <w:r w:rsidR="006420DD">
        <w:t>gue</w:t>
      </w:r>
      <w:r w:rsidRPr="001F5A54">
        <w:t xml:space="preserve"> of TC events. The events are then passed through a catastrophe model to arrive at national and regional loss estimates due to severe winds, flooding and storm surge for each climate scenario.</w:t>
      </w:r>
    </w:p>
    <w:p w:rsidR="00DD2B6F" w:rsidRPr="001F5A54" w:rsidRDefault="00DD2B6F" w:rsidP="00DD2B6F">
      <w:pPr>
        <w:pStyle w:val="BodyText"/>
      </w:pPr>
      <w:r>
        <w:t xml:space="preserve">The </w:t>
      </w:r>
      <w:r w:rsidR="001139D1">
        <w:t>range of projected changes in key tropical cyclone parameters provides only moderate confidence in the ensemble mean changes.</w:t>
      </w:r>
      <w:r>
        <w:t xml:space="preserve"> </w:t>
      </w:r>
      <w:r w:rsidR="001139D1">
        <w:t xml:space="preserve">This is </w:t>
      </w:r>
      <w:r>
        <w:t xml:space="preserve">especially </w:t>
      </w:r>
      <w:r w:rsidR="001139D1">
        <w:t xml:space="preserve">so for </w:t>
      </w:r>
      <w:r>
        <w:t xml:space="preserve">those </w:t>
      </w:r>
      <w:r w:rsidR="001139D1">
        <w:t xml:space="preserve">results </w:t>
      </w:r>
      <w:r>
        <w:t>derived from the latest generation of general circulation models (GCMs)</w:t>
      </w:r>
      <w:r w:rsidR="001139D1">
        <w:t>.</w:t>
      </w:r>
      <w:r>
        <w:t xml:space="preserve"> Results for the latest generation of models indicate an increase in frequency of TCs in the Pacific region, an increase in the proportion of intense TCs (category 5 on the </w:t>
      </w:r>
      <w:proofErr w:type="spellStart"/>
      <w:r>
        <w:t>Saffir</w:t>
      </w:r>
      <w:proofErr w:type="spellEnd"/>
      <w:r>
        <w:t>-Simpson Hurricane Intensity Scale), but an overall decline in the mean intensity of TCs.</w:t>
      </w:r>
    </w:p>
    <w:p w:rsidR="00DD2B6F" w:rsidRDefault="00DD2B6F" w:rsidP="00DD2B6F">
      <w:pPr>
        <w:pStyle w:val="BodyText"/>
      </w:pPr>
      <w:r>
        <w:t>While this project has identified changes in the behaviour of TCs</w:t>
      </w:r>
      <w:r w:rsidR="00961C64">
        <w:t>,</w:t>
      </w:r>
      <w:r>
        <w:t xml:space="preserve"> some of which are significant, the effects of these changes on the likely frequency and intensity of TCs impacting individual nations in the Pacific Region cannot be directly quantified from these results alone. A more thorough examination of the hazard posed by TCs will bear this out, and is being completed as part of the PACCSAP Science Progr</w:t>
      </w:r>
      <w:r w:rsidR="001C6ED5">
        <w:t>am in collaboration with CSIRO.</w:t>
      </w:r>
    </w:p>
    <w:p w:rsidR="00BC127B" w:rsidRPr="004648E4" w:rsidRDefault="00BC127B" w:rsidP="004648E4">
      <w:pPr>
        <w:pStyle w:val="Head1nonumbers"/>
      </w:pPr>
      <w:bookmarkStart w:id="5" w:name="_Toc361914677"/>
      <w:r w:rsidRPr="004648E4">
        <w:lastRenderedPageBreak/>
        <w:t>Acknowledgements</w:t>
      </w:r>
      <w:bookmarkEnd w:id="3"/>
      <w:bookmarkEnd w:id="4"/>
      <w:bookmarkEnd w:id="5"/>
    </w:p>
    <w:p w:rsidR="00BC127B" w:rsidRPr="00D445DC" w:rsidRDefault="00BC127B" w:rsidP="00BC127B">
      <w:pPr>
        <w:pStyle w:val="BodyText"/>
      </w:pPr>
      <w:r>
        <w:t xml:space="preserve">Geoscience Australia acknowledges the contributions of the </w:t>
      </w:r>
      <w:r w:rsidRPr="000E16E0">
        <w:t>Department of Industry, Innovation, Climate Change, Science, Research and Tertiary Education</w:t>
      </w:r>
      <w:r>
        <w:t xml:space="preserve"> (DIICCSRTE) for supporting this work as part of the Pacific-Australia Climate Change Science an</w:t>
      </w:r>
      <w:r w:rsidR="001C6ED5">
        <w:t>d Adaptation Planning Program.</w:t>
      </w:r>
      <w:r>
        <w:t xml:space="preserve"> Data was provided by the International Best Track Archive for Climate Stewardship (</w:t>
      </w:r>
      <w:proofErr w:type="spellStart"/>
      <w:r>
        <w:t>IBTrACS</w:t>
      </w:r>
      <w:proofErr w:type="spellEnd"/>
      <w:r>
        <w:t xml:space="preserve">), the World Climate Research Program’s (WCRP) Coupled Model </w:t>
      </w:r>
      <w:proofErr w:type="spellStart"/>
      <w:r>
        <w:t>Intercomparison</w:t>
      </w:r>
      <w:proofErr w:type="spellEnd"/>
      <w:r>
        <w:t xml:space="preserve"> Project Phase 3 and 5 (CMIP3 and CMIP5), with thanks to the climate modelling groups (</w:t>
      </w:r>
      <w:r>
        <w:fldChar w:fldCharType="begin"/>
      </w:r>
      <w:r>
        <w:instrText xml:space="preserve"> REF _Ref351981469 \h </w:instrText>
      </w:r>
      <w:r>
        <w:fldChar w:fldCharType="separate"/>
      </w:r>
      <w:r w:rsidR="00E57C2A" w:rsidRPr="00491481">
        <w:t xml:space="preserve">Table </w:t>
      </w:r>
      <w:r>
        <w:fldChar w:fldCharType="end"/>
      </w:r>
      <w:r>
        <w:t>) for producing and making available their data. The Commonwealth Scientific and Industrial Research Organisation (CSIRO) Marine and Atmospheric Research Division also provided data under license expressly for the purposes of completing this project.</w:t>
      </w:r>
    </w:p>
    <w:p w:rsidR="00BC127B" w:rsidRPr="004648E4" w:rsidRDefault="00BC127B" w:rsidP="004648E4">
      <w:pPr>
        <w:pStyle w:val="Head1nonumbers"/>
      </w:pPr>
      <w:bookmarkStart w:id="6" w:name="_Toc356827188"/>
      <w:bookmarkStart w:id="7" w:name="_Toc357065165"/>
      <w:bookmarkStart w:id="8" w:name="_Toc361914678"/>
      <w:r w:rsidRPr="004648E4">
        <w:lastRenderedPageBreak/>
        <w:t>Glossary</w:t>
      </w:r>
      <w:bookmarkEnd w:id="6"/>
      <w:bookmarkEnd w:id="7"/>
      <w:bookmarkEnd w:id="8"/>
    </w:p>
    <w:tbl>
      <w:tblPr>
        <w:tblStyle w:val="TableStyleGAHeaderColumn"/>
        <w:tblW w:w="0" w:type="auto"/>
        <w:tblLook w:val="01E0" w:firstRow="1" w:lastRow="1" w:firstColumn="1" w:lastColumn="1" w:noHBand="0" w:noVBand="0"/>
        <w:tblCaption w:val="Glossary of terms and abbreviations used through this report"/>
        <w:tblDescription w:val="CMIP: Coupled Model Intercomparison Project. CMIP3 represents the third phase of the project, where the outputs were used in the Intergovernmental Panel on Climate Change’s (IPCC) Fourth Assessment Report. CMIP5 represents the fifth phase, and those model outputs are to be used in the IPCC Fifth Assessment Report. CSIRO: Commonwealth Scientific and Industrial Research Organisation. DIICCSRTE: Department of Innovation, Industry, Climate Change, Science, Research and Tertiary Education. Dynamical downscaling: The output from a GCM is used to drive a RCM, which is run at higher spatial resolution. The process allows smaller scale features of the climate to be better resolved, while retaining large-scale characteristics from the GCM. GCM: A general circulation model (also commonly referred to as global climate model) is a mathematical model of the atmosphere (and ocean) used for weather and climate modelling applications. GHG: Green House Gas. IBTrACS: International Best Track Archive for Climate Stewardship. The official archiving and distribution resource for tropical cyclone best track data, endorsed by the World Meteorological Organisation. ICCAI: International Climate Change Adaptation Initiative. PACCSAP: Pacific-Australia Climate Change Science and Adaptation Planning Program. PCRAFI: Pacific Catastrophe Risk Assessment and Financing Initiative. RCM: Regional climate model. Similar to a GCM, but restricted to a reduced domain. RCP: Representative Concentration Pathways (van Vuuren et al., 2011). A set of four socio-economic and emission scenarios developed for the climate modelling community as a basis for long-term modelling experiments. RSMC: (Tropical Cyclone) Regional Specialized Meteorological Centre. A centre responsible for detecting tropical cyclones, providing basic information about the systems present and forecast position, movement and intensity information on tropical cyclones within its designated area of responsibility. SRES: Special Report on Emission Scenarios (Nakicenovic and Swart 2000). A set of scenarios that represent the range of driving forces and emissions that are used as a basis for long-term modelling experiments. TCLV: Tropical Cyclone-Like Vortex. A feature in climate model output that has characteristics similar to observed TCs, such as a warm core and closed circulation. WMO: World Meteorological Organisation"/>
      </w:tblPr>
      <w:tblGrid>
        <w:gridCol w:w="1418"/>
        <w:gridCol w:w="7710"/>
      </w:tblGrid>
      <w:tr w:rsidR="00BC127B" w:rsidTr="003954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8" w:type="dxa"/>
          </w:tcPr>
          <w:p w:rsidR="00BC127B" w:rsidRPr="00210F47" w:rsidRDefault="00BC127B" w:rsidP="003954B6">
            <w:pPr>
              <w:pStyle w:val="Tableheadingleft"/>
            </w:pPr>
            <w:r w:rsidRPr="00210F47">
              <w:t>CMIP</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 xml:space="preserve">Coupled Model </w:t>
            </w:r>
            <w:proofErr w:type="spellStart"/>
            <w:r w:rsidRPr="00210F47">
              <w:t>Intercomparison</w:t>
            </w:r>
            <w:proofErr w:type="spellEnd"/>
            <w:r w:rsidRPr="00210F47">
              <w:t xml:space="preserve"> Project. </w:t>
            </w:r>
            <w:r>
              <w:t>CMIP3 represents the third phase of the project, where the outputs were used in the Intergovernmental Panel on Climate Change’s (IPCC) Fourth Assessment Report. CMIP5 represents the fifth phase, and those model outputs are to be used in the IPCC Fifth Assessment Report.</w:t>
            </w:r>
          </w:p>
        </w:tc>
      </w:tr>
      <w:tr w:rsidR="00BC127B" w:rsidTr="003954B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t>CSIRO</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t>Commonwealth Scientific and Industrial Research Organisation</w:t>
            </w:r>
          </w:p>
        </w:tc>
      </w:tr>
      <w:tr w:rsidR="00BC127B" w:rsidTr="003954B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Default="00BC127B" w:rsidP="003954B6">
            <w:pPr>
              <w:pStyle w:val="Tableheadingleft"/>
            </w:pPr>
            <w:r>
              <w:t>DIICCSRTE</w:t>
            </w:r>
          </w:p>
        </w:tc>
        <w:tc>
          <w:tcPr>
            <w:cnfStyle w:val="000010000000" w:firstRow="0" w:lastRow="0" w:firstColumn="0" w:lastColumn="0" w:oddVBand="1" w:evenVBand="0" w:oddHBand="0" w:evenHBand="0" w:firstRowFirstColumn="0" w:firstRowLastColumn="0" w:lastRowFirstColumn="0" w:lastRowLastColumn="0"/>
            <w:tcW w:w="7711" w:type="dxa"/>
          </w:tcPr>
          <w:p w:rsidR="00BC127B" w:rsidRDefault="00BC127B" w:rsidP="003954B6">
            <w:pPr>
              <w:pStyle w:val="BodyText"/>
            </w:pPr>
            <w:r>
              <w:t>Department of Innovation, Industry, Climate Change, Science, Research and Tertiary Education</w:t>
            </w:r>
          </w:p>
        </w:tc>
      </w:tr>
      <w:tr w:rsidR="00BC127B" w:rsidTr="003954B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Dynamical downscaling</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The output from a GCM is used to drive a RCM, which is run at higher spatial resolution. The process allows smaller scale features of the climate to be better resolved, while retaining large-scale characteristics from the GCM.</w:t>
            </w:r>
          </w:p>
        </w:tc>
      </w:tr>
      <w:tr w:rsidR="00BC127B" w:rsidTr="003954B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GCM</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A general circulation model (also commonly referred to as global climate model) is a mathematical model of the atmosphere (and ocean) used for weather and climate modelling applications</w:t>
            </w:r>
          </w:p>
        </w:tc>
      </w:tr>
      <w:tr w:rsidR="00BC127B" w:rsidTr="003954B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 xml:space="preserve">GHG </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Green House Gas</w:t>
            </w:r>
          </w:p>
        </w:tc>
      </w:tr>
      <w:tr w:rsidR="00BC127B" w:rsidTr="003954B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proofErr w:type="spellStart"/>
            <w:r w:rsidRPr="00210F47">
              <w:t>IBTrACS</w:t>
            </w:r>
            <w:proofErr w:type="spellEnd"/>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International Best Track Archive for Climate Stewardship</w:t>
            </w:r>
            <w:r>
              <w:t>. The official archiving and distribution resource for tropical cyclone best track data, endorsed by the World Meteorological Organisation.</w:t>
            </w:r>
          </w:p>
        </w:tc>
      </w:tr>
      <w:tr w:rsidR="00BC127B" w:rsidTr="003954B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ICCAI</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International Climate Change Adaptation Initiative</w:t>
            </w:r>
          </w:p>
        </w:tc>
      </w:tr>
      <w:tr w:rsidR="00BC127B" w:rsidTr="003954B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t>PACCSAP</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t>Pacific-Australia Climate Change Science and Adaptation Planning Program</w:t>
            </w:r>
          </w:p>
        </w:tc>
      </w:tr>
      <w:tr w:rsidR="00BC127B" w:rsidTr="003954B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PCRAFI</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Pacific Catastrophe Risk Assessment and Financing Initiative</w:t>
            </w:r>
          </w:p>
        </w:tc>
      </w:tr>
      <w:tr w:rsidR="00BC127B" w:rsidTr="003954B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RCM</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 xml:space="preserve">Regional climate model. Similar to a GCM, but restricted to a reduced domain. </w:t>
            </w:r>
          </w:p>
        </w:tc>
      </w:tr>
      <w:tr w:rsidR="00BC127B" w:rsidTr="003954B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RCP</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Representative Concentration Pathway</w:t>
            </w:r>
            <w:r>
              <w:t>s</w:t>
            </w:r>
            <w:r w:rsidRPr="00210F47">
              <w:t xml:space="preserve"> (van </w:t>
            </w:r>
            <w:proofErr w:type="spellStart"/>
            <w:r w:rsidRPr="00210F47">
              <w:t>Vuuren</w:t>
            </w:r>
            <w:proofErr w:type="spellEnd"/>
            <w:r w:rsidRPr="00210F47">
              <w:t xml:space="preserve"> et al., 2011)</w:t>
            </w:r>
            <w:r>
              <w:t>. A set of four socio-economic and emission scenarios developed for the climate modelling community as a basis for long-term modelling experiments.</w:t>
            </w:r>
          </w:p>
        </w:tc>
      </w:tr>
      <w:tr w:rsidR="00BC127B" w:rsidTr="003954B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RSMC</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t xml:space="preserve">(Tropical Cyclone) </w:t>
            </w:r>
            <w:r w:rsidRPr="00210F47">
              <w:t>Regional S</w:t>
            </w:r>
            <w:r>
              <w:t>pecialized Meteorological Centre. A centre responsible for detecting tropical cyclones, providing basic information about the systems present and forecast position, movement and intensity information on tropical cyclones within its designated area of responsibility.</w:t>
            </w:r>
          </w:p>
        </w:tc>
      </w:tr>
      <w:tr w:rsidR="00BC127B" w:rsidTr="003954B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SRES</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Special Report on Emission Scenarios (</w:t>
            </w:r>
            <w:proofErr w:type="spellStart"/>
            <w:r w:rsidRPr="00163E6A">
              <w:t>Nakicenovic</w:t>
            </w:r>
            <w:proofErr w:type="spellEnd"/>
            <w:r w:rsidRPr="00163E6A">
              <w:t xml:space="preserve"> </w:t>
            </w:r>
            <w:r>
              <w:t>and Swart 2000</w:t>
            </w:r>
            <w:r w:rsidRPr="00210F47">
              <w:t xml:space="preserve">). </w:t>
            </w:r>
            <w:r>
              <w:t>A set of scenarios that represent the range of driving forces and emissions that are used as a basis for long-term modelling experiments.</w:t>
            </w:r>
          </w:p>
        </w:tc>
      </w:tr>
      <w:tr w:rsidR="00BC127B" w:rsidTr="003954B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TCLV</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t>Tropical Cyclone-L</w:t>
            </w:r>
            <w:r w:rsidRPr="00210F47">
              <w:t xml:space="preserve">ike </w:t>
            </w:r>
            <w:r>
              <w:t>V</w:t>
            </w:r>
            <w:r w:rsidRPr="00210F47">
              <w:t>ortex. A feature in climate model output that has characteristics similar to observed TCs, such as a warm core and closed circulation.</w:t>
            </w:r>
          </w:p>
        </w:tc>
      </w:tr>
      <w:tr w:rsidR="00BC127B" w:rsidTr="003954B6">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8" w:type="dxa"/>
          </w:tcPr>
          <w:p w:rsidR="00BC127B" w:rsidRPr="00210F47" w:rsidRDefault="00BC127B" w:rsidP="003954B6">
            <w:pPr>
              <w:pStyle w:val="Tableheadingleft"/>
            </w:pPr>
            <w:r w:rsidRPr="00210F47">
              <w:t>WMO</w:t>
            </w:r>
          </w:p>
        </w:tc>
        <w:tc>
          <w:tcPr>
            <w:cnfStyle w:val="000010000000" w:firstRow="0" w:lastRow="0" w:firstColumn="0" w:lastColumn="0" w:oddVBand="1" w:evenVBand="0" w:oddHBand="0" w:evenHBand="0" w:firstRowFirstColumn="0" w:firstRowLastColumn="0" w:lastRowFirstColumn="0" w:lastRowLastColumn="0"/>
            <w:tcW w:w="7711" w:type="dxa"/>
          </w:tcPr>
          <w:p w:rsidR="00BC127B" w:rsidRPr="00210F47" w:rsidRDefault="00BC127B" w:rsidP="003954B6">
            <w:pPr>
              <w:pStyle w:val="BodyText"/>
            </w:pPr>
            <w:r w:rsidRPr="00210F47">
              <w:t>World Meteorological Organisation</w:t>
            </w:r>
          </w:p>
        </w:tc>
      </w:tr>
    </w:tbl>
    <w:p w:rsidR="00BC127B" w:rsidRDefault="00BC127B" w:rsidP="00BC127B">
      <w:pPr>
        <w:pStyle w:val="Heading1"/>
      </w:pPr>
      <w:bookmarkStart w:id="9" w:name="_Toc356827189"/>
      <w:bookmarkStart w:id="10" w:name="_Toc357065167"/>
      <w:bookmarkStart w:id="11" w:name="_Toc361914679"/>
      <w:r>
        <w:lastRenderedPageBreak/>
        <w:t>Introduction</w:t>
      </w:r>
      <w:bookmarkEnd w:id="9"/>
      <w:bookmarkEnd w:id="10"/>
      <w:bookmarkEnd w:id="11"/>
    </w:p>
    <w:p w:rsidR="00BC127B" w:rsidRPr="00F82AE9" w:rsidRDefault="00BC127B" w:rsidP="00BC127B">
      <w:pPr>
        <w:pStyle w:val="BodyText"/>
      </w:pPr>
      <w:r w:rsidRPr="00F82AE9">
        <w:t xml:space="preserve">The </w:t>
      </w:r>
      <w:r w:rsidRPr="001F5A54">
        <w:t xml:space="preserve">Assessment of Tropical Cyclone Risks in the Pacific Region </w:t>
      </w:r>
      <w:r w:rsidRPr="00F82AE9">
        <w:t>project represents a collaboration between DIICCSRTE and Geoscience Australia with PCRAFI and AIR Worldwide. Building on the expertise of each organisation, the project will deliver an assessment of the financial risks to buildings, infrastructure and agriculture arising from tropical cyclones (TCs) under current and future climate regimes. This extends previous risk assessments undertaken by incorporating the influence of climate change on the hazard (TCs) into the assessment process.</w:t>
      </w:r>
    </w:p>
    <w:p w:rsidR="00BC127B" w:rsidRPr="001F5A54" w:rsidRDefault="00BC127B" w:rsidP="001F5A54">
      <w:pPr>
        <w:pStyle w:val="BodyText"/>
      </w:pPr>
      <w:r w:rsidRPr="001F5A54">
        <w:t>Operating as part of the Pacific-Australia Climate Change Science and Adaptation Planning Program (PACCSAP), the project aims to improve the understanding of financial risks posed by tropical cyclones to key assets in Partner Countries (</w:t>
      </w:r>
      <w:r>
        <w:t xml:space="preserve">Cook Islands, Fiji, Kiribati, Federated States of Micronesia, Republic of the Marshall Islands, Nauru, Niue, Palau, Papua New Guinea, Samoa, Solomon Islands, Timor </w:t>
      </w:r>
      <w:proofErr w:type="spellStart"/>
      <w:r>
        <w:t>Leste</w:t>
      </w:r>
      <w:proofErr w:type="spellEnd"/>
      <w:r>
        <w:t>, Tonga, Tuvalu and Vanuatu</w:t>
      </w:r>
      <w:r w:rsidRPr="001F5A54">
        <w:t>) in the Pacific region under future climate scenarios. The objective of the project is for Partner Country governments to be able to better integrate climate risk considerations into infrastructure planning and development</w:t>
      </w:r>
      <w:r w:rsidR="001C6ED5" w:rsidRPr="001F5A54">
        <w:t xml:space="preserve"> and ex-ante disaster planning.</w:t>
      </w:r>
    </w:p>
    <w:p w:rsidR="00BC127B" w:rsidRPr="001F5A54" w:rsidRDefault="00BC127B" w:rsidP="001F5A54">
      <w:pPr>
        <w:pStyle w:val="BodyText"/>
      </w:pPr>
      <w:r w:rsidRPr="001F5A54">
        <w:t>Knowledge of the current level of risk - and the way that risk will change into the future - will aid decision makers in prioritising adaptation options around issues such as land-use zoning, crop choice and urban infrastructure planning. This information is also valuable for highlighting the risks of inaction around climate change in negotiations for mitigation actions at the international level.</w:t>
      </w:r>
    </w:p>
    <w:p w:rsidR="00BC127B" w:rsidRPr="00F82AE9" w:rsidRDefault="00BC127B" w:rsidP="00F82AE9">
      <w:pPr>
        <w:pStyle w:val="BodyText"/>
      </w:pPr>
      <w:r w:rsidRPr="00F82AE9">
        <w:t>Geoscience Australia’s role is to evaluate datasets derived from general circulation models (GCMs) to inform tropical cyclone risk assessments performed by AIR Worldwide. This document describes the data and methods used for the analysis, and presents a summary of this data analysis.</w:t>
      </w:r>
    </w:p>
    <w:p w:rsidR="00BC127B" w:rsidRPr="001F5A54" w:rsidRDefault="00BC127B" w:rsidP="001F5A54">
      <w:pPr>
        <w:pStyle w:val="BodyText"/>
      </w:pPr>
      <w:r w:rsidRPr="001F5A54">
        <w:t xml:space="preserve">The output of this study is a set of </w:t>
      </w:r>
      <w:r w:rsidRPr="00F82AE9">
        <w:t>peril matrices</w:t>
      </w:r>
      <w:r w:rsidRPr="001F5A54">
        <w:t>, which detail the relative change in parameters describing TC behaviour: e.g. annual mean frequency, mean maximum intensity and mean latitude of genesis. The relative changes are evaluated as the fractional change between TC behavio</w:t>
      </w:r>
      <w:r w:rsidR="006420DD">
        <w:t>u</w:t>
      </w:r>
      <w:r w:rsidRPr="001F5A54">
        <w:t xml:space="preserve">r in current climate GCM simulations and future climate GCM simulations. </w:t>
      </w:r>
      <w:r w:rsidR="005E03B4" w:rsidRPr="001F5A54">
        <w:t xml:space="preserve">These peril matrices are used by AIR Worldwide </w:t>
      </w:r>
      <w:r w:rsidR="00EF459D" w:rsidRPr="001F5A54">
        <w:t>to inform a targeted sampling process to develop a climate-conditioned catalog</w:t>
      </w:r>
      <w:r w:rsidR="006420DD">
        <w:t>ue</w:t>
      </w:r>
      <w:r w:rsidR="00EF459D" w:rsidRPr="001F5A54">
        <w:t xml:space="preserve"> of TC events, which are in turn passed through a catastrophe model to arrive at national and regional loss estimates for each climate scenario.</w:t>
      </w:r>
    </w:p>
    <w:p w:rsidR="00BC127B" w:rsidRPr="001F5A54" w:rsidRDefault="00BC127B" w:rsidP="001F5A54">
      <w:pPr>
        <w:pStyle w:val="BodyText"/>
      </w:pPr>
      <w:r w:rsidRPr="001F5A54">
        <w:t>In parallel with this data analysis project, Geoscience Australia is engaging with Pacific Island representatives to evaluate appropriate delivery mechanisms for this risk information and complementary TC hazard information. A key goal to achieving the objectives of the PCRAFI project is to ensure stakeholders have ready access to this information, and can also integrate the information with their own existing information and datasets relating to risk. Geoscience Australia will also be scoping a training program that intends to meet the goal of providing training on developing and utilising risk information from local data on the exposu</w:t>
      </w:r>
      <w:r w:rsidR="001C6ED5" w:rsidRPr="001F5A54">
        <w:t>re and vulnerability of assets.</w:t>
      </w:r>
    </w:p>
    <w:p w:rsidR="00BC127B" w:rsidRDefault="00BC127B" w:rsidP="00BC127B">
      <w:pPr>
        <w:pStyle w:val="Heading1"/>
      </w:pPr>
      <w:bookmarkStart w:id="12" w:name="_Toc356827190"/>
      <w:bookmarkStart w:id="13" w:name="_Toc357065168"/>
      <w:bookmarkStart w:id="14" w:name="_Toc361914680"/>
      <w:r>
        <w:lastRenderedPageBreak/>
        <w:t>Study area</w:t>
      </w:r>
      <w:bookmarkEnd w:id="12"/>
      <w:bookmarkEnd w:id="13"/>
      <w:bookmarkEnd w:id="14"/>
    </w:p>
    <w:p w:rsidR="00BC127B" w:rsidRDefault="00BC127B" w:rsidP="00E57C2A">
      <w:pPr>
        <w:pStyle w:val="BodyText"/>
      </w:pPr>
      <w:r>
        <w:t>The study area covers the South Pacific Ocean, Western North Pacific Ocean and the far eastern parts of the Southern Indian Ocean (</w:t>
      </w:r>
      <w:r w:rsidR="00E57C2A">
        <w:fldChar w:fldCharType="begin"/>
      </w:r>
      <w:r w:rsidR="00E57C2A">
        <w:instrText xml:space="preserve"> REF _Ref361913900 \h </w:instrText>
      </w:r>
      <w:r w:rsidR="00E57C2A">
        <w:fldChar w:fldCharType="separate"/>
      </w:r>
      <w:r w:rsidR="00E57C2A">
        <w:t xml:space="preserve">Figure </w:t>
      </w:r>
      <w:r w:rsidR="00E57C2A">
        <w:rPr>
          <w:noProof/>
        </w:rPr>
        <w:t>2</w:t>
      </w:r>
      <w:r w:rsidR="00E57C2A">
        <w:t>.</w:t>
      </w:r>
      <w:r w:rsidR="00E57C2A">
        <w:rPr>
          <w:noProof/>
        </w:rPr>
        <w:t>1</w:t>
      </w:r>
      <w:r w:rsidR="00E57C2A">
        <w:fldChar w:fldCharType="end"/>
      </w:r>
      <w:r>
        <w:t xml:space="preserve">). Covered by the study area are the 15 PACCSAP Partner countries: Cook Islands, Fiji, Kiribati, Federated States of Micronesia, the Republic of the Marshall Islands, Nauru, Niue, Palau, Papua New Guinea, Samoa, Solomon Islands, Timor </w:t>
      </w:r>
      <w:proofErr w:type="spellStart"/>
      <w:r>
        <w:t>Leste</w:t>
      </w:r>
      <w:proofErr w:type="spellEnd"/>
      <w:r>
        <w:t xml:space="preserve">, Tonga, Tuvalu and Vanuatu. The countries exposed to the greatest threat of TCs are those between 10 and 30 degrees from the equator. Nauru, Kiribati and Tuvalu have a comparatively low threat from TCs, due to their proximity to the equator. This does not mean that the threat of TCs can be ignored, as historically intense TCs have passed within a few degrees of the equator (e.g. Typhoon </w:t>
      </w:r>
      <w:r w:rsidRPr="00F82AE9">
        <w:rPr>
          <w:rStyle w:val="Italic"/>
        </w:rPr>
        <w:t>Kate</w:t>
      </w:r>
      <w:r>
        <w:t xml:space="preserve"> (1970) and Typhoon </w:t>
      </w:r>
      <w:proofErr w:type="spellStart"/>
      <w:r w:rsidRPr="00F82AE9">
        <w:rPr>
          <w:rStyle w:val="Italic"/>
        </w:rPr>
        <w:t>Bopha</w:t>
      </w:r>
      <w:proofErr w:type="spellEnd"/>
      <w:r>
        <w:t xml:space="preserve"> (2012); also see Brunt 1969).</w:t>
      </w:r>
    </w:p>
    <w:p w:rsidR="00BC127B" w:rsidRDefault="00BC127B" w:rsidP="00BC127B">
      <w:pPr>
        <w:pStyle w:val="BodyText"/>
        <w:keepNext/>
      </w:pPr>
      <w:r>
        <w:t>In both hemispheres, the domain spans from 120°E to 120°W. The northern hemisphere domain extends from the equator to 25°N, while the southern hemisphere domain extends to 35°S. These domains capture the track of all historical TCs that have impacted the Partner countries.</w:t>
      </w:r>
    </w:p>
    <w:p w:rsidR="00BC127B" w:rsidRDefault="00607314" w:rsidP="006F3804">
      <w:pPr>
        <w:pStyle w:val="Figuresandimagescentred"/>
      </w:pPr>
      <w:r>
        <w:rPr>
          <w:noProof/>
        </w:rPr>
        <w:drawing>
          <wp:inline distT="0" distB="0" distL="0" distR="0" wp14:anchorId="61DA1B97" wp14:editId="076157C9">
            <wp:extent cx="5760720" cy="4161034"/>
            <wp:effectExtent l="0" t="0" r="0" b="0"/>
            <wp:docPr id="9" name="Picture 9" descr="This figure presents a map of the western Pacific Ocean indicating the location of the PACCSAP Partner Countries - Cook Islands, Fiji, Kiribati, Federated States of Micronesia, the Republic of the Marshall Islands, Nauru, Niue, Palau, Papua New Guinea, Samoa, Solomon Islands, Timor Leste, Tonga, Tuvalu and Vanuatu. Countries are labelled, and their exclusive economic zones are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limate_change\CHARS\B_Wind\Projects\PCRAFI\Reporting\Figures\Regional overvie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161034"/>
                    </a:xfrm>
                    <a:prstGeom prst="rect">
                      <a:avLst/>
                    </a:prstGeom>
                    <a:noFill/>
                    <a:ln>
                      <a:noFill/>
                    </a:ln>
                  </pic:spPr>
                </pic:pic>
              </a:graphicData>
            </a:graphic>
          </wp:inline>
        </w:drawing>
      </w:r>
    </w:p>
    <w:p w:rsidR="00BC127B" w:rsidRPr="009D4DA8" w:rsidRDefault="00E57C2A" w:rsidP="00E57C2A">
      <w:pPr>
        <w:pStyle w:val="Caption"/>
      </w:pPr>
      <w:bookmarkStart w:id="15" w:name="_Ref361913900"/>
      <w:r>
        <w:t xml:space="preserve">Figure </w:t>
      </w:r>
      <w:r w:rsidR="006A5281">
        <w:fldChar w:fldCharType="begin"/>
      </w:r>
      <w:r w:rsidR="006A5281">
        <w:instrText xml:space="preserve"> STYLEREF 1 \s </w:instrText>
      </w:r>
      <w:r w:rsidR="006A5281">
        <w:fldChar w:fldCharType="separate"/>
      </w:r>
      <w:r>
        <w:rPr>
          <w:noProof/>
        </w:rPr>
        <w:t>2</w:t>
      </w:r>
      <w:r w:rsidR="006A5281">
        <w:rPr>
          <w:noProof/>
        </w:rPr>
        <w:fldChar w:fldCharType="end"/>
      </w:r>
      <w:r>
        <w:t>.</w:t>
      </w:r>
      <w:r w:rsidR="006A5281">
        <w:fldChar w:fldCharType="begin"/>
      </w:r>
      <w:r w:rsidR="006A5281">
        <w:instrText xml:space="preserve"> SEQ Figure \* ARABIC \s 1 </w:instrText>
      </w:r>
      <w:r w:rsidR="006A5281">
        <w:fldChar w:fldCharType="separate"/>
      </w:r>
      <w:r>
        <w:rPr>
          <w:noProof/>
        </w:rPr>
        <w:t>1</w:t>
      </w:r>
      <w:r w:rsidR="006A5281">
        <w:rPr>
          <w:noProof/>
        </w:rPr>
        <w:fldChar w:fldCharType="end"/>
      </w:r>
      <w:bookmarkEnd w:id="15"/>
      <w:r>
        <w:t xml:space="preserve"> </w:t>
      </w:r>
      <w:r w:rsidRPr="008242C4">
        <w:t>PACCSAP Partner Countries (and their Exclusive Economic Zone) and domain extent for the northern and southern hemispheres.</w:t>
      </w:r>
    </w:p>
    <w:p w:rsidR="00BC127B" w:rsidRDefault="00BC127B" w:rsidP="00BC127B">
      <w:pPr>
        <w:pStyle w:val="Heading1"/>
      </w:pPr>
      <w:bookmarkStart w:id="16" w:name="_Toc356827191"/>
      <w:bookmarkStart w:id="17" w:name="_Toc357065169"/>
      <w:bookmarkStart w:id="18" w:name="_Toc361914681"/>
      <w:r>
        <w:lastRenderedPageBreak/>
        <w:t>Source data</w:t>
      </w:r>
      <w:bookmarkEnd w:id="16"/>
      <w:bookmarkEnd w:id="17"/>
      <w:bookmarkEnd w:id="18"/>
    </w:p>
    <w:p w:rsidR="00BC127B" w:rsidRDefault="00BC127B" w:rsidP="00BC127B">
      <w:pPr>
        <w:pStyle w:val="BodyText"/>
      </w:pPr>
      <w:r>
        <w:t>To understand the changes in TCs under future climate conditions, information not only on the future state of TC activity, but information on the current state is required. Information can be extracted from the historical record of TC activity through exploration of historical databases that contain intensity and position information on past events. To look forward we must rely on simulations of future climate, and the features within those</w:t>
      </w:r>
      <w:r w:rsidR="001C6ED5">
        <w:t xml:space="preserve"> simulations that resemble TCs.</w:t>
      </w:r>
    </w:p>
    <w:p w:rsidR="00BC127B" w:rsidRPr="00FE240F" w:rsidRDefault="00BC127B" w:rsidP="00BC127B">
      <w:pPr>
        <w:pStyle w:val="BodyText"/>
      </w:pPr>
      <w:r>
        <w:t>In this study, we assume that the projected relative changes (differences between current climate simulations and projected climate simulations) are a good indicator of likely changes in TC behaviour, and apply these relative changes in behaviour to the historical behaviour to describe future behaviour. For example, if the future climate simulation indicates a 10% increase in TC frequency relative to the current climate simulation, the projections here apply a 10% increase to the hist</w:t>
      </w:r>
      <w:r w:rsidR="001C6ED5">
        <w:t>orical (observed) TC frequency.</w:t>
      </w:r>
    </w:p>
    <w:p w:rsidR="00BC127B" w:rsidRDefault="00BC127B" w:rsidP="007C6CB4">
      <w:pPr>
        <w:pStyle w:val="Heading2"/>
      </w:pPr>
      <w:bookmarkStart w:id="19" w:name="_Toc356827192"/>
      <w:bookmarkStart w:id="20" w:name="_Toc357065170"/>
      <w:bookmarkStart w:id="21" w:name="_Toc361914682"/>
      <w:r>
        <w:t>Tropical Cyclone-Like Vortices</w:t>
      </w:r>
      <w:bookmarkEnd w:id="19"/>
      <w:bookmarkEnd w:id="20"/>
      <w:bookmarkEnd w:id="21"/>
    </w:p>
    <w:p w:rsidR="00BC127B" w:rsidRDefault="00BC127B" w:rsidP="00BC127B">
      <w:pPr>
        <w:pStyle w:val="BodyText"/>
      </w:pPr>
      <w:r>
        <w:t>Tropical Cyclone-Like Vortices (TCLVs) are features in GCMs that have characteristics similar to observed TCs. Based on objective criteria, vortices in the GCM output can be identified and tracked to produce a database of events that have characteristics similar to observed TCs. The identification and tracking of TCLVs was performed by CSIRO Marine and Atmospheric Research as part of the PACCSAP Science Program and the outputs pr</w:t>
      </w:r>
      <w:r w:rsidR="001C6ED5">
        <w:t>ovided to Geoscience Australia.</w:t>
      </w:r>
    </w:p>
    <w:p w:rsidR="00BC127B" w:rsidRDefault="00BC127B" w:rsidP="00BC127B">
      <w:pPr>
        <w:pStyle w:val="BodyText"/>
      </w:pPr>
      <w:r>
        <w:t xml:space="preserve">The identification and tracking algorithm is based on the works of Nguyen and Walsh (2001), Walsh and </w:t>
      </w:r>
      <w:proofErr w:type="spellStart"/>
      <w:r>
        <w:t>Syktus</w:t>
      </w:r>
      <w:proofErr w:type="spellEnd"/>
      <w:r>
        <w:t xml:space="preserve"> (2003) and Abbs et al., (2006). The procedure uses several criteria for identifying TCs:</w:t>
      </w:r>
    </w:p>
    <w:p w:rsidR="00BC127B" w:rsidRDefault="00BC127B" w:rsidP="00F82AE9">
      <w:pPr>
        <w:pStyle w:val="Bulletlevel1numbered"/>
      </w:pPr>
      <w:proofErr w:type="spellStart"/>
      <w:r>
        <w:t>vorticity</w:t>
      </w:r>
      <w:proofErr w:type="spellEnd"/>
      <w:r>
        <w:t xml:space="preserve"> more negative than -10</w:t>
      </w:r>
      <w:r w:rsidRPr="007C6CB4">
        <w:rPr>
          <w:rStyle w:val="Bulletlevel1numberedsuperscriptChar"/>
        </w:rPr>
        <w:t>-5</w:t>
      </w:r>
      <w:r w:rsidR="005D7B1E">
        <w:t>/</w:t>
      </w:r>
      <w:r>
        <w:t xml:space="preserve">s (as cyclonic </w:t>
      </w:r>
      <w:proofErr w:type="spellStart"/>
      <w:r>
        <w:t>vorticity</w:t>
      </w:r>
      <w:proofErr w:type="spellEnd"/>
      <w:r>
        <w:t xml:space="preserve"> is negative in the Southern Hemisphere);</w:t>
      </w:r>
    </w:p>
    <w:p w:rsidR="00BC127B" w:rsidRDefault="00BC127B" w:rsidP="00F82AE9">
      <w:pPr>
        <w:pStyle w:val="Bulletlevel1numbered"/>
      </w:pPr>
      <w:r>
        <w:t xml:space="preserve">closed pressure minimum, taken to be the centre of the storm, within 250 km from a point satisfying the first criterion. The 250 km distance was empirically chosen to give a good geographic association between </w:t>
      </w:r>
      <w:proofErr w:type="spellStart"/>
      <w:r>
        <w:t>vorticity</w:t>
      </w:r>
      <w:proofErr w:type="spellEnd"/>
      <w:r>
        <w:t xml:space="preserve"> maxima and pressure minima;</w:t>
      </w:r>
    </w:p>
    <w:p w:rsidR="00BC127B" w:rsidRDefault="00BC127B" w:rsidP="00F82AE9">
      <w:pPr>
        <w:pStyle w:val="Bulletlevel1numbered"/>
      </w:pPr>
      <w:r>
        <w:t xml:space="preserve">total tropospheric temperature anomalies at 750, 500 and 300 </w:t>
      </w:r>
      <w:proofErr w:type="spellStart"/>
      <w:r>
        <w:t>hPa</w:t>
      </w:r>
      <w:proofErr w:type="spellEnd"/>
      <w:r>
        <w:t xml:space="preserve"> (i.e. the variation of temperature at the centre of the storm from the mean environmental temperature) must be greater than zero, signifying that the storm has a warm core;</w:t>
      </w:r>
    </w:p>
    <w:p w:rsidR="00BC127B" w:rsidRDefault="00BC127B" w:rsidP="00F82AE9">
      <w:pPr>
        <w:pStyle w:val="Bulletlevel1numbered"/>
      </w:pPr>
      <w:r>
        <w:t xml:space="preserve">mean wind speed in the area 500 km × 500 km around the centre of the storm at 850 </w:t>
      </w:r>
      <w:proofErr w:type="spellStart"/>
      <w:r>
        <w:t>hPa</w:t>
      </w:r>
      <w:proofErr w:type="spellEnd"/>
      <w:r>
        <w:t xml:space="preserve"> must be higher than that at 300 </w:t>
      </w:r>
      <w:proofErr w:type="spellStart"/>
      <w:r>
        <w:t>hPa</w:t>
      </w:r>
      <w:proofErr w:type="spellEnd"/>
      <w:r>
        <w:t>;</w:t>
      </w:r>
    </w:p>
    <w:p w:rsidR="00BC127B" w:rsidRDefault="00BC127B" w:rsidP="00F82AE9">
      <w:pPr>
        <w:pStyle w:val="Bulletlevel1numbered"/>
      </w:pPr>
      <w:r>
        <w:t xml:space="preserve">temperature anomaly at </w:t>
      </w:r>
      <w:r w:rsidR="001C6ED5">
        <w:t xml:space="preserve">300 </w:t>
      </w:r>
      <w:proofErr w:type="spellStart"/>
      <w:r w:rsidR="001C6ED5">
        <w:t>hPa</w:t>
      </w:r>
      <w:proofErr w:type="spellEnd"/>
      <w:r w:rsidR="001C6ED5">
        <w:t xml:space="preserve"> must be at least 0.6°K;</w:t>
      </w:r>
    </w:p>
    <w:p w:rsidR="00BC127B" w:rsidRDefault="00BC127B" w:rsidP="00F82AE9">
      <w:pPr>
        <w:pStyle w:val="Bulletlevel1numbered"/>
      </w:pPr>
      <w:r>
        <w:t xml:space="preserve">outer core wind strength, which is defined as the mean tangential wind speed between a 1° and 2.5° radius of latitude from the </w:t>
      </w:r>
      <w:r w:rsidR="005D7B1E">
        <w:t>storm centre, must be above 0 m/</w:t>
      </w:r>
      <w:r w:rsidR="001C6ED5">
        <w:t>s;</w:t>
      </w:r>
    </w:p>
    <w:p w:rsidR="00BC127B" w:rsidRDefault="00BC127B" w:rsidP="00F82AE9">
      <w:pPr>
        <w:pStyle w:val="Bulletlevel1numbered"/>
      </w:pPr>
      <w:r>
        <w:t>maximum 10 m wind speed in the storm at any o</w:t>
      </w:r>
      <w:r w:rsidR="005D7B1E">
        <w:t>ne time must be at least 12.5 m/</w:t>
      </w:r>
      <w:r>
        <w:t>s; and</w:t>
      </w:r>
    </w:p>
    <w:p w:rsidR="00BC127B" w:rsidRDefault="00BC127B" w:rsidP="00F82AE9">
      <w:pPr>
        <w:pStyle w:val="Bulletlevel1numbered"/>
      </w:pPr>
      <w:r>
        <w:t>rotation, as defined by the wind direction around the storm centre, must be present.</w:t>
      </w:r>
    </w:p>
    <w:p w:rsidR="00BC127B" w:rsidRDefault="00BC127B" w:rsidP="00BC127B">
      <w:pPr>
        <w:pStyle w:val="BodyText"/>
      </w:pPr>
      <w:r>
        <w:lastRenderedPageBreak/>
        <w:t xml:space="preserve">Once a TC is detected, criteria 3, 4 and 5 are relaxed. The storm track is followed until one of criteria 1, 2, 6 or 7 are no longer satisfied (the wind speed dropped, the </w:t>
      </w:r>
      <w:proofErr w:type="spellStart"/>
      <w:r>
        <w:t>vorticity</w:t>
      </w:r>
      <w:proofErr w:type="spellEnd"/>
      <w:r>
        <w:t xml:space="preserve"> weakened or the closed low pressure centre disintegrated). Further details of the vortex identification and tracking technique used for this project are described in Abbs (2012). </w:t>
      </w:r>
    </w:p>
    <w:p w:rsidR="00BC127B" w:rsidRPr="001F5A54" w:rsidRDefault="00BC127B" w:rsidP="001F5A54">
      <w:pPr>
        <w:pStyle w:val="BodyText"/>
      </w:pPr>
      <w:r w:rsidRPr="001F5A54">
        <w:t>Two sources of TCLVs were used in this study. The first were a set of TCLVs extracted from dynamically-downscaled simulations based on CMIP3 GCM simulations. The downscaling process was performed using the CSIRO Conformal-Cubic Atmospheric Model (CCAM) of McGregor and Dix (McGregor et al., 2008) to 65 km horizontal grid spacing, forced by bias-corrected sea surface temperature fields (BoM and CSIRO, 2011)</w:t>
      </w:r>
      <w:r w:rsidRPr="00F82AE9">
        <w:t>.</w:t>
      </w:r>
      <w:r w:rsidRPr="001F5A54">
        <w:t xml:space="preserve"> Six models were downscaled in this manner (CSIRO Mk 3.5, ECHAM5, GFDL CM2.0, GFDL CM2.1, UK HadCM3 and MIROC 3.2 </w:t>
      </w:r>
      <w:proofErr w:type="spellStart"/>
      <w:r w:rsidRPr="001F5A54">
        <w:t>medres</w:t>
      </w:r>
      <w:proofErr w:type="spellEnd"/>
      <w:r w:rsidRPr="001F5A54">
        <w:t>)</w:t>
      </w:r>
      <w:r w:rsidRPr="004648E4">
        <w:rPr>
          <w:rStyle w:val="FootnoteReference"/>
        </w:rPr>
        <w:footnoteReference w:id="1"/>
      </w:r>
      <w:r w:rsidRPr="001F5A54">
        <w:t>. The resulting gridded fields were used for the identification and tracking process to extract TCLV events.</w:t>
      </w:r>
    </w:p>
    <w:p w:rsidR="00BC127B" w:rsidRPr="001F5A54" w:rsidRDefault="00BC127B" w:rsidP="001F5A54">
      <w:pPr>
        <w:pStyle w:val="BodyText"/>
      </w:pPr>
      <w:r w:rsidRPr="001F5A54">
        <w:t>The second set of TCLVs was direct-detections from the CMIP5 collection of GCMs. In this case, the raw GCM data was used for identifying and tracking the TCLVs, due to the improved horizontal resolution of the newer generation of models. Five models were available through this technique (ACCESS 1.0, Can ESM2, CSIRO Mk3.6.0</w:t>
      </w:r>
      <w:r w:rsidR="001C6ED5" w:rsidRPr="001F5A54">
        <w:t>, IPSL CM5A LR and Nor ESM1 M).</w:t>
      </w:r>
    </w:p>
    <w:p w:rsidR="00BC127B" w:rsidRPr="006F3804" w:rsidRDefault="00BC127B" w:rsidP="006F3804">
      <w:pPr>
        <w:pStyle w:val="Figuresandimagescentred"/>
      </w:pPr>
      <w:r w:rsidRPr="006F3804">
        <w:rPr>
          <w:noProof/>
        </w:rPr>
        <w:drawing>
          <wp:inline distT="0" distB="0" distL="0" distR="0" wp14:anchorId="3C716B06" wp14:editId="66239713">
            <wp:extent cx="2457450" cy="3200400"/>
            <wp:effectExtent l="0" t="0" r="0" b="19050"/>
            <wp:docPr id="22" name="Diagram 22" descr="Conceptual flow of information for generating TCLV datasets and peril matrices from CMIP3 GCMs. Starting from the output from the general circulation model, the results are downscaled using the CCAM modelling system, forced by bias-corrected sea-surface temperature data. TCLVs are then identified and tracked in the output from the CCAM downscaling process. To correct the intensity biases in the TCLV data, a quantile scaling process is used before evaluation of teh peril matrix." title="Conceptual flow of information for generating TCLV datasets and peril matrices from CMIP3 GCM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6F3804">
        <w:rPr>
          <w:noProof/>
        </w:rPr>
        <w:drawing>
          <wp:inline distT="0" distB="0" distL="0" distR="0" wp14:anchorId="7E67A231" wp14:editId="68C64063">
            <wp:extent cx="2457450" cy="3200400"/>
            <wp:effectExtent l="0" t="0" r="0" b="19050"/>
            <wp:docPr id="20" name="Diagram 20" descr="Conceptual flow of information for generating TCLV datasets and peril matrices from CMIP5 GCMs. Starting from the output from the general circulation model, TCLVs are identified and tracked in the output from the GCMs. To correct the intensity biases in the TCLV data, a quantile scaling process is used before evaluation of the peril matrix." title="Conceptual flow of information for generating TCLV datasets and peril matrices from CMIP5 GCM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C127B" w:rsidRPr="001F5A54" w:rsidRDefault="00BC127B" w:rsidP="00BC127B">
      <w:pPr>
        <w:pStyle w:val="Caption"/>
      </w:pPr>
      <w:bookmarkStart w:id="22" w:name="_Ref354570364"/>
      <w:r>
        <w:t xml:space="preserve">Figure </w:t>
      </w:r>
      <w:r w:rsidR="006A5281">
        <w:fldChar w:fldCharType="begin"/>
      </w:r>
      <w:r w:rsidR="006A5281">
        <w:instrText xml:space="preserve"> STYLEREF 1 \s </w:instrText>
      </w:r>
      <w:r w:rsidR="006A5281">
        <w:fldChar w:fldCharType="separate"/>
      </w:r>
      <w:r w:rsidR="00E57C2A">
        <w:rPr>
          <w:noProof/>
        </w:rPr>
        <w:t>3</w:t>
      </w:r>
      <w:r w:rsidR="006A5281">
        <w:rPr>
          <w:noProof/>
        </w:rPr>
        <w:fldChar w:fldCharType="end"/>
      </w:r>
      <w:r w:rsidR="00E57C2A">
        <w:t>.</w:t>
      </w:r>
      <w:r w:rsidR="006A5281">
        <w:fldChar w:fldCharType="begin"/>
      </w:r>
      <w:r w:rsidR="006A5281">
        <w:instrText xml:space="preserve"> SEQ Figure \* ARABIC \s 1 </w:instrText>
      </w:r>
      <w:r w:rsidR="006A5281">
        <w:fldChar w:fldCharType="separate"/>
      </w:r>
      <w:r w:rsidR="00E57C2A">
        <w:rPr>
          <w:noProof/>
        </w:rPr>
        <w:t>1</w:t>
      </w:r>
      <w:r w:rsidR="006A5281">
        <w:rPr>
          <w:noProof/>
        </w:rPr>
        <w:fldChar w:fldCharType="end"/>
      </w:r>
      <w:bookmarkEnd w:id="22"/>
      <w:r>
        <w:t xml:space="preserve"> Conceptual flow of information for generating TCLV datasets and resulting peril matrices.</w:t>
      </w:r>
    </w:p>
    <w:p w:rsidR="00BC127B" w:rsidRPr="001F5A54" w:rsidRDefault="00BC127B" w:rsidP="001F5A54">
      <w:pPr>
        <w:pStyle w:val="BodyText"/>
      </w:pPr>
      <w:r w:rsidRPr="001F5A54">
        <w:t xml:space="preserve">The dynamical downscaling applied to the CMIP3 models introduces an additional source of influence on the derived results. The sea-surface temperature bias correction method used to drive the CCAM simulations produces forcing conditions that are highly correlated across the suite of models. While </w:t>
      </w:r>
      <w:r w:rsidRPr="001F5A54">
        <w:lastRenderedPageBreak/>
        <w:t>this improves the model performance for current climate simulations (</w:t>
      </w:r>
      <w:proofErr w:type="spellStart"/>
      <w:r w:rsidRPr="001F5A54">
        <w:t>Katzfey</w:t>
      </w:r>
      <w:proofErr w:type="spellEnd"/>
      <w:r w:rsidRPr="001F5A54">
        <w:t xml:space="preserve"> et al., 2009), basic large-scale features of the GCMs may be lost through this process. As such, it is to be expected that results from this process will be very similar. </w:t>
      </w:r>
      <w:r>
        <w:rPr>
          <w:u w:color="000000"/>
          <w:lang w:val="en-US"/>
        </w:rPr>
        <w:fldChar w:fldCharType="begin"/>
      </w:r>
      <w:r>
        <w:rPr>
          <w:u w:color="000000"/>
          <w:lang w:val="en-US"/>
        </w:rPr>
        <w:instrText xml:space="preserve"> REF _Ref354570364 \h </w:instrText>
      </w:r>
      <w:r>
        <w:rPr>
          <w:u w:color="000000"/>
          <w:lang w:val="en-US"/>
        </w:rPr>
      </w:r>
      <w:r>
        <w:rPr>
          <w:u w:color="000000"/>
          <w:lang w:val="en-US"/>
        </w:rPr>
        <w:fldChar w:fldCharType="separate"/>
      </w:r>
      <w:r w:rsidR="00E57C2A">
        <w:t xml:space="preserve">Figure </w:t>
      </w:r>
      <w:r w:rsidR="00E57C2A">
        <w:rPr>
          <w:noProof/>
        </w:rPr>
        <w:t>3</w:t>
      </w:r>
      <w:r w:rsidR="00E57C2A">
        <w:t>.</w:t>
      </w:r>
      <w:r w:rsidR="00E57C2A">
        <w:rPr>
          <w:noProof/>
        </w:rPr>
        <w:t>1</w:t>
      </w:r>
      <w:r>
        <w:rPr>
          <w:u w:color="000000"/>
          <w:lang w:val="en-US"/>
        </w:rPr>
        <w:fldChar w:fldCharType="end"/>
      </w:r>
      <w:r w:rsidRPr="001F5A54">
        <w:t xml:space="preserve"> presents the conceptual flow of information from the GCMs to the peril matrices for the CMIP3 and CMIP5 GCMs.</w:t>
      </w:r>
    </w:p>
    <w:p w:rsidR="00BC127B" w:rsidRPr="001F5A54" w:rsidRDefault="00BC127B" w:rsidP="001F5A54">
      <w:pPr>
        <w:pStyle w:val="BodyText"/>
      </w:pPr>
      <w:r w:rsidRPr="001F5A54">
        <w:t xml:space="preserve">It is also important to note that the emission scenarios underpinning the CMIP3 and CMIP5 simulations are not directly comparable. That is, the SRES A2 scenario indicates a different societal and technology pathway, and hence different GHG emission pathway, than the RCP 8.5 scenario (van </w:t>
      </w:r>
      <w:proofErr w:type="spellStart"/>
      <w:r w:rsidRPr="001F5A54">
        <w:t>Vuuren</w:t>
      </w:r>
      <w:proofErr w:type="spellEnd"/>
      <w:r w:rsidRPr="001F5A54">
        <w:t xml:space="preserve"> et al., 2011). This results in different climate projections between the two generations of models.</w:t>
      </w:r>
    </w:p>
    <w:p w:rsidR="00BC127B" w:rsidRDefault="00BC127B" w:rsidP="00BC127B">
      <w:pPr>
        <w:pStyle w:val="Heading2"/>
      </w:pPr>
      <w:bookmarkStart w:id="23" w:name="_Toc356827193"/>
      <w:bookmarkStart w:id="24" w:name="_Toc357065171"/>
      <w:bookmarkStart w:id="25" w:name="_Toc361914683"/>
      <w:r>
        <w:t>Historical tropical cyclone track data</w:t>
      </w:r>
      <w:bookmarkEnd w:id="23"/>
      <w:bookmarkEnd w:id="24"/>
      <w:bookmarkEnd w:id="25"/>
    </w:p>
    <w:p w:rsidR="00BC127B" w:rsidRPr="00DE0A84" w:rsidRDefault="00BC127B" w:rsidP="00BC127B">
      <w:pPr>
        <w:pStyle w:val="BodyText"/>
      </w:pPr>
      <w:r>
        <w:t>For this project, Geoscience Australia used the International Best-Track Archive for Climate Stewardship</w:t>
      </w:r>
      <w:r>
        <w:rPr>
          <w:rStyle w:val="FootnoteReference"/>
        </w:rPr>
        <w:footnoteReference w:id="2"/>
      </w:r>
      <w:r>
        <w:t xml:space="preserve"> (</w:t>
      </w:r>
      <w:proofErr w:type="spellStart"/>
      <w:r>
        <w:t>IBTrACS</w:t>
      </w:r>
      <w:proofErr w:type="spellEnd"/>
      <w:r>
        <w:t xml:space="preserve">) global tropical cyclone database to represent historical TC activity (Knapp et al. 2010). The </w:t>
      </w:r>
      <w:proofErr w:type="spellStart"/>
      <w:r>
        <w:t>IBTrACS</w:t>
      </w:r>
      <w:proofErr w:type="spellEnd"/>
      <w:r>
        <w:t xml:space="preserve"> database collates information on TC tracks and intensity from reporting agencies around the globe and provides a single authoritative database that can be used for climate analysis. By drawing data from World Meteorological Organisation (WMO) Regional Specialized Meteorological </w:t>
      </w:r>
      <w:proofErr w:type="spellStart"/>
      <w:r>
        <w:t>Centers</w:t>
      </w:r>
      <w:proofErr w:type="spellEnd"/>
      <w:r>
        <w:t xml:space="preserve"> (RSMCs) and other international agencies, the </w:t>
      </w:r>
      <w:proofErr w:type="spellStart"/>
      <w:r>
        <w:t>IBTrACS</w:t>
      </w:r>
      <w:proofErr w:type="spellEnd"/>
      <w:r>
        <w:t xml:space="preserve"> dataset contains the most complete global set of historical TCs available. For this study, we use the </w:t>
      </w:r>
      <w:proofErr w:type="spellStart"/>
      <w:r>
        <w:t>IBTrACS</w:t>
      </w:r>
      <w:proofErr w:type="spellEnd"/>
      <w:r>
        <w:t xml:space="preserve"> (version 3, revision 4) WMO dataset, which includes only those records provided by WMO RSMCs. </w:t>
      </w:r>
      <w:r>
        <w:fldChar w:fldCharType="begin"/>
      </w:r>
      <w:r>
        <w:instrText xml:space="preserve"> REF _Ref353178178 \h </w:instrText>
      </w:r>
      <w:r>
        <w:fldChar w:fldCharType="separate"/>
      </w:r>
      <w:r w:rsidR="00E57C2A">
        <w:t xml:space="preserve">Figure </w:t>
      </w:r>
      <w:r w:rsidR="00E57C2A">
        <w:rPr>
          <w:noProof/>
        </w:rPr>
        <w:t>3</w:t>
      </w:r>
      <w:r w:rsidR="00E57C2A">
        <w:t>.</w:t>
      </w:r>
      <w:r w:rsidR="00E57C2A">
        <w:rPr>
          <w:noProof/>
        </w:rPr>
        <w:t>2</w:t>
      </w:r>
      <w:r>
        <w:fldChar w:fldCharType="end"/>
      </w:r>
      <w:r>
        <w:t xml:space="preserve"> shows the tracks contained within the </w:t>
      </w:r>
      <w:proofErr w:type="spellStart"/>
      <w:r>
        <w:t>IBTrACS</w:t>
      </w:r>
      <w:proofErr w:type="spellEnd"/>
      <w:r>
        <w:t xml:space="preserve"> da</w:t>
      </w:r>
      <w:r w:rsidR="001C6ED5">
        <w:t>taset for the period 1981-2011.</w:t>
      </w:r>
    </w:p>
    <w:p w:rsidR="00BC127B" w:rsidRDefault="00BC127B" w:rsidP="00BC127B">
      <w:pPr>
        <w:pStyle w:val="BodyText"/>
      </w:pPr>
      <w:r>
        <w:t xml:space="preserve">Note that in the northern hemisphere, AIR </w:t>
      </w:r>
      <w:proofErr w:type="spellStart"/>
      <w:r>
        <w:t>Worldwide’s</w:t>
      </w:r>
      <w:proofErr w:type="spellEnd"/>
      <w:r>
        <w:t xml:space="preserve"> catastrophe model is based on the Japanese Meteorological Agency (JMA) best track record, which excludes all TC events forming east of 180°E. This produces differences in the mean annual frequency of storms in the region of interest. As the JMA best track dataset is the primary dataset in </w:t>
      </w:r>
      <w:proofErr w:type="spellStart"/>
      <w:r>
        <w:t>IBTrACS</w:t>
      </w:r>
      <w:proofErr w:type="spellEnd"/>
      <w:r>
        <w:t xml:space="preserve"> west of 180°E, the remaining parameter</w:t>
      </w:r>
      <w:r w:rsidR="001C6ED5">
        <w:t>s are only moderately affected.</w:t>
      </w:r>
    </w:p>
    <w:p w:rsidR="00BC127B" w:rsidRDefault="00607314" w:rsidP="006F3804">
      <w:pPr>
        <w:pStyle w:val="Figuresandimagescentred"/>
      </w:pPr>
      <w:r>
        <w:rPr>
          <w:noProof/>
        </w:rPr>
        <w:lastRenderedPageBreak/>
        <w:drawing>
          <wp:inline distT="0" distB="0" distL="0" distR="0" wp14:anchorId="18A10948" wp14:editId="74EDD789">
            <wp:extent cx="5760720" cy="4056470"/>
            <wp:effectExtent l="0" t="0" r="0" b="1270"/>
            <wp:docPr id="12" name="Picture 12" descr="A map displaying tracks of observed tropical cyclones in the South Pacific and North Pacific Oceans. Tracks are classified by their intensity, from tropical depressions through to category five (intense) tropical cyclones. Partner Countries (Cook Islands, Fiji, Kiribati, Federated States of Micronesia, the Republic of the Marshall Islands, Nauru, Niue, Palau, Papua New Guinea, Samoa, Solomon Islands, Timor Leste, Tonga, Tuvalu and Vanuatu) are labelled, and their exclusive economic zones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limate_change\CHARS\B_Wind\Projects\PCRAFI\Reporting\Figures\IBTrAC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056470"/>
                    </a:xfrm>
                    <a:prstGeom prst="rect">
                      <a:avLst/>
                    </a:prstGeom>
                    <a:noFill/>
                    <a:ln>
                      <a:noFill/>
                    </a:ln>
                  </pic:spPr>
                </pic:pic>
              </a:graphicData>
            </a:graphic>
          </wp:inline>
        </w:drawing>
      </w:r>
    </w:p>
    <w:p w:rsidR="00BC127B" w:rsidRPr="00F862C1" w:rsidRDefault="00BC127B" w:rsidP="00BC127B">
      <w:pPr>
        <w:pStyle w:val="Caption"/>
      </w:pPr>
      <w:bookmarkStart w:id="26" w:name="_Ref353178178"/>
      <w:r>
        <w:t xml:space="preserve">Figure </w:t>
      </w:r>
      <w:r w:rsidR="006A5281">
        <w:fldChar w:fldCharType="begin"/>
      </w:r>
      <w:r w:rsidR="006A5281">
        <w:instrText xml:space="preserve"> STYLEREF 1 \s </w:instrText>
      </w:r>
      <w:r w:rsidR="006A5281">
        <w:fldChar w:fldCharType="separate"/>
      </w:r>
      <w:r w:rsidR="00E57C2A">
        <w:rPr>
          <w:noProof/>
        </w:rPr>
        <w:t>3</w:t>
      </w:r>
      <w:r w:rsidR="006A5281">
        <w:rPr>
          <w:noProof/>
        </w:rPr>
        <w:fldChar w:fldCharType="end"/>
      </w:r>
      <w:r w:rsidR="00E57C2A">
        <w:t>.</w:t>
      </w:r>
      <w:r w:rsidR="006A5281">
        <w:fldChar w:fldCharType="begin"/>
      </w:r>
      <w:r w:rsidR="006A5281">
        <w:instrText xml:space="preserve"> SEQ Figure \* ARABIC \s 1 </w:instrText>
      </w:r>
      <w:r w:rsidR="006A5281">
        <w:fldChar w:fldCharType="separate"/>
      </w:r>
      <w:r w:rsidR="00E57C2A">
        <w:rPr>
          <w:noProof/>
        </w:rPr>
        <w:t>2</w:t>
      </w:r>
      <w:r w:rsidR="006A5281">
        <w:rPr>
          <w:noProof/>
        </w:rPr>
        <w:fldChar w:fldCharType="end"/>
      </w:r>
      <w:bookmarkEnd w:id="26"/>
      <w:r>
        <w:t xml:space="preserve"> Historical TC's in the PCRAFI region (1981-2011). Colours of tracks indicate maximum lifetime intensity of the storm. Exclusive economic zones of PCRAFI countries are indicated in grey.</w:t>
      </w:r>
    </w:p>
    <w:p w:rsidR="00BC127B" w:rsidRDefault="00BC127B" w:rsidP="00BC127B">
      <w:pPr>
        <w:pStyle w:val="Heading1"/>
      </w:pPr>
      <w:bookmarkStart w:id="27" w:name="_Toc356827194"/>
      <w:bookmarkStart w:id="28" w:name="_Toc357065172"/>
      <w:bookmarkStart w:id="29" w:name="_Toc361914684"/>
      <w:r>
        <w:lastRenderedPageBreak/>
        <w:t>Methods</w:t>
      </w:r>
      <w:bookmarkEnd w:id="27"/>
      <w:bookmarkEnd w:id="28"/>
      <w:bookmarkEnd w:id="29"/>
    </w:p>
    <w:p w:rsidR="00BC127B" w:rsidRDefault="00BC127B" w:rsidP="00BC127B">
      <w:pPr>
        <w:pStyle w:val="Heading2"/>
      </w:pPr>
      <w:bookmarkStart w:id="30" w:name="_Toc356827195"/>
      <w:bookmarkStart w:id="31" w:name="_Toc357065173"/>
      <w:bookmarkStart w:id="32" w:name="_Toc361914685"/>
      <w:r>
        <w:t>Parameters</w:t>
      </w:r>
      <w:bookmarkEnd w:id="30"/>
      <w:bookmarkEnd w:id="31"/>
      <w:bookmarkEnd w:id="32"/>
    </w:p>
    <w:p w:rsidR="00BC127B" w:rsidRPr="008C3022" w:rsidRDefault="00BC127B" w:rsidP="00BC127B">
      <w:pPr>
        <w:pStyle w:val="BodyText"/>
      </w:pPr>
      <w:r>
        <w:t>Following is a list of all parameters evaluated for this project. Each parameter is evaluated within a domain (northern or southern hemisphere) and for a given time period (observed, current climate and future climate). These parameters are used by AIR Worldwide to control the selective sampling of a catalog</w:t>
      </w:r>
      <w:r w:rsidR="006420DD">
        <w:t>ue</w:t>
      </w:r>
      <w:r>
        <w:t xml:space="preserve"> of synthetic TC events as part of the loss modelling process. </w:t>
      </w:r>
    </w:p>
    <w:p w:rsidR="00BC127B" w:rsidRPr="001617F2" w:rsidRDefault="00BC127B" w:rsidP="001617F2">
      <w:pPr>
        <w:pStyle w:val="Bulletlevel1"/>
      </w:pPr>
      <w:r w:rsidRPr="001617F2">
        <w:t>Mean annual frequency (TCs/year);</w:t>
      </w:r>
    </w:p>
    <w:p w:rsidR="00BC127B" w:rsidRPr="001617F2" w:rsidRDefault="00BC127B" w:rsidP="001617F2">
      <w:pPr>
        <w:pStyle w:val="Bulletlevel1"/>
      </w:pPr>
      <w:r w:rsidRPr="001617F2">
        <w:t>Mean latitude of TC formation (degrees N/S);</w:t>
      </w:r>
    </w:p>
    <w:p w:rsidR="00BC127B" w:rsidRPr="001617F2" w:rsidRDefault="00BC127B" w:rsidP="001617F2">
      <w:pPr>
        <w:pStyle w:val="Bulletlevel1"/>
      </w:pPr>
      <w:r w:rsidRPr="001617F2">
        <w:t>Mean longitude of TC formation (degrees E);</w:t>
      </w:r>
    </w:p>
    <w:p w:rsidR="00BC127B" w:rsidRPr="001617F2" w:rsidRDefault="00BC127B" w:rsidP="001617F2">
      <w:pPr>
        <w:pStyle w:val="Bulletlevel1"/>
      </w:pPr>
      <w:r w:rsidRPr="001617F2">
        <w:t>Mean latitude of maximum sustained winds (degrees N/S);</w:t>
      </w:r>
    </w:p>
    <w:p w:rsidR="00BC127B" w:rsidRPr="001617F2" w:rsidRDefault="00BC127B" w:rsidP="001617F2">
      <w:pPr>
        <w:pStyle w:val="Bulletlevel1"/>
      </w:pPr>
      <w:r w:rsidRPr="001617F2">
        <w:t>Mean latitude of minimum central pressure (degrees N/S);</w:t>
      </w:r>
    </w:p>
    <w:p w:rsidR="00BC127B" w:rsidRPr="001617F2" w:rsidRDefault="00BC127B" w:rsidP="001617F2">
      <w:pPr>
        <w:pStyle w:val="Bulletlevel1"/>
      </w:pPr>
      <w:r w:rsidRPr="001617F2">
        <w:t>Mean maximum sustained wind speed (m/s); and</w:t>
      </w:r>
    </w:p>
    <w:p w:rsidR="00BC127B" w:rsidRPr="001617F2" w:rsidRDefault="00BC127B" w:rsidP="001617F2">
      <w:pPr>
        <w:pStyle w:val="Bulletlevel1"/>
      </w:pPr>
      <w:r w:rsidRPr="001617F2">
        <w:t>Mean minimum central pressure (</w:t>
      </w:r>
      <w:proofErr w:type="spellStart"/>
      <w:r w:rsidRPr="001617F2">
        <w:t>hPa</w:t>
      </w:r>
      <w:proofErr w:type="spellEnd"/>
      <w:r w:rsidRPr="001617F2">
        <w:t>).</w:t>
      </w:r>
    </w:p>
    <w:p w:rsidR="00BC127B" w:rsidRPr="008C3022" w:rsidRDefault="00BC127B" w:rsidP="00BC127B">
      <w:pPr>
        <w:pStyle w:val="BodyText"/>
      </w:pPr>
      <w:r>
        <w:t xml:space="preserve">Additionally, we calculate the relative distribution of TC intensity based on seven classes based on the </w:t>
      </w:r>
      <w:proofErr w:type="spellStart"/>
      <w:r>
        <w:t>Saffir</w:t>
      </w:r>
      <w:proofErr w:type="spellEnd"/>
      <w:r>
        <w:t>-Simpson Hurricane Intensity Scale. See subsequent sections for more details.</w:t>
      </w:r>
    </w:p>
    <w:p w:rsidR="00BC127B" w:rsidRDefault="00BC127B" w:rsidP="00BC127B">
      <w:pPr>
        <w:pStyle w:val="Heading2"/>
      </w:pPr>
      <w:bookmarkStart w:id="33" w:name="_Toc356827196"/>
      <w:bookmarkStart w:id="34" w:name="_Toc357065174"/>
      <w:bookmarkStart w:id="35" w:name="_Toc361914686"/>
      <w:r>
        <w:t>Central pressure deficit scaling</w:t>
      </w:r>
      <w:bookmarkEnd w:id="33"/>
      <w:bookmarkEnd w:id="34"/>
      <w:bookmarkEnd w:id="35"/>
      <w:r>
        <w:t xml:space="preserve"> </w:t>
      </w:r>
    </w:p>
    <w:p w:rsidR="00BC127B" w:rsidRDefault="00BC127B" w:rsidP="00BC127B">
      <w:pPr>
        <w:pStyle w:val="BodyText"/>
      </w:pPr>
      <w:r>
        <w:t xml:space="preserve">Due to the low horizontal resolution of GCMs, it is not possible for these models to accurately represent the fine-scale dynamical processes that control TC intensity. As such, the TCLV intensity distribution based on direct-detection methods is much lower than the observed record. To overcome this short-coming, we applied a </w:t>
      </w:r>
      <w:proofErr w:type="spellStart"/>
      <w:r>
        <w:t>quantile</w:t>
      </w:r>
      <w:proofErr w:type="spellEnd"/>
      <w:r>
        <w:t xml:space="preserve"> scaling process to the central pressure deficits (ambient sea level pressure minus central pressure) of the TCLVs. This allows us to bias correct the TCLV central pressure deficits to better match the observational data. Similar approaches have been applied to rainfall outputs from GCMs with reasonable suc</w:t>
      </w:r>
      <w:r w:rsidR="001C6ED5">
        <w:t xml:space="preserve">cess (e.g. </w:t>
      </w:r>
      <w:proofErr w:type="spellStart"/>
      <w:r w:rsidR="001C6ED5">
        <w:t>Hemer</w:t>
      </w:r>
      <w:proofErr w:type="spellEnd"/>
      <w:r w:rsidR="001C6ED5">
        <w:t xml:space="preserve"> et al., 2012).</w:t>
      </w:r>
    </w:p>
    <w:p w:rsidR="00BC127B" w:rsidRDefault="00BC127B" w:rsidP="00BC127B">
      <w:pPr>
        <w:pStyle w:val="BodyText"/>
      </w:pPr>
      <w:r>
        <w:t xml:space="preserve">We scaled the central pressure deficits using a parametric function </w:t>
      </w:r>
      <w:r w:rsidR="00916F82">
        <w:t>–</w:t>
      </w:r>
      <w:r>
        <w:t xml:space="preserve"> a combination of a power function and inverse tangent, where the power (</w:t>
      </w:r>
      <w:r w:rsidRPr="00EE3F02">
        <w:rPr>
          <w:rStyle w:val="BodyTextSymbolItalicChar"/>
        </w:rPr>
        <w:t></w:t>
      </w:r>
      <w:r>
        <w:t>) is less than 1:</w:t>
      </w:r>
    </w:p>
    <w:p w:rsidR="00BC127B" w:rsidRPr="00513E48" w:rsidRDefault="00513E48" w:rsidP="00513E48">
      <w:pPr>
        <w:pStyle w:val="Equation"/>
      </w:pPr>
      <w:r w:rsidRPr="00513E48">
        <w:object w:dxaOrig="362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essure deficit scaling function used to map TCLV pressure deficit quantiles to historical pressure deficit quantiles. &#10;&#10;Scaled pressure deficit equals alpha divided by pi times TCLV pressure deficit raised to the power of beta, times inverse tangent of the square of the TCLV pressure defict divided by chi. " style="width:196.75pt;height:49.4pt;mso-position-horizontal:absolute" o:ole="" o:allowoverlap="f">
            <v:imagedata r:id="rId30" o:title=""/>
          </v:shape>
          <o:OLEObject Type="Embed" ProgID="Equation.3" ShapeID="_x0000_i1025" DrawAspect="Content" ObjectID="_1436707427" r:id="rId31"/>
        </w:object>
      </w:r>
      <w:r w:rsidR="00BC127B" w:rsidRPr="00513E48">
        <w:tab/>
      </w:r>
      <w:r w:rsidRPr="00513E48">
        <w:t>(</w:t>
      </w:r>
      <w:r w:rsidR="006A5281">
        <w:fldChar w:fldCharType="begin"/>
      </w:r>
      <w:r w:rsidR="006A5281">
        <w:instrText xml:space="preserve"> SEQ Eq \* ARABIC </w:instrText>
      </w:r>
      <w:r w:rsidR="006A5281">
        <w:fldChar w:fldCharType="separate"/>
      </w:r>
      <w:r w:rsidR="00E57C2A">
        <w:rPr>
          <w:noProof/>
        </w:rPr>
        <w:t>1</w:t>
      </w:r>
      <w:r w:rsidR="006A5281">
        <w:rPr>
          <w:noProof/>
        </w:rPr>
        <w:fldChar w:fldCharType="end"/>
      </w:r>
      <w:r w:rsidRPr="00513E48">
        <w:t>)</w:t>
      </w:r>
    </w:p>
    <w:p w:rsidR="00BC127B" w:rsidRPr="00EB3318" w:rsidRDefault="00BC127B" w:rsidP="00BC127B">
      <w:pPr>
        <w:pStyle w:val="BodyText"/>
      </w:pPr>
      <w:r>
        <w:t xml:space="preserve">A number of forms of the scaling function were tested, but were rejected due to the bias introduced at both very large deficits (i.e. intense storms) and small deficits. The large number of points at lower deficits dominated the input values, so only pressure deficits above the 50th percentile were used for the fitting process. This weighs the scaling in favour of intense events – those events that cause the greatest damage. Further, a parametric function was chosen so that it is possible to extrapolate </w:t>
      </w:r>
      <w:r>
        <w:lastRenderedPageBreak/>
        <w:t xml:space="preserve">beyond the range of input </w:t>
      </w:r>
      <w:r w:rsidRPr="00EE3F02">
        <w:rPr>
          <w:rStyle w:val="BodyTextSymbolItalicChar"/>
        </w:rPr>
        <w:t></w:t>
      </w:r>
      <w:r w:rsidRPr="00F82AE9">
        <w:rPr>
          <w:rStyle w:val="Italic"/>
        </w:rPr>
        <w:t>p</w:t>
      </w:r>
      <w:r w:rsidRPr="00F82AE9">
        <w:rPr>
          <w:rStyle w:val="Subscriptitalic"/>
        </w:rPr>
        <w:t>TCLV</w:t>
      </w:r>
      <w:r w:rsidRPr="00F82AE9">
        <w:t xml:space="preserve"> </w:t>
      </w:r>
      <w:r w:rsidRPr="00EE3F02">
        <w:t xml:space="preserve">values. The fitting process outlined below is based on current climate TCLV data, but is applied to projected TCLV data, where it is possible that the range of </w:t>
      </w:r>
      <w:r w:rsidRPr="00EE3F02">
        <w:rPr>
          <w:rStyle w:val="BodyTextSymbolItalicChar"/>
        </w:rPr>
        <w:t></w:t>
      </w:r>
      <w:r w:rsidRPr="00F82AE9">
        <w:rPr>
          <w:rStyle w:val="Italic"/>
        </w:rPr>
        <w:t>p</w:t>
      </w:r>
      <w:r w:rsidRPr="00F82AE9">
        <w:rPr>
          <w:rStyle w:val="Subscriptitalic"/>
        </w:rPr>
        <w:t>TCLV</w:t>
      </w:r>
      <w:r w:rsidRPr="00EE3F02">
        <w:t xml:space="preserve"> values is greater than in the current climate. </w:t>
      </w:r>
    </w:p>
    <w:p w:rsidR="00BC127B" w:rsidRPr="00BD08C9" w:rsidRDefault="00BC127B" w:rsidP="00BC127B">
      <w:pPr>
        <w:pStyle w:val="BodyText"/>
      </w:pPr>
      <w:proofErr w:type="spellStart"/>
      <w:r>
        <w:t>Quantiles</w:t>
      </w:r>
      <w:proofErr w:type="spellEnd"/>
      <w:r>
        <w:t xml:space="preserve"> for both the historical and current climate TCLV (1981-2000 period) datasets were calculated and the above function fitted using an unconstrained nonlinear minimisation of the sum of squared residuals, with respect to the parameters </w:t>
      </w:r>
      <w:r w:rsidRPr="00EE3F02">
        <w:rPr>
          <w:rStyle w:val="BodyTextSymbolItalicChar"/>
        </w:rPr>
        <w:t></w:t>
      </w:r>
      <w:r>
        <w:t xml:space="preserve">, </w:t>
      </w:r>
      <w:r w:rsidRPr="00EE3F02">
        <w:rPr>
          <w:rStyle w:val="BodyTextSymbolItalicChar"/>
        </w:rPr>
        <w:t></w:t>
      </w:r>
      <w:r>
        <w:t xml:space="preserve"> and </w:t>
      </w:r>
      <w:r w:rsidRPr="00EE3F02">
        <w:rPr>
          <w:rStyle w:val="BodyTextSymbolItalicChar"/>
        </w:rPr>
        <w:t></w:t>
      </w:r>
      <w:r w:rsidRPr="007E0134">
        <w:t>.</w:t>
      </w:r>
      <w:r>
        <w:t xml:space="preserve"> Once fitted, the function is applied to both the current and projected climate TCLV datasets. The process is outlined below:</w:t>
      </w:r>
    </w:p>
    <w:p w:rsidR="00BC127B" w:rsidRPr="001617F2" w:rsidRDefault="00BC127B" w:rsidP="00BE3BB7">
      <w:pPr>
        <w:pStyle w:val="Bulletlevel1numbered"/>
        <w:numPr>
          <w:ilvl w:val="0"/>
          <w:numId w:val="26"/>
        </w:numPr>
      </w:pPr>
      <w:r w:rsidRPr="00F82AE9">
        <w:rPr>
          <w:rFonts w:eastAsia="Arial Unicode MS"/>
        </w:rPr>
        <w:t xml:space="preserve">Sample </w:t>
      </w:r>
      <w:r w:rsidRPr="001617F2">
        <w:t xml:space="preserve">n random </w:t>
      </w:r>
      <w:r w:rsidRPr="00F82AE9">
        <w:rPr>
          <w:rFonts w:eastAsia="Arial Unicode MS"/>
        </w:rPr>
        <w:t xml:space="preserve">values of </w:t>
      </w:r>
      <w:r w:rsidRPr="00EE3F02">
        <w:rPr>
          <w:rStyle w:val="BodyTextSymbolItalicChar"/>
          <w:rFonts w:eastAsia="Arial Unicode MS"/>
        </w:rPr>
        <w:t></w:t>
      </w:r>
      <w:r w:rsidRPr="00F82AE9">
        <w:rPr>
          <w:rStyle w:val="Italic"/>
          <w:rFonts w:eastAsia="Arial Unicode MS"/>
        </w:rPr>
        <w:t>p</w:t>
      </w:r>
      <w:proofErr w:type="spellStart"/>
      <w:r w:rsidRPr="00F82AE9">
        <w:rPr>
          <w:rStyle w:val="Subscriptitalic"/>
          <w:rFonts w:eastAsia="Arial Unicode MS"/>
        </w:rPr>
        <w:t>hist</w:t>
      </w:r>
      <w:proofErr w:type="spellEnd"/>
      <w:r w:rsidRPr="00F82AE9">
        <w:rPr>
          <w:rFonts w:eastAsia="Arial Unicode MS"/>
        </w:rPr>
        <w:t xml:space="preserve"> (historical pressure deficit), where </w:t>
      </w:r>
      <w:r w:rsidRPr="001617F2">
        <w:t>n</w:t>
      </w:r>
      <w:r w:rsidRPr="00F82AE9">
        <w:rPr>
          <w:rFonts w:eastAsia="Arial Unicode MS"/>
        </w:rPr>
        <w:t xml:space="preserve"> is the number of </w:t>
      </w:r>
      <w:r w:rsidRPr="00EE3F02">
        <w:rPr>
          <w:rStyle w:val="BodyTextSymbolItalicChar"/>
          <w:rFonts w:eastAsia="Arial Unicode MS"/>
        </w:rPr>
        <w:t></w:t>
      </w:r>
      <w:r w:rsidRPr="00F82AE9">
        <w:rPr>
          <w:rStyle w:val="Italic"/>
          <w:rFonts w:eastAsia="Arial Unicode MS"/>
        </w:rPr>
        <w:t>p</w:t>
      </w:r>
      <w:r w:rsidRPr="00F82AE9">
        <w:rPr>
          <w:rStyle w:val="Subscriptitalic"/>
          <w:rFonts w:eastAsia="Arial Unicode MS"/>
        </w:rPr>
        <w:t>TCLV</w:t>
      </w:r>
      <w:r w:rsidRPr="00F82AE9">
        <w:rPr>
          <w:rFonts w:eastAsia="Arial Unicode MS"/>
        </w:rPr>
        <w:t xml:space="preserve"> records for 1981-2000 above the 50th percentile and within the domain of the analysis;</w:t>
      </w:r>
    </w:p>
    <w:p w:rsidR="00BC127B" w:rsidRPr="00F82AE9" w:rsidRDefault="00BC127B" w:rsidP="00F82AE9">
      <w:pPr>
        <w:pStyle w:val="Bulletlevel1numbered"/>
        <w:rPr>
          <w:rFonts w:eastAsia="Arial Unicode MS"/>
        </w:rPr>
      </w:pPr>
      <w:r w:rsidRPr="00F82AE9">
        <w:rPr>
          <w:rFonts w:eastAsia="Arial Unicode MS"/>
        </w:rPr>
        <w:t xml:space="preserve">Repeat Step 1 1000 times and append to the previous values. Append the </w:t>
      </w:r>
      <w:r w:rsidRPr="00EE3F02">
        <w:rPr>
          <w:rStyle w:val="BodyTextSymbolItalicChar"/>
          <w:rFonts w:eastAsia="Arial Unicode MS"/>
        </w:rPr>
        <w:t></w:t>
      </w:r>
      <w:r w:rsidRPr="00F82AE9">
        <w:rPr>
          <w:rStyle w:val="Italic"/>
          <w:rFonts w:eastAsia="Arial Unicode MS"/>
        </w:rPr>
        <w:t>p</w:t>
      </w:r>
      <w:r w:rsidRPr="00F82AE9">
        <w:rPr>
          <w:rStyle w:val="Subscriptitalic"/>
          <w:rFonts w:eastAsia="Arial Unicode MS"/>
        </w:rPr>
        <w:t>TCLV</w:t>
      </w:r>
      <w:r w:rsidRPr="00F82AE9">
        <w:rPr>
          <w:rFonts w:eastAsia="Arial Unicode MS"/>
        </w:rPr>
        <w:t xml:space="preserve"> values to the vector of </w:t>
      </w:r>
      <w:r w:rsidRPr="00EE3F02">
        <w:rPr>
          <w:rStyle w:val="BodyTextSymbolItalicChar"/>
          <w:rFonts w:eastAsia="Arial Unicode MS"/>
        </w:rPr>
        <w:t></w:t>
      </w:r>
      <w:r w:rsidRPr="00F82AE9">
        <w:rPr>
          <w:rStyle w:val="Italic"/>
          <w:rFonts w:eastAsia="Arial Unicode MS"/>
        </w:rPr>
        <w:t>p</w:t>
      </w:r>
      <w:r w:rsidRPr="00F82AE9">
        <w:rPr>
          <w:rStyle w:val="Subscriptitalic"/>
          <w:rFonts w:eastAsia="Arial Unicode MS"/>
        </w:rPr>
        <w:t>TCLV</w:t>
      </w:r>
      <w:r w:rsidRPr="00F82AE9">
        <w:rPr>
          <w:rFonts w:eastAsia="Arial Unicode MS"/>
        </w:rPr>
        <w:t xml:space="preserve"> values as well. This produces two vectors of length </w:t>
      </w:r>
      <w:r w:rsidRPr="001617F2">
        <w:t>n*1000</w:t>
      </w:r>
      <w:r w:rsidRPr="00F82AE9">
        <w:rPr>
          <w:rFonts w:eastAsia="Arial Unicode MS"/>
        </w:rPr>
        <w:t xml:space="preserve"> containing randomly arranged pairs of historical and simulated </w:t>
      </w:r>
      <w:r w:rsidRPr="00EE3F02">
        <w:rPr>
          <w:rStyle w:val="BodyTextSymbolItalicChar"/>
          <w:rFonts w:eastAsia="Arial Unicode MS"/>
        </w:rPr>
        <w:t></w:t>
      </w:r>
      <w:r w:rsidRPr="00F82AE9">
        <w:rPr>
          <w:rStyle w:val="Italic"/>
          <w:rFonts w:eastAsia="Arial Unicode MS"/>
        </w:rPr>
        <w:t>p</w:t>
      </w:r>
      <w:r w:rsidRPr="00F82AE9">
        <w:rPr>
          <w:rFonts w:eastAsia="Arial Unicode MS"/>
        </w:rPr>
        <w:t>;</w:t>
      </w:r>
    </w:p>
    <w:p w:rsidR="00BC127B" w:rsidRPr="00F82AE9" w:rsidRDefault="00BC127B" w:rsidP="00F82AE9">
      <w:pPr>
        <w:pStyle w:val="Bulletlevel1numbered"/>
        <w:rPr>
          <w:rFonts w:eastAsia="Arial Unicode MS"/>
        </w:rPr>
      </w:pPr>
      <w:r w:rsidRPr="00F82AE9">
        <w:rPr>
          <w:rFonts w:eastAsia="Arial Unicode MS"/>
        </w:rPr>
        <w:t>Calculate percentiles of each vector;</w:t>
      </w:r>
    </w:p>
    <w:p w:rsidR="00BC127B" w:rsidRDefault="00BC127B" w:rsidP="009628C8">
      <w:pPr>
        <w:pStyle w:val="Bulletlevel1numbered"/>
      </w:pPr>
      <w:r w:rsidRPr="001617F2">
        <w:t>Run the fitting process on the vector of percentiles</w:t>
      </w:r>
      <w:r>
        <w:t>.</w:t>
      </w:r>
    </w:p>
    <w:p w:rsidR="00BC127B" w:rsidRPr="00F82AE9" w:rsidRDefault="00BC127B" w:rsidP="00BC127B">
      <w:pPr>
        <w:pStyle w:val="BodyText"/>
      </w:pPr>
      <w:r w:rsidRPr="00F82AE9">
        <w:t xml:space="preserve">The scaling was performed independently for each hemisphere. That is, TCLVs in the southern hemisphere are scaled using only data (historical and TCLV) from the southern hemisphere. This improves the quality of the fit, especially in the southern hemisphere where there are fewer historical events on which to base the scaling compared to the northern hemisphere. </w:t>
      </w:r>
      <w:r>
        <w:rPr>
          <w:rFonts w:eastAsia="Helvetica" w:hAnsi="Helvetica"/>
          <w:color w:val="000000"/>
          <w:u w:color="000000"/>
          <w:lang w:val="en-US"/>
        </w:rPr>
        <w:fldChar w:fldCharType="begin"/>
      </w:r>
      <w:r>
        <w:rPr>
          <w:rFonts w:eastAsia="Helvetica" w:hAnsi="Helvetica"/>
          <w:color w:val="000000"/>
          <w:u w:color="000000"/>
          <w:lang w:val="en-US"/>
        </w:rPr>
        <w:instrText xml:space="preserve"> REF _Ref356199579 \h </w:instrText>
      </w:r>
      <w:r>
        <w:rPr>
          <w:rFonts w:eastAsia="Helvetica" w:hAnsi="Helvetica"/>
          <w:color w:val="000000"/>
          <w:u w:color="000000"/>
          <w:lang w:val="en-US"/>
        </w:rPr>
      </w:r>
      <w:r>
        <w:rPr>
          <w:rFonts w:eastAsia="Helvetica" w:hAnsi="Helvetica"/>
          <w:color w:val="000000"/>
          <w:u w:color="000000"/>
          <w:lang w:val="en-US"/>
        </w:rPr>
        <w:fldChar w:fldCharType="separate"/>
      </w:r>
      <w:r w:rsidR="00E57C2A" w:rsidRPr="001C6ED5">
        <w:t xml:space="preserve">Figure </w:t>
      </w:r>
      <w:r w:rsidR="00E57C2A">
        <w:rPr>
          <w:noProof/>
        </w:rPr>
        <w:t>4</w:t>
      </w:r>
      <w:r w:rsidR="00E57C2A">
        <w:t>.</w:t>
      </w:r>
      <w:r w:rsidR="00E57C2A">
        <w:rPr>
          <w:noProof/>
        </w:rPr>
        <w:t>1</w:t>
      </w:r>
      <w:r>
        <w:rPr>
          <w:rFonts w:eastAsia="Helvetica" w:hAnsi="Helvetica"/>
          <w:color w:val="000000"/>
          <w:u w:color="000000"/>
          <w:lang w:val="en-US"/>
        </w:rPr>
        <w:fldChar w:fldCharType="end"/>
      </w:r>
      <w:r w:rsidRPr="00F82AE9">
        <w:t xml:space="preserve"> and </w:t>
      </w:r>
      <w:r>
        <w:rPr>
          <w:rFonts w:eastAsia="Helvetica" w:hAnsi="Helvetica"/>
          <w:color w:val="000000"/>
          <w:u w:color="000000"/>
          <w:lang w:val="en-US"/>
        </w:rPr>
        <w:fldChar w:fldCharType="begin"/>
      </w:r>
      <w:r>
        <w:rPr>
          <w:rFonts w:eastAsia="Helvetica" w:hAnsi="Helvetica"/>
          <w:color w:val="000000"/>
          <w:u w:color="000000"/>
          <w:lang w:val="en-US"/>
        </w:rPr>
        <w:instrText xml:space="preserve"> REF _Ref356199582 \h </w:instrText>
      </w:r>
      <w:r>
        <w:rPr>
          <w:rFonts w:eastAsia="Helvetica" w:hAnsi="Helvetica"/>
          <w:color w:val="000000"/>
          <w:u w:color="000000"/>
          <w:lang w:val="en-US"/>
        </w:rPr>
      </w:r>
      <w:r>
        <w:rPr>
          <w:rFonts w:eastAsia="Helvetica" w:hAnsi="Helvetica"/>
          <w:color w:val="000000"/>
          <w:u w:color="000000"/>
          <w:lang w:val="en-US"/>
        </w:rPr>
        <w:fldChar w:fldCharType="separate"/>
      </w:r>
      <w:r w:rsidR="00E57C2A">
        <w:t xml:space="preserve">Figure </w:t>
      </w:r>
      <w:r w:rsidR="00E57C2A">
        <w:rPr>
          <w:noProof/>
        </w:rPr>
        <w:t>4</w:t>
      </w:r>
      <w:r w:rsidR="00E57C2A">
        <w:t>.</w:t>
      </w:r>
      <w:r w:rsidR="00E57C2A">
        <w:rPr>
          <w:noProof/>
        </w:rPr>
        <w:t>2</w:t>
      </w:r>
      <w:r>
        <w:rPr>
          <w:rFonts w:eastAsia="Helvetica" w:hAnsi="Helvetica"/>
          <w:color w:val="000000"/>
          <w:u w:color="000000"/>
          <w:lang w:val="en-US"/>
        </w:rPr>
        <w:fldChar w:fldCharType="end"/>
      </w:r>
      <w:r w:rsidRPr="00F82AE9">
        <w:t xml:space="preserve"> present the scaled central pressure deficits for the northern and southern hemisphere TCLV datasets respectively.</w:t>
      </w:r>
    </w:p>
    <w:p w:rsidR="00BC127B" w:rsidRPr="006F3804" w:rsidRDefault="00BC127B" w:rsidP="006F3804">
      <w:pPr>
        <w:pStyle w:val="Figuresandimagescentred"/>
      </w:pPr>
      <w:r w:rsidRPr="006F3804">
        <w:rPr>
          <w:noProof/>
        </w:rPr>
        <w:drawing>
          <wp:inline distT="0" distB="0" distL="0" distR="0" wp14:anchorId="63728E71" wp14:editId="3CCF5FA4">
            <wp:extent cx="5760000" cy="3132000"/>
            <wp:effectExtent l="0" t="0" r="0" b="0"/>
            <wp:docPr id="4" name="Picture 4" descr="Due to the complexity of this figure no alternative description has been provided. Please email Geoscience Australia at clientservices@ga.gov.au for an alternate description." title="Scaling of central pressure deficit for the northern hemi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mate_change\CHARS\B_Wind\Projects\PCRAFI\Software\scaling-pcrafi-nh.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60000" cy="3132000"/>
                    </a:xfrm>
                    <a:prstGeom prst="rect">
                      <a:avLst/>
                    </a:prstGeom>
                    <a:noFill/>
                    <a:ln>
                      <a:noFill/>
                    </a:ln>
                    <a:extLst>
                      <a:ext uri="{53640926-AAD7-44D8-BBD7-CCE9431645EC}">
                        <a14:shadowObscured xmlns:a14="http://schemas.microsoft.com/office/drawing/2010/main"/>
                      </a:ext>
                    </a:extLst>
                  </pic:spPr>
                </pic:pic>
              </a:graphicData>
            </a:graphic>
          </wp:inline>
        </w:drawing>
      </w:r>
    </w:p>
    <w:p w:rsidR="00BC127B" w:rsidRPr="001C6ED5" w:rsidRDefault="00BC127B" w:rsidP="001C6ED5">
      <w:pPr>
        <w:pStyle w:val="Caption"/>
      </w:pPr>
      <w:bookmarkStart w:id="36" w:name="_Ref356199579"/>
      <w:bookmarkStart w:id="37" w:name="_Ref356199574"/>
      <w:r w:rsidRPr="001C6ED5">
        <w:t xml:space="preserve">Figure </w:t>
      </w:r>
      <w:r w:rsidR="006A5281">
        <w:fldChar w:fldCharType="begin"/>
      </w:r>
      <w:r w:rsidR="006A5281">
        <w:instrText xml:space="preserve"> STYLEREF 1 \s </w:instrText>
      </w:r>
      <w:r w:rsidR="006A5281">
        <w:fldChar w:fldCharType="separate"/>
      </w:r>
      <w:r w:rsidR="00E57C2A">
        <w:rPr>
          <w:noProof/>
        </w:rPr>
        <w:t>4</w:t>
      </w:r>
      <w:r w:rsidR="006A5281">
        <w:rPr>
          <w:noProof/>
        </w:rPr>
        <w:fldChar w:fldCharType="end"/>
      </w:r>
      <w:r w:rsidR="00E57C2A">
        <w:t>.</w:t>
      </w:r>
      <w:r w:rsidR="006A5281">
        <w:fldChar w:fldCharType="begin"/>
      </w:r>
      <w:r w:rsidR="006A5281">
        <w:instrText xml:space="preserve"> SEQ Figure \* ARABIC \s 1 </w:instrText>
      </w:r>
      <w:r w:rsidR="006A5281">
        <w:fldChar w:fldCharType="separate"/>
      </w:r>
      <w:r w:rsidR="00E57C2A">
        <w:rPr>
          <w:noProof/>
        </w:rPr>
        <w:t>1</w:t>
      </w:r>
      <w:r w:rsidR="006A5281">
        <w:rPr>
          <w:noProof/>
        </w:rPr>
        <w:fldChar w:fldCharType="end"/>
      </w:r>
      <w:bookmarkEnd w:id="36"/>
      <w:r w:rsidRPr="001C6ED5">
        <w:t xml:space="preserve"> Scaling of central pressure deficit for the northern hemisphere. All CMIP3 models are indicated with dashed lines.</w:t>
      </w:r>
      <w:bookmarkEnd w:id="37"/>
    </w:p>
    <w:p w:rsidR="00BC127B" w:rsidRDefault="00BC127B" w:rsidP="006F3804">
      <w:pPr>
        <w:pStyle w:val="Figuresandimagescentred"/>
      </w:pPr>
      <w:r>
        <w:rPr>
          <w:noProof/>
        </w:rPr>
        <w:lastRenderedPageBreak/>
        <w:drawing>
          <wp:inline distT="0" distB="0" distL="0" distR="0" wp14:anchorId="7A94E134" wp14:editId="3C9084CC">
            <wp:extent cx="5760000" cy="3182400"/>
            <wp:effectExtent l="0" t="0" r="0" b="0"/>
            <wp:docPr id="5" name="Picture 5" descr="Due to the complexity of this figure no alternative description has been provided. Please email Geoscience Australia at clientservices@ga.gov.au for an alternate description." title="Scaling of central pressure deficit for the southern hemi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limate_change\CHARS\B_Wind\Projects\PCRAFI\Software\scaling-pcrafi-sh.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760000" cy="3182400"/>
                    </a:xfrm>
                    <a:prstGeom prst="rect">
                      <a:avLst/>
                    </a:prstGeom>
                    <a:noFill/>
                    <a:ln>
                      <a:noFill/>
                    </a:ln>
                    <a:extLst>
                      <a:ext uri="{53640926-AAD7-44D8-BBD7-CCE9431645EC}">
                        <a14:shadowObscured xmlns:a14="http://schemas.microsoft.com/office/drawing/2010/main"/>
                      </a:ext>
                    </a:extLst>
                  </pic:spPr>
                </pic:pic>
              </a:graphicData>
            </a:graphic>
          </wp:inline>
        </w:drawing>
      </w:r>
    </w:p>
    <w:p w:rsidR="00BC127B" w:rsidRPr="001F5A54" w:rsidRDefault="00BC127B" w:rsidP="00BC127B">
      <w:pPr>
        <w:pStyle w:val="Caption"/>
      </w:pPr>
      <w:bookmarkStart w:id="38" w:name="_Ref356199582"/>
      <w:r>
        <w:t xml:space="preserve">Figure </w:t>
      </w:r>
      <w:r w:rsidR="006A5281">
        <w:fldChar w:fldCharType="begin"/>
      </w:r>
      <w:r w:rsidR="006A5281">
        <w:instrText xml:space="preserve"> STYLEREF 1 \s </w:instrText>
      </w:r>
      <w:r w:rsidR="006A5281">
        <w:fldChar w:fldCharType="separate"/>
      </w:r>
      <w:r w:rsidR="00E57C2A">
        <w:rPr>
          <w:noProof/>
        </w:rPr>
        <w:t>4</w:t>
      </w:r>
      <w:r w:rsidR="006A5281">
        <w:rPr>
          <w:noProof/>
        </w:rPr>
        <w:fldChar w:fldCharType="end"/>
      </w:r>
      <w:r w:rsidR="00E57C2A">
        <w:t>.</w:t>
      </w:r>
      <w:r w:rsidR="006A5281">
        <w:fldChar w:fldCharType="begin"/>
      </w:r>
      <w:r w:rsidR="006A5281">
        <w:instrText xml:space="preserve"> SEQ Figure \* ARABIC \s 1 </w:instrText>
      </w:r>
      <w:r w:rsidR="006A5281">
        <w:fldChar w:fldCharType="separate"/>
      </w:r>
      <w:r w:rsidR="00E57C2A">
        <w:rPr>
          <w:noProof/>
        </w:rPr>
        <w:t>2</w:t>
      </w:r>
      <w:r w:rsidR="006A5281">
        <w:rPr>
          <w:noProof/>
        </w:rPr>
        <w:fldChar w:fldCharType="end"/>
      </w:r>
      <w:bookmarkEnd w:id="38"/>
      <w:r>
        <w:t xml:space="preserve"> As for Figure 4</w:t>
      </w:r>
      <w:r w:rsidR="00874B48">
        <w:t>.1</w:t>
      </w:r>
      <w:r>
        <w:t>, but for the southern hemisphere.</w:t>
      </w:r>
      <w:r w:rsidRPr="001F5A54">
        <w:t xml:space="preserve"> </w:t>
      </w:r>
    </w:p>
    <w:p w:rsidR="00BC127B" w:rsidRPr="001F5A54" w:rsidRDefault="00BC127B" w:rsidP="00BC127B">
      <w:pPr>
        <w:pStyle w:val="BodyText"/>
      </w:pPr>
      <w:r>
        <w:rPr>
          <w:u w:color="000000"/>
          <w:lang w:val="en-US"/>
        </w:rPr>
        <w:fldChar w:fldCharType="begin"/>
      </w:r>
      <w:r>
        <w:rPr>
          <w:u w:color="000000"/>
          <w:lang w:val="en-US"/>
        </w:rPr>
        <w:instrText xml:space="preserve"> REF _Ref356218712 \h </w:instrText>
      </w:r>
      <w:r>
        <w:rPr>
          <w:u w:color="000000"/>
          <w:lang w:val="en-US"/>
        </w:rPr>
      </w:r>
      <w:r>
        <w:rPr>
          <w:u w:color="000000"/>
          <w:lang w:val="en-US"/>
        </w:rPr>
        <w:fldChar w:fldCharType="separate"/>
      </w:r>
      <w:r w:rsidR="00E57C2A">
        <w:t xml:space="preserve">Figure </w:t>
      </w:r>
      <w:r w:rsidR="00E57C2A">
        <w:rPr>
          <w:noProof/>
        </w:rPr>
        <w:t>4</w:t>
      </w:r>
      <w:r w:rsidR="00E57C2A">
        <w:t>.</w:t>
      </w:r>
      <w:r w:rsidR="00E57C2A">
        <w:rPr>
          <w:noProof/>
        </w:rPr>
        <w:t>3</w:t>
      </w:r>
      <w:r>
        <w:rPr>
          <w:u w:color="000000"/>
          <w:lang w:val="en-US"/>
        </w:rPr>
        <w:fldChar w:fldCharType="end"/>
      </w:r>
      <w:r w:rsidRPr="001F5A54">
        <w:t xml:space="preserve"> compares the </w:t>
      </w:r>
      <w:proofErr w:type="spellStart"/>
      <w:r w:rsidRPr="001F5A54">
        <w:t>quantiles</w:t>
      </w:r>
      <w:proofErr w:type="spellEnd"/>
      <w:r w:rsidRPr="001F5A54">
        <w:t xml:space="preserve"> for central pressure deficit for the historic and scaled current climate TCLV datasets for southern hemisphere data. Note only </w:t>
      </w:r>
      <w:r w:rsidR="007B1EC2" w:rsidRPr="001F5A54">
        <w:t>four of the models produce</w:t>
      </w:r>
      <w:r w:rsidRPr="001F5A54">
        <w:t xml:space="preserve"> distributions that are statistically indistinguishable at the 5% level through the scaling process. In part, this result is due to using only </w:t>
      </w:r>
      <w:proofErr w:type="spellStart"/>
      <w:r w:rsidRPr="001F5A54">
        <w:t>quantiles</w:t>
      </w:r>
      <w:proofErr w:type="spellEnd"/>
      <w:r w:rsidRPr="001F5A54">
        <w:t xml:space="preserve"> above the 50th percentile for the scaling process. Therefore, the quality of fit at lower </w:t>
      </w:r>
      <w:proofErr w:type="spellStart"/>
      <w:r w:rsidRPr="001F5A54">
        <w:t>quantiles</w:t>
      </w:r>
      <w:proofErr w:type="spellEnd"/>
      <w:r w:rsidRPr="001F5A54">
        <w:t xml:space="preserve"> is reduced and the overall difference in distributions is dominated by the differences at these lower </w:t>
      </w:r>
      <w:proofErr w:type="spellStart"/>
      <w:r w:rsidRPr="001F5A54">
        <w:t>quantiles</w:t>
      </w:r>
      <w:proofErr w:type="spellEnd"/>
      <w:r w:rsidRPr="001F5A54">
        <w:t>.</w:t>
      </w:r>
    </w:p>
    <w:p w:rsidR="00BC127B" w:rsidRPr="006F3804" w:rsidRDefault="007B1EC2" w:rsidP="006F3804">
      <w:pPr>
        <w:pStyle w:val="Figuresandimagescentred"/>
      </w:pPr>
      <w:r w:rsidRPr="006F3804">
        <w:rPr>
          <w:noProof/>
        </w:rPr>
        <w:lastRenderedPageBreak/>
        <w:drawing>
          <wp:inline distT="0" distB="0" distL="0" distR="0" wp14:anchorId="0F435829" wp14:editId="2599CC67">
            <wp:extent cx="5760000" cy="4755600"/>
            <wp:effectExtent l="0" t="0" r="0" b="6985"/>
            <wp:docPr id="15" name="Picture 15" descr="Due to the complexity of this figure no alternative description has been provided. Please email Geoscience Australia at clientservices@ga.gov.au for an alternate description." title="Quantile-quantile plots of central pressure deficits for observed TCs and scaled current climate T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limate_change\CHARS\B_Wind\Projects\PCRAFI\Data\processed\20130516\plots\SH.qqplot_prs.TCLV-current.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471" t="6198" r="8264" b="2687"/>
                    <a:stretch/>
                  </pic:blipFill>
                  <pic:spPr bwMode="auto">
                    <a:xfrm>
                      <a:off x="0" y="0"/>
                      <a:ext cx="5760000" cy="4755600"/>
                    </a:xfrm>
                    <a:prstGeom prst="rect">
                      <a:avLst/>
                    </a:prstGeom>
                    <a:noFill/>
                    <a:ln>
                      <a:noFill/>
                    </a:ln>
                    <a:extLst>
                      <a:ext uri="{53640926-AAD7-44D8-BBD7-CCE9431645EC}">
                        <a14:shadowObscured xmlns:a14="http://schemas.microsoft.com/office/drawing/2010/main"/>
                      </a:ext>
                    </a:extLst>
                  </pic:spPr>
                </pic:pic>
              </a:graphicData>
            </a:graphic>
          </wp:inline>
        </w:drawing>
      </w:r>
    </w:p>
    <w:p w:rsidR="00BC127B" w:rsidRPr="001F5A54" w:rsidRDefault="00BC127B" w:rsidP="00BC127B">
      <w:pPr>
        <w:pStyle w:val="Caption"/>
      </w:pPr>
      <w:bookmarkStart w:id="39" w:name="_Ref356218712"/>
      <w:r>
        <w:t xml:space="preserve">Figure </w:t>
      </w:r>
      <w:r w:rsidR="006A5281">
        <w:fldChar w:fldCharType="begin"/>
      </w:r>
      <w:r w:rsidR="006A5281">
        <w:instrText xml:space="preserve"> STYLEREF 1 \s </w:instrText>
      </w:r>
      <w:r w:rsidR="006A5281">
        <w:fldChar w:fldCharType="separate"/>
      </w:r>
      <w:r w:rsidR="00E57C2A">
        <w:rPr>
          <w:noProof/>
        </w:rPr>
        <w:t>4</w:t>
      </w:r>
      <w:r w:rsidR="006A5281">
        <w:rPr>
          <w:noProof/>
        </w:rPr>
        <w:fldChar w:fldCharType="end"/>
      </w:r>
      <w:r w:rsidR="00E57C2A">
        <w:t>.</w:t>
      </w:r>
      <w:r w:rsidR="006A5281">
        <w:fldChar w:fldCharType="begin"/>
      </w:r>
      <w:r w:rsidR="006A5281">
        <w:instrText xml:space="preserve"> SEQ Figure \* ARABIC \s 1 </w:instrText>
      </w:r>
      <w:r w:rsidR="006A5281">
        <w:fldChar w:fldCharType="separate"/>
      </w:r>
      <w:r w:rsidR="00E57C2A">
        <w:rPr>
          <w:noProof/>
        </w:rPr>
        <w:t>3</w:t>
      </w:r>
      <w:r w:rsidR="006A5281">
        <w:rPr>
          <w:noProof/>
        </w:rPr>
        <w:fldChar w:fldCharType="end"/>
      </w:r>
      <w:bookmarkEnd w:id="39"/>
      <w:r>
        <w:t xml:space="preserve"> </w:t>
      </w:r>
      <w:proofErr w:type="spellStart"/>
      <w:r w:rsidRPr="00EE4B50">
        <w:t>Quantile-quantile</w:t>
      </w:r>
      <w:proofErr w:type="spellEnd"/>
      <w:r w:rsidRPr="00EE4B50">
        <w:t xml:space="preserve"> plot of central pressure deficits for observed TCs (horizontal axis) and scaled current climate TCLV dataset (vertical axis). Black points indicate 50th, 75th, 90th and 95th percentile values. Thin grey lines indicate 95th percentile.</w:t>
      </w:r>
      <w:r>
        <w:t xml:space="preserve"> </w:t>
      </w:r>
      <w:r w:rsidR="00EE3F02">
        <w:t>p</w:t>
      </w:r>
      <w:r>
        <w:t>-value is based on a Kolmogorov-Smirnov two-sample test for similar distributions</w:t>
      </w:r>
      <w:r w:rsidR="007B1EC2">
        <w:t>, based on all values above the median</w:t>
      </w:r>
      <w:r>
        <w:t>.</w:t>
      </w:r>
    </w:p>
    <w:p w:rsidR="00BC127B" w:rsidRDefault="00BC127B" w:rsidP="00BC127B">
      <w:pPr>
        <w:pStyle w:val="Heading2"/>
      </w:pPr>
      <w:bookmarkStart w:id="40" w:name="_Toc356827197"/>
      <w:bookmarkStart w:id="41" w:name="_Toc357065175"/>
      <w:bookmarkStart w:id="42" w:name="_Toc361914687"/>
      <w:r>
        <w:t>Wind-pressure relations</w:t>
      </w:r>
      <w:bookmarkEnd w:id="40"/>
      <w:bookmarkEnd w:id="41"/>
      <w:bookmarkEnd w:id="42"/>
    </w:p>
    <w:p w:rsidR="00BC127B" w:rsidRDefault="00BC127B" w:rsidP="00BC127B">
      <w:pPr>
        <w:pStyle w:val="BodyText"/>
      </w:pPr>
      <w:r w:rsidRPr="00334F1D">
        <w:t>To assign each TC event into a category for evaluation of changes in intensity</w:t>
      </w:r>
      <w:r>
        <w:t xml:space="preserve"> as a function of wind speed, </w:t>
      </w:r>
      <w:r w:rsidRPr="00334F1D">
        <w:t xml:space="preserve">a wind-pressure relation </w:t>
      </w:r>
      <w:r>
        <w:t xml:space="preserve">was utilised </w:t>
      </w:r>
      <w:r w:rsidRPr="00334F1D">
        <w:t>to convert the central pressure deficits to a maximum sustained wind speed. T</w:t>
      </w:r>
      <w:r>
        <w:t>here are a large number of wind-</w:t>
      </w:r>
      <w:r w:rsidRPr="00334F1D">
        <w:t>pressure relations available in the literature, and historically a range of relations have been used operationally</w:t>
      </w:r>
      <w:r>
        <w:t xml:space="preserve"> (Harper, 2002)</w:t>
      </w:r>
      <w:r w:rsidRPr="00334F1D">
        <w:t>. In the absence of coincident, independent observations of central pressure deficit and maximum wind speed, a statistical model</w:t>
      </w:r>
      <w:r>
        <w:t xml:space="preserve"> is used</w:t>
      </w:r>
      <w:r w:rsidR="001C6ED5">
        <w:t>.</w:t>
      </w:r>
    </w:p>
    <w:p w:rsidR="00BC127B" w:rsidRDefault="00BC127B" w:rsidP="00BC127B">
      <w:pPr>
        <w:pStyle w:val="BodyText"/>
      </w:pPr>
      <w:r>
        <w:t xml:space="preserve">For this analysis, </w:t>
      </w:r>
      <w:r w:rsidRPr="00334F1D">
        <w:t>the wind-pressure relation described in</w:t>
      </w:r>
      <w:r>
        <w:t xml:space="preserve"> Holland (2008) as selected. This provided a 1-minute-mean sustained wind speed, which was then converted to a 10-minute mean wind speed using the recommendations contained in WMO TD-1555 (Harper et al., 2010), assuming “at-sea” surface conditions. The maximum wind speed derived through this process is referred to as the scaled maximum wind speed.</w:t>
      </w:r>
    </w:p>
    <w:p w:rsidR="00BC127B" w:rsidRPr="00F82AE9" w:rsidRDefault="00BC127B" w:rsidP="00BC127B">
      <w:pPr>
        <w:pStyle w:val="BodyText"/>
      </w:pPr>
      <w:r w:rsidRPr="00F82AE9">
        <w:lastRenderedPageBreak/>
        <w:t xml:space="preserve">The </w:t>
      </w:r>
      <w:proofErr w:type="spellStart"/>
      <w:r w:rsidRPr="00F82AE9">
        <w:t>quantile</w:t>
      </w:r>
      <w:proofErr w:type="spellEnd"/>
      <w:r w:rsidRPr="00F82AE9">
        <w:t xml:space="preserve"> scaling process described previously results in a nearly-linear translation of the maximum wind speed. The TCLV data provides the raw model (or unscaled) maximum wind speed, as it is one of the objective criteria for identifying and tracking TCLVs. </w:t>
      </w:r>
      <w:r>
        <w:rPr>
          <w:rFonts w:eastAsia="Helvetica" w:hAnsi="Helvetica"/>
          <w:color w:val="000000"/>
          <w:u w:color="000000"/>
          <w:lang w:val="en-US"/>
        </w:rPr>
        <w:fldChar w:fldCharType="begin"/>
      </w:r>
      <w:r>
        <w:rPr>
          <w:rFonts w:eastAsia="Helvetica" w:hAnsi="Helvetica"/>
          <w:color w:val="000000"/>
          <w:u w:color="000000"/>
          <w:lang w:val="en-US"/>
        </w:rPr>
        <w:instrText xml:space="preserve"> REF _Ref351970236 \h </w:instrText>
      </w:r>
      <w:r>
        <w:rPr>
          <w:rFonts w:eastAsia="Helvetica" w:hAnsi="Helvetica"/>
          <w:color w:val="000000"/>
          <w:u w:color="000000"/>
          <w:lang w:val="en-US"/>
        </w:rPr>
      </w:r>
      <w:r>
        <w:rPr>
          <w:rFonts w:eastAsia="Helvetica" w:hAnsi="Helvetica"/>
          <w:color w:val="000000"/>
          <w:u w:color="000000"/>
          <w:lang w:val="en-US"/>
        </w:rPr>
        <w:fldChar w:fldCharType="separate"/>
      </w:r>
      <w:r w:rsidR="00E57C2A">
        <w:t xml:space="preserve">Figure </w:t>
      </w:r>
      <w:r w:rsidR="00E57C2A">
        <w:rPr>
          <w:noProof/>
        </w:rPr>
        <w:t>4</w:t>
      </w:r>
      <w:r w:rsidR="00E57C2A">
        <w:t>.</w:t>
      </w:r>
      <w:r w:rsidR="00E57C2A">
        <w:rPr>
          <w:noProof/>
        </w:rPr>
        <w:t>4</w:t>
      </w:r>
      <w:r>
        <w:rPr>
          <w:rFonts w:eastAsia="Helvetica" w:hAnsi="Helvetica"/>
          <w:color w:val="000000"/>
          <w:u w:color="000000"/>
          <w:lang w:val="en-US"/>
        </w:rPr>
        <w:fldChar w:fldCharType="end"/>
      </w:r>
      <w:r w:rsidRPr="00F82AE9">
        <w:t xml:space="preserve"> shows the relation between the scaled and unscaled maximum wind speeds is nearly linear, with nearly 98% of variance explained by a linear fit for the majority of models. Most wind-pressure relations can be described by a power-law relation, with a power less than one (</w:t>
      </w:r>
      <w:r>
        <w:t>Harper et al.</w:t>
      </w:r>
      <w:r w:rsidRPr="00F82AE9">
        <w:t>, 2002). The nearly-linear transformation in wind speed provides additional confidence that our choice of a power law scaling function for central</w:t>
      </w:r>
      <w:r w:rsidR="001C6ED5" w:rsidRPr="00F82AE9">
        <w:t xml:space="preserve"> pressure deficit is justified.</w:t>
      </w:r>
    </w:p>
    <w:p w:rsidR="00BC127B" w:rsidRPr="006F3804" w:rsidRDefault="007B1EC2" w:rsidP="006F3804">
      <w:pPr>
        <w:pStyle w:val="Figuresandimagescentred"/>
      </w:pPr>
      <w:r w:rsidRPr="006F3804">
        <w:rPr>
          <w:noProof/>
        </w:rPr>
        <w:drawing>
          <wp:inline distT="0" distB="0" distL="0" distR="0" wp14:anchorId="1843450A" wp14:editId="67BC5E42">
            <wp:extent cx="5760000" cy="4878000"/>
            <wp:effectExtent l="0" t="0" r="0" b="0"/>
            <wp:docPr id="16" name="Picture 16" descr="Due to the complexity of this figure no alternative description has been provided. Please email Geoscience Australia at clientservices@ga.gov.au for an alternate description." title="Quantile-quantile plot of scaled TCLV maximum wind speed (horizontal axis) and raw TCLV maximum wind speed (vertic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limate_change\CHARS\B_Wind\Projects\PCRAFI\Data\processed\20130516\plots\SH.qqplot_wspd.rawgcm-current.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71" t="6198" r="7935"/>
                    <a:stretch/>
                  </pic:blipFill>
                  <pic:spPr bwMode="auto">
                    <a:xfrm>
                      <a:off x="0" y="0"/>
                      <a:ext cx="5760000" cy="4878000"/>
                    </a:xfrm>
                    <a:prstGeom prst="rect">
                      <a:avLst/>
                    </a:prstGeom>
                    <a:noFill/>
                    <a:ln>
                      <a:noFill/>
                    </a:ln>
                    <a:extLst>
                      <a:ext uri="{53640926-AAD7-44D8-BBD7-CCE9431645EC}">
                        <a14:shadowObscured xmlns:a14="http://schemas.microsoft.com/office/drawing/2010/main"/>
                      </a:ext>
                    </a:extLst>
                  </pic:spPr>
                </pic:pic>
              </a:graphicData>
            </a:graphic>
          </wp:inline>
        </w:drawing>
      </w:r>
    </w:p>
    <w:p w:rsidR="00BC127B" w:rsidRPr="00FE14B2" w:rsidRDefault="00BC127B" w:rsidP="00BC127B">
      <w:pPr>
        <w:pStyle w:val="Caption"/>
      </w:pPr>
      <w:bookmarkStart w:id="43" w:name="_Ref351970236"/>
      <w:r>
        <w:t xml:space="preserve">Figure </w:t>
      </w:r>
      <w:r w:rsidR="006A5281">
        <w:fldChar w:fldCharType="begin"/>
      </w:r>
      <w:r w:rsidR="006A5281">
        <w:instrText xml:space="preserve"> STYLEREF 1 \s </w:instrText>
      </w:r>
      <w:r w:rsidR="006A5281">
        <w:fldChar w:fldCharType="separate"/>
      </w:r>
      <w:r w:rsidR="00E57C2A">
        <w:rPr>
          <w:noProof/>
        </w:rPr>
        <w:t>4</w:t>
      </w:r>
      <w:r w:rsidR="006A5281">
        <w:rPr>
          <w:noProof/>
        </w:rPr>
        <w:fldChar w:fldCharType="end"/>
      </w:r>
      <w:r w:rsidR="00E57C2A">
        <w:t>.</w:t>
      </w:r>
      <w:r w:rsidR="006A5281">
        <w:fldChar w:fldCharType="begin"/>
      </w:r>
      <w:r w:rsidR="006A5281">
        <w:instrText xml:space="preserve"> SEQ Figure \* ARABIC \s 1 </w:instrText>
      </w:r>
      <w:r w:rsidR="006A5281">
        <w:fldChar w:fldCharType="separate"/>
      </w:r>
      <w:r w:rsidR="00E57C2A">
        <w:rPr>
          <w:noProof/>
        </w:rPr>
        <w:t>4</w:t>
      </w:r>
      <w:r w:rsidR="006A5281">
        <w:rPr>
          <w:noProof/>
        </w:rPr>
        <w:fldChar w:fldCharType="end"/>
      </w:r>
      <w:bookmarkEnd w:id="43"/>
      <w:r>
        <w:t xml:space="preserve"> </w:t>
      </w:r>
      <w:proofErr w:type="spellStart"/>
      <w:r>
        <w:t>Quantile-quantile</w:t>
      </w:r>
      <w:proofErr w:type="spellEnd"/>
      <w:r>
        <w:t xml:space="preserve"> plot of scaled TCLV maximum wind speed (horizontal axis) and raw TCLV maximum wind speed (vertical axis). Black markers indicate the 50</w:t>
      </w:r>
      <w:r w:rsidRPr="0004154D">
        <w:t>th</w:t>
      </w:r>
      <w:r>
        <w:t>, 75</w:t>
      </w:r>
      <w:r w:rsidRPr="0004154D">
        <w:t>th</w:t>
      </w:r>
      <w:r>
        <w:t>, 90</w:t>
      </w:r>
      <w:r w:rsidRPr="0004154D">
        <w:t>th</w:t>
      </w:r>
      <w:r>
        <w:t xml:space="preserve"> and 95</w:t>
      </w:r>
      <w:r w:rsidRPr="0004154D">
        <w:t>th</w:t>
      </w:r>
      <w:r>
        <w:t xml:space="preserve"> percentile values. Grey lines indicate the 95</w:t>
      </w:r>
      <w:r w:rsidRPr="0004154D">
        <w:t>th</w:t>
      </w:r>
      <w:r>
        <w:t xml:space="preserve"> percentile range for each </w:t>
      </w:r>
      <w:proofErr w:type="spellStart"/>
      <w:r>
        <w:t>quantile</w:t>
      </w:r>
      <w:proofErr w:type="spellEnd"/>
      <w:r>
        <w:t>. Blue dashed line has slope=1. Red dashed line represents linear fit to the data points, with the equation and correlation coefficient given in the top left corner of each panel.</w:t>
      </w:r>
    </w:p>
    <w:p w:rsidR="00BC127B" w:rsidRDefault="00BC127B" w:rsidP="00BC127B">
      <w:pPr>
        <w:pStyle w:val="Heading2"/>
      </w:pPr>
      <w:bookmarkStart w:id="44" w:name="_Toc356827198"/>
      <w:bookmarkStart w:id="45" w:name="_Toc357065176"/>
      <w:bookmarkStart w:id="46" w:name="_Toc361914688"/>
      <w:r>
        <w:t>Categorisation</w:t>
      </w:r>
      <w:bookmarkEnd w:id="44"/>
      <w:bookmarkEnd w:id="45"/>
      <w:bookmarkEnd w:id="46"/>
    </w:p>
    <w:p w:rsidR="00BC127B" w:rsidRDefault="00BC127B" w:rsidP="00BC127B">
      <w:pPr>
        <w:pStyle w:val="BodyText"/>
      </w:pPr>
      <w:r>
        <w:t xml:space="preserve">TCs are categorised by the lifetime minimum central pressure into one of 7 classes, based on the </w:t>
      </w:r>
      <w:proofErr w:type="spellStart"/>
      <w:r>
        <w:t>Saffir</w:t>
      </w:r>
      <w:proofErr w:type="spellEnd"/>
      <w:r>
        <w:t xml:space="preserve">-Simpson Hurricane Intensity Scale. We evaluate the distribution of TCs in each class and calculate changes in that distribution at 2050 and 2090. Also calculated is the baseline distribution of TC categories, using the historical track data. </w:t>
      </w:r>
    </w:p>
    <w:p w:rsidR="00BC127B" w:rsidRPr="001F5A54" w:rsidRDefault="00E57C2A" w:rsidP="00E57C2A">
      <w:pPr>
        <w:pStyle w:val="Tabletitle"/>
      </w:pPr>
      <w:r>
        <w:lastRenderedPageBreak/>
        <w:t xml:space="preserve">Table </w:t>
      </w:r>
      <w:r w:rsidR="006A5281">
        <w:fldChar w:fldCharType="begin"/>
      </w:r>
      <w:r w:rsidR="006A5281">
        <w:instrText xml:space="preserve"> STYLEREF 1 \s </w:instrText>
      </w:r>
      <w:r w:rsidR="006A5281">
        <w:fldChar w:fldCharType="separate"/>
      </w:r>
      <w:r>
        <w:rPr>
          <w:noProof/>
        </w:rPr>
        <w:t>4</w:t>
      </w:r>
      <w:r w:rsidR="006A5281">
        <w:rPr>
          <w:noProof/>
        </w:rPr>
        <w:fldChar w:fldCharType="end"/>
      </w:r>
      <w:r>
        <w:t>.</w:t>
      </w:r>
      <w:r w:rsidR="006A5281">
        <w:fldChar w:fldCharType="begin"/>
      </w:r>
      <w:r w:rsidR="006A5281">
        <w:instrText xml:space="preserve"> SEQ Table \* ARABIC \s 1 </w:instrText>
      </w:r>
      <w:r w:rsidR="006A5281">
        <w:fldChar w:fldCharType="separate"/>
      </w:r>
      <w:r>
        <w:rPr>
          <w:noProof/>
        </w:rPr>
        <w:t>1</w:t>
      </w:r>
      <w:r w:rsidR="006A5281">
        <w:rPr>
          <w:noProof/>
        </w:rPr>
        <w:fldChar w:fldCharType="end"/>
      </w:r>
      <w:r w:rsidRPr="00E57C2A">
        <w:t xml:space="preserve"> </w:t>
      </w:r>
      <w:r w:rsidRPr="001F5A54">
        <w:t xml:space="preserve">Classification of TCs based on maximum sustained winds and minimum central pressure, using the </w:t>
      </w:r>
      <w:proofErr w:type="spellStart"/>
      <w:r w:rsidRPr="001F5A54">
        <w:t>Saffir</w:t>
      </w:r>
      <w:proofErr w:type="spellEnd"/>
      <w:r w:rsidRPr="001F5A54">
        <w:t>-Simpson Hurricane Intensity Scale.</w:t>
      </w:r>
    </w:p>
    <w:tbl>
      <w:tblPr>
        <w:tblStyle w:val="TableGAHeaderRow"/>
        <w:tblW w:w="0" w:type="auto"/>
        <w:tblLook w:val="01E0" w:firstRow="1" w:lastRow="1" w:firstColumn="1" w:lastColumn="1" w:noHBand="0" w:noVBand="0"/>
        <w:tblCaption w:val="Tropical cyclone intensity classification "/>
      </w:tblPr>
      <w:tblGrid>
        <w:gridCol w:w="1985"/>
        <w:gridCol w:w="2693"/>
        <w:gridCol w:w="2693"/>
      </w:tblGrid>
      <w:tr w:rsidR="00BC127B" w:rsidRPr="00A01A35" w:rsidTr="003954B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5" w:type="dxa"/>
          </w:tcPr>
          <w:p w:rsidR="00BC127B" w:rsidRPr="006F3804" w:rsidRDefault="00BC127B" w:rsidP="006F3804">
            <w:pPr>
              <w:pStyle w:val="Tableheadingcentred"/>
            </w:pPr>
            <w:r w:rsidRPr="006F3804">
              <w:t>Classification</w:t>
            </w:r>
          </w:p>
        </w:tc>
        <w:tc>
          <w:tcPr>
            <w:tcW w:w="2693" w:type="dxa"/>
          </w:tcPr>
          <w:p w:rsidR="00BC127B" w:rsidRPr="006F3804" w:rsidRDefault="00BC127B" w:rsidP="006F3804">
            <w:pPr>
              <w:pStyle w:val="Tableheadingcentred"/>
              <w:cnfStyle w:val="100000000000" w:firstRow="1" w:lastRow="0" w:firstColumn="0" w:lastColumn="0" w:oddVBand="0" w:evenVBand="0" w:oddHBand="0" w:evenHBand="0" w:firstRowFirstColumn="0" w:firstRowLastColumn="0" w:lastRowFirstColumn="0" w:lastRowLastColumn="0"/>
            </w:pPr>
            <w:r w:rsidRPr="006F3804">
              <w:t>1-minute sustained wind speed (m/s)</w:t>
            </w:r>
          </w:p>
        </w:tc>
        <w:tc>
          <w:tcPr>
            <w:cnfStyle w:val="000010000000" w:firstRow="0" w:lastRow="0" w:firstColumn="0" w:lastColumn="0" w:oddVBand="1" w:evenVBand="0" w:oddHBand="0" w:evenHBand="0" w:firstRowFirstColumn="0" w:firstRowLastColumn="0" w:lastRowFirstColumn="0" w:lastRowLastColumn="0"/>
            <w:tcW w:w="2693" w:type="dxa"/>
          </w:tcPr>
          <w:p w:rsidR="00BC127B" w:rsidRPr="006F3804" w:rsidRDefault="00BC127B" w:rsidP="006F3804">
            <w:pPr>
              <w:pStyle w:val="Tableheadingcentred"/>
            </w:pPr>
            <w:r w:rsidRPr="006F3804">
              <w:t>Minimum central pressure (</w:t>
            </w:r>
            <w:proofErr w:type="spellStart"/>
            <w:r w:rsidRPr="006F3804">
              <w:t>hPa</w:t>
            </w:r>
            <w:proofErr w:type="spellEnd"/>
            <w:r w:rsidRPr="006F3804">
              <w:t>)</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rsidR="00BC127B" w:rsidRPr="003D7F5E" w:rsidRDefault="00BC127B" w:rsidP="001617F2">
            <w:pPr>
              <w:pStyle w:val="Tabletextcentred"/>
            </w:pPr>
            <w:r w:rsidRPr="003D7F5E">
              <w:t>Tropical depression</w:t>
            </w:r>
            <w:r>
              <w:t xml:space="preserve"> (TD)</w:t>
            </w:r>
          </w:p>
        </w:tc>
        <w:tc>
          <w:tcPr>
            <w:tcW w:w="2693" w:type="dxa"/>
          </w:tcPr>
          <w:p w:rsidR="00BC127B" w:rsidRPr="003D7F5E"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3D7F5E">
              <w:t>&lt; 17 m/s</w:t>
            </w:r>
          </w:p>
        </w:tc>
        <w:tc>
          <w:tcPr>
            <w:cnfStyle w:val="000010000000" w:firstRow="0" w:lastRow="0" w:firstColumn="0" w:lastColumn="0" w:oddVBand="1" w:evenVBand="0" w:oddHBand="0" w:evenHBand="0" w:firstRowFirstColumn="0" w:firstRowLastColumn="0" w:lastRowFirstColumn="0" w:lastRowLastColumn="0"/>
            <w:tcW w:w="2693" w:type="dxa"/>
          </w:tcPr>
          <w:p w:rsidR="00BC127B" w:rsidRPr="003D7F5E" w:rsidRDefault="00BC127B" w:rsidP="001617F2">
            <w:pPr>
              <w:pStyle w:val="Tabletextcentred"/>
            </w:pPr>
            <w:r w:rsidRPr="003D7F5E">
              <w:t>&gt;= 1005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rsidR="00BC127B" w:rsidRPr="003D7F5E" w:rsidRDefault="00BC127B" w:rsidP="001617F2">
            <w:pPr>
              <w:pStyle w:val="Tabletextcentred"/>
            </w:pPr>
            <w:r w:rsidRPr="003D7F5E">
              <w:t>Tropical Storm</w:t>
            </w:r>
            <w:r>
              <w:t xml:space="preserve"> (TS)</w:t>
            </w:r>
          </w:p>
        </w:tc>
        <w:tc>
          <w:tcPr>
            <w:tcW w:w="2693" w:type="dxa"/>
          </w:tcPr>
          <w:p w:rsidR="00BC127B" w:rsidRPr="003D7F5E"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3D7F5E">
              <w:t>17 – 32 m/s</w:t>
            </w:r>
          </w:p>
        </w:tc>
        <w:tc>
          <w:tcPr>
            <w:cnfStyle w:val="000010000000" w:firstRow="0" w:lastRow="0" w:firstColumn="0" w:lastColumn="0" w:oddVBand="1" w:evenVBand="0" w:oddHBand="0" w:evenHBand="0" w:firstRowFirstColumn="0" w:firstRowLastColumn="0" w:lastRowFirstColumn="0" w:lastRowLastColumn="0"/>
            <w:tcW w:w="2693" w:type="dxa"/>
          </w:tcPr>
          <w:p w:rsidR="00BC127B" w:rsidRPr="003D7F5E" w:rsidRDefault="00BC127B" w:rsidP="001617F2">
            <w:pPr>
              <w:pStyle w:val="Tabletextcentred"/>
            </w:pPr>
            <w:r w:rsidRPr="003D7F5E">
              <w:t>1005 – 995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rsidR="00BC127B" w:rsidRPr="003D7F5E" w:rsidRDefault="00BC127B" w:rsidP="001617F2">
            <w:pPr>
              <w:pStyle w:val="Tabletextcentred"/>
            </w:pPr>
            <w:r w:rsidRPr="003D7F5E">
              <w:t>Category 1</w:t>
            </w:r>
            <w:r>
              <w:t xml:space="preserve"> (TC1)</w:t>
            </w:r>
          </w:p>
        </w:tc>
        <w:tc>
          <w:tcPr>
            <w:tcW w:w="2693" w:type="dxa"/>
          </w:tcPr>
          <w:p w:rsidR="00BC127B" w:rsidRPr="003D7F5E"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3D7F5E">
              <w:t>32 – 42 m/s</w:t>
            </w:r>
          </w:p>
        </w:tc>
        <w:tc>
          <w:tcPr>
            <w:cnfStyle w:val="000010000000" w:firstRow="0" w:lastRow="0" w:firstColumn="0" w:lastColumn="0" w:oddVBand="1" w:evenVBand="0" w:oddHBand="0" w:evenHBand="0" w:firstRowFirstColumn="0" w:firstRowLastColumn="0" w:lastRowFirstColumn="0" w:lastRowLastColumn="0"/>
            <w:tcW w:w="2693" w:type="dxa"/>
          </w:tcPr>
          <w:p w:rsidR="00BC127B" w:rsidRPr="003D7F5E" w:rsidRDefault="00BC127B" w:rsidP="001617F2">
            <w:pPr>
              <w:pStyle w:val="Tabletextcentred"/>
            </w:pPr>
            <w:r w:rsidRPr="003D7F5E">
              <w:t>995 – 980</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rsidR="00BC127B" w:rsidRPr="003D7F5E" w:rsidRDefault="00BC127B" w:rsidP="001617F2">
            <w:pPr>
              <w:pStyle w:val="Tabletextcentred"/>
            </w:pPr>
            <w:r w:rsidRPr="003D7F5E">
              <w:t>Category 2</w:t>
            </w:r>
            <w:r>
              <w:t xml:space="preserve"> (TC2)</w:t>
            </w:r>
          </w:p>
        </w:tc>
        <w:tc>
          <w:tcPr>
            <w:tcW w:w="2693" w:type="dxa"/>
          </w:tcPr>
          <w:p w:rsidR="00BC127B" w:rsidRPr="003D7F5E"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3D7F5E">
              <w:t>42 – 49 m/s</w:t>
            </w:r>
          </w:p>
        </w:tc>
        <w:tc>
          <w:tcPr>
            <w:cnfStyle w:val="000010000000" w:firstRow="0" w:lastRow="0" w:firstColumn="0" w:lastColumn="0" w:oddVBand="1" w:evenVBand="0" w:oddHBand="0" w:evenHBand="0" w:firstRowFirstColumn="0" w:firstRowLastColumn="0" w:lastRowFirstColumn="0" w:lastRowLastColumn="0"/>
            <w:tcW w:w="2693" w:type="dxa"/>
          </w:tcPr>
          <w:p w:rsidR="00BC127B" w:rsidRPr="003D7F5E" w:rsidRDefault="00BC127B" w:rsidP="001617F2">
            <w:pPr>
              <w:pStyle w:val="Tabletextcentred"/>
            </w:pPr>
            <w:r w:rsidRPr="003D7F5E">
              <w:t>980 – 965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rsidR="00BC127B" w:rsidRPr="003D7F5E" w:rsidRDefault="00BC127B" w:rsidP="001617F2">
            <w:pPr>
              <w:pStyle w:val="Tabletextcentred"/>
            </w:pPr>
            <w:r w:rsidRPr="003D7F5E">
              <w:t>Category 3</w:t>
            </w:r>
            <w:r>
              <w:t xml:space="preserve"> (TC3)</w:t>
            </w:r>
          </w:p>
        </w:tc>
        <w:tc>
          <w:tcPr>
            <w:tcW w:w="2693" w:type="dxa"/>
          </w:tcPr>
          <w:p w:rsidR="00BC127B" w:rsidRPr="003D7F5E"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3D7F5E">
              <w:t>50 – 58 m/s</w:t>
            </w:r>
          </w:p>
        </w:tc>
        <w:tc>
          <w:tcPr>
            <w:cnfStyle w:val="000010000000" w:firstRow="0" w:lastRow="0" w:firstColumn="0" w:lastColumn="0" w:oddVBand="1" w:evenVBand="0" w:oddHBand="0" w:evenHBand="0" w:firstRowFirstColumn="0" w:firstRowLastColumn="0" w:lastRowFirstColumn="0" w:lastRowLastColumn="0"/>
            <w:tcW w:w="2693" w:type="dxa"/>
          </w:tcPr>
          <w:p w:rsidR="00BC127B" w:rsidRPr="003D7F5E" w:rsidRDefault="00BC127B" w:rsidP="001617F2">
            <w:pPr>
              <w:pStyle w:val="Tabletextcentred"/>
            </w:pPr>
            <w:r w:rsidRPr="003D7F5E">
              <w:t>965 – 945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rsidR="00BC127B" w:rsidRPr="003D7F5E" w:rsidRDefault="00BC127B" w:rsidP="001617F2">
            <w:pPr>
              <w:pStyle w:val="Tabletextcentred"/>
            </w:pPr>
            <w:r w:rsidRPr="003D7F5E">
              <w:t>Category 4</w:t>
            </w:r>
            <w:r>
              <w:t xml:space="preserve"> (TC4)</w:t>
            </w:r>
          </w:p>
        </w:tc>
        <w:tc>
          <w:tcPr>
            <w:tcW w:w="2693" w:type="dxa"/>
          </w:tcPr>
          <w:p w:rsidR="00BC127B" w:rsidRPr="003D7F5E"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3D7F5E">
              <w:t>58 – 70 m/s</w:t>
            </w:r>
          </w:p>
        </w:tc>
        <w:tc>
          <w:tcPr>
            <w:cnfStyle w:val="000010000000" w:firstRow="0" w:lastRow="0" w:firstColumn="0" w:lastColumn="0" w:oddVBand="1" w:evenVBand="0" w:oddHBand="0" w:evenHBand="0" w:firstRowFirstColumn="0" w:firstRowLastColumn="0" w:lastRowFirstColumn="0" w:lastRowLastColumn="0"/>
            <w:tcW w:w="2693" w:type="dxa"/>
          </w:tcPr>
          <w:p w:rsidR="00BC127B" w:rsidRPr="003D7F5E" w:rsidRDefault="00BC127B" w:rsidP="001617F2">
            <w:pPr>
              <w:pStyle w:val="Tabletextcentred"/>
            </w:pPr>
            <w:r w:rsidRPr="003D7F5E">
              <w:t>945 – 920</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tcPr>
          <w:p w:rsidR="00BC127B" w:rsidRPr="003D7F5E" w:rsidRDefault="00BC127B" w:rsidP="001617F2">
            <w:pPr>
              <w:pStyle w:val="Tabletextcentred"/>
            </w:pPr>
            <w:r w:rsidRPr="003D7F5E">
              <w:t>Category 5</w:t>
            </w:r>
            <w:r>
              <w:t xml:space="preserve"> (TC5)</w:t>
            </w:r>
          </w:p>
        </w:tc>
        <w:tc>
          <w:tcPr>
            <w:tcW w:w="2693" w:type="dxa"/>
          </w:tcPr>
          <w:p w:rsidR="00BC127B" w:rsidRPr="003D7F5E"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3D7F5E">
              <w:t>&gt; 70 m/s</w:t>
            </w:r>
          </w:p>
        </w:tc>
        <w:tc>
          <w:tcPr>
            <w:cnfStyle w:val="000010000000" w:firstRow="0" w:lastRow="0" w:firstColumn="0" w:lastColumn="0" w:oddVBand="1" w:evenVBand="0" w:oddHBand="0" w:evenHBand="0" w:firstRowFirstColumn="0" w:firstRowLastColumn="0" w:lastRowFirstColumn="0" w:lastRowLastColumn="0"/>
            <w:tcW w:w="2693" w:type="dxa"/>
          </w:tcPr>
          <w:p w:rsidR="00BC127B" w:rsidRPr="003D7F5E" w:rsidRDefault="00BC127B" w:rsidP="001617F2">
            <w:pPr>
              <w:pStyle w:val="Tabletextcentred"/>
            </w:pPr>
            <w:r w:rsidRPr="003D7F5E">
              <w:t>&lt; 920</w:t>
            </w:r>
          </w:p>
        </w:tc>
      </w:tr>
    </w:tbl>
    <w:p w:rsidR="00BC127B" w:rsidRDefault="00BC127B" w:rsidP="00BC127B">
      <w:pPr>
        <w:pStyle w:val="Heading2"/>
      </w:pPr>
      <w:bookmarkStart w:id="47" w:name="_Toc356827199"/>
      <w:bookmarkStart w:id="48" w:name="_Toc357065177"/>
      <w:bookmarkStart w:id="49" w:name="_Toc361914689"/>
      <w:r>
        <w:t>Annual frequency calibration</w:t>
      </w:r>
      <w:bookmarkEnd w:id="47"/>
      <w:bookmarkEnd w:id="48"/>
      <w:bookmarkEnd w:id="49"/>
    </w:p>
    <w:p w:rsidR="00BC127B" w:rsidRDefault="00BC127B" w:rsidP="00BC127B">
      <w:pPr>
        <w:pStyle w:val="BodyText"/>
      </w:pPr>
      <w:r>
        <w:t xml:space="preserve">Because of the different parameterisations, resolutions and forcing data used in the GCMs, each realisation produces a different number of events. In addition, the 20-year period of simulations used in this study may not be truly representative of the model ‘climatology’ of TC activity. This is due to </w:t>
      </w:r>
      <w:proofErr w:type="spellStart"/>
      <w:r>
        <w:t>interannual</w:t>
      </w:r>
      <w:proofErr w:type="spellEnd"/>
      <w:r>
        <w:t xml:space="preserve"> to </w:t>
      </w:r>
      <w:proofErr w:type="spellStart"/>
      <w:r>
        <w:t>interdecadal</w:t>
      </w:r>
      <w:proofErr w:type="spellEnd"/>
      <w:r>
        <w:t xml:space="preserve"> variability implicit in the GCMs, of which a 20-year period may provide only one snapshot.</w:t>
      </w:r>
    </w:p>
    <w:p w:rsidR="00BC127B" w:rsidRPr="00F82AE9" w:rsidRDefault="00BC127B" w:rsidP="00F82AE9">
      <w:pPr>
        <w:pStyle w:val="BodyText"/>
      </w:pPr>
      <w:r>
        <w:t xml:space="preserve">The historical baseline is calculated from the </w:t>
      </w:r>
      <w:proofErr w:type="spellStart"/>
      <w:r>
        <w:t>IBTrACS</w:t>
      </w:r>
      <w:proofErr w:type="spellEnd"/>
      <w:r>
        <w:t xml:space="preserve"> (version 3, revision 4) WMO dataset for 1981 to 2011 inclusive. </w:t>
      </w:r>
      <w:r w:rsidRPr="00F82AE9">
        <w:t xml:space="preserve">In some parts of the Pacific, TC activity is modulated by </w:t>
      </w:r>
      <w:proofErr w:type="spellStart"/>
      <w:r w:rsidRPr="00F82AE9">
        <w:t>interannual</w:t>
      </w:r>
      <w:proofErr w:type="spellEnd"/>
      <w:r w:rsidRPr="00F82AE9">
        <w:t xml:space="preserve"> and </w:t>
      </w:r>
      <w:proofErr w:type="spellStart"/>
      <w:r w:rsidRPr="00F82AE9">
        <w:t>interdecadal</w:t>
      </w:r>
      <w:proofErr w:type="spellEnd"/>
      <w:r w:rsidRPr="00F82AE9">
        <w:t xml:space="preserve"> oscillations (e.g. ENSO, PDO). This can mean the 31-year record used for the historical baseline may not be truly representative of long-term mean TC activity in the Pacific. </w:t>
      </w:r>
      <w:proofErr w:type="gramStart"/>
      <w:r w:rsidRPr="00F82AE9">
        <w:t>For example, varying the baseline between 20 and 60 years results in the mean annual frequency varying by over 1 TC/year in both the northern and southern hemispheres (</w:t>
      </w:r>
      <w:r>
        <w:rPr>
          <w:u w:color="000000"/>
          <w:lang w:val="en-US"/>
        </w:rPr>
        <w:fldChar w:fldCharType="begin"/>
      </w:r>
      <w:r>
        <w:rPr>
          <w:u w:color="000000"/>
          <w:lang w:val="en-US"/>
        </w:rPr>
        <w:instrText xml:space="preserve"> REF _Ref351035426 \h </w:instrText>
      </w:r>
      <w:r>
        <w:rPr>
          <w:u w:color="000000"/>
          <w:lang w:val="en-US"/>
        </w:rPr>
      </w:r>
      <w:r>
        <w:rPr>
          <w:u w:color="000000"/>
          <w:lang w:val="en-US"/>
        </w:rPr>
        <w:fldChar w:fldCharType="separate"/>
      </w:r>
      <w:r w:rsidR="00E57C2A" w:rsidRPr="00491481">
        <w:t xml:space="preserve">Table </w:t>
      </w:r>
      <w:r w:rsidR="00E57C2A">
        <w:rPr>
          <w:noProof/>
        </w:rPr>
        <w:t>4</w:t>
      </w:r>
      <w:r w:rsidR="00E57C2A">
        <w:t>.</w:t>
      </w:r>
      <w:r w:rsidR="00E57C2A">
        <w:rPr>
          <w:noProof/>
        </w:rPr>
        <w:t>2</w:t>
      </w:r>
      <w:r>
        <w:rPr>
          <w:u w:color="000000"/>
          <w:lang w:val="en-US"/>
        </w:rPr>
        <w:fldChar w:fldCharType="end"/>
      </w:r>
      <w:r w:rsidRPr="00F82AE9">
        <w:t>).</w:t>
      </w:r>
      <w:proofErr w:type="gramEnd"/>
      <w:r w:rsidRPr="00F82AE9">
        <w:t xml:space="preserve"> </w:t>
      </w:r>
    </w:p>
    <w:p w:rsidR="001C6ED5" w:rsidRPr="00F82AE9" w:rsidRDefault="00BC127B" w:rsidP="00F82AE9">
      <w:pPr>
        <w:pStyle w:val="BodyText"/>
      </w:pPr>
      <w:r w:rsidRPr="00F82AE9">
        <w:t xml:space="preserve">Note that the AIR Worldwide </w:t>
      </w:r>
      <w:r w:rsidR="00EE3F02" w:rsidRPr="00F82AE9">
        <w:t>Catalogue</w:t>
      </w:r>
      <w:r w:rsidRPr="00F82AE9">
        <w:t xml:space="preserve"> derives its statistics from the Japanese Meteorological Agency TC Best Track dataset in the Northern Hemisphere, which only covers TCs that form west of 180°E. This results in significant differences in mean annual frequency from those presented here.</w:t>
      </w:r>
    </w:p>
    <w:p w:rsidR="00BC127B" w:rsidRPr="00491481" w:rsidRDefault="00BC127B" w:rsidP="00DE0A84">
      <w:pPr>
        <w:pStyle w:val="Tabletitle"/>
      </w:pPr>
      <w:bookmarkStart w:id="50" w:name="_Ref351035426"/>
      <w:r w:rsidRPr="00491481">
        <w:lastRenderedPageBreak/>
        <w:t xml:space="preserve">Table </w:t>
      </w:r>
      <w:r w:rsidR="006A5281">
        <w:fldChar w:fldCharType="begin"/>
      </w:r>
      <w:r w:rsidR="006A5281">
        <w:instrText xml:space="preserve"> STYLEREF 1 \s </w:instrText>
      </w:r>
      <w:r w:rsidR="006A5281">
        <w:fldChar w:fldCharType="separate"/>
      </w:r>
      <w:r w:rsidR="00E57C2A">
        <w:rPr>
          <w:noProof/>
        </w:rPr>
        <w:t>4</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2</w:t>
      </w:r>
      <w:r w:rsidR="006A5281">
        <w:rPr>
          <w:noProof/>
        </w:rPr>
        <w:fldChar w:fldCharType="end"/>
      </w:r>
      <w:bookmarkEnd w:id="50"/>
      <w:r w:rsidRPr="00491481">
        <w:t xml:space="preserve"> Annual mean frequency of TCs passing through each domain for different time spans. For all values, the end year is 2011. Based on </w:t>
      </w:r>
      <w:proofErr w:type="spellStart"/>
      <w:r w:rsidRPr="00491481">
        <w:t>IBTrACS</w:t>
      </w:r>
      <w:proofErr w:type="spellEnd"/>
      <w:r w:rsidRPr="00491481">
        <w:t xml:space="preserve"> v03r04 WMO dataset.</w:t>
      </w:r>
    </w:p>
    <w:tbl>
      <w:tblPr>
        <w:tblStyle w:val="TableStyleGAHeaderRow"/>
        <w:tblW w:w="0" w:type="auto"/>
        <w:tblLook w:val="01E0" w:firstRow="1" w:lastRow="1" w:firstColumn="1" w:lastColumn="1" w:noHBand="0" w:noVBand="0"/>
        <w:tblDescription w:val="1951: Northern hemisphere TC frequency 32.6, Southern hemisphere TC frequency 12.8&#10;1961: Northern hemisphere TC frequency 34.0, Southern hemisphere TC frequency 13.6&#10;1971: Northern hemisphere TC frequency 34.4, Southern hemisphere TC frequency 14.4&#10;1981: Northern hemisphere TC frequency 34.9, Southern hemisphere TC frequency 14.1&#10;1991: Northern hemisphere TC frequency 34.0, Southern hemisphere TC frequency 13.2&#10;"/>
      </w:tblPr>
      <w:tblGrid>
        <w:gridCol w:w="1560"/>
        <w:gridCol w:w="1842"/>
        <w:gridCol w:w="1843"/>
      </w:tblGrid>
      <w:tr w:rsidR="00BC127B" w:rsidRPr="00A01A35" w:rsidTr="003954B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60" w:type="dxa"/>
          </w:tcPr>
          <w:p w:rsidR="00BC127B" w:rsidRPr="006F3804" w:rsidRDefault="00BC127B" w:rsidP="001F5A54">
            <w:pPr>
              <w:pStyle w:val="Tableheadingcentred"/>
              <w:keepNext/>
              <w:keepLines/>
            </w:pPr>
            <w:r w:rsidRPr="006F3804">
              <w:t>Start year</w:t>
            </w:r>
          </w:p>
        </w:tc>
        <w:tc>
          <w:tcPr>
            <w:tcW w:w="1842" w:type="dxa"/>
          </w:tcPr>
          <w:p w:rsidR="00BC127B" w:rsidRPr="006F3804" w:rsidRDefault="00BC127B" w:rsidP="001F5A54">
            <w:pPr>
              <w:pStyle w:val="Tableheadingcentred"/>
              <w:keepNext/>
              <w:keepLines/>
              <w:cnfStyle w:val="100000000000" w:firstRow="1" w:lastRow="0" w:firstColumn="0" w:lastColumn="0" w:oddVBand="0" w:evenVBand="0" w:oddHBand="0" w:evenHBand="0" w:firstRowFirstColumn="0" w:firstRowLastColumn="0" w:lastRowFirstColumn="0" w:lastRowLastColumn="0"/>
            </w:pPr>
            <w:r w:rsidRPr="006F3804">
              <w:t>Northern hemisphere TC frequency</w:t>
            </w:r>
          </w:p>
        </w:tc>
        <w:tc>
          <w:tcPr>
            <w:cnfStyle w:val="000010000000" w:firstRow="0" w:lastRow="0" w:firstColumn="0" w:lastColumn="0" w:oddVBand="1" w:evenVBand="0" w:oddHBand="0" w:evenHBand="0" w:firstRowFirstColumn="0" w:firstRowLastColumn="0" w:lastRowFirstColumn="0" w:lastRowLastColumn="0"/>
            <w:tcW w:w="1843" w:type="dxa"/>
          </w:tcPr>
          <w:p w:rsidR="00BC127B" w:rsidRPr="006F3804" w:rsidRDefault="00BC127B" w:rsidP="001F5A54">
            <w:pPr>
              <w:pStyle w:val="Tableheadingcentred"/>
              <w:keepNext/>
              <w:keepLines/>
            </w:pPr>
            <w:r w:rsidRPr="006F3804">
              <w:t>Southern hemisphere TC frequency</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tcPr>
          <w:p w:rsidR="00BC127B" w:rsidRPr="003D7F5E" w:rsidRDefault="00BC127B" w:rsidP="001F5A54">
            <w:pPr>
              <w:pStyle w:val="Tabletextcentred"/>
              <w:keepNext/>
              <w:keepLines/>
            </w:pPr>
            <w:r w:rsidRPr="003D7F5E">
              <w:t>1951</w:t>
            </w:r>
          </w:p>
        </w:tc>
        <w:tc>
          <w:tcPr>
            <w:tcW w:w="1842" w:type="dxa"/>
          </w:tcPr>
          <w:p w:rsidR="00BC127B" w:rsidRPr="003D7F5E" w:rsidRDefault="00BC127B" w:rsidP="001F5A54">
            <w:pPr>
              <w:pStyle w:val="Tabletextcentred"/>
              <w:keepNext/>
              <w:keepLines/>
              <w:cnfStyle w:val="000000100000" w:firstRow="0" w:lastRow="0" w:firstColumn="0" w:lastColumn="0" w:oddVBand="0" w:evenVBand="0" w:oddHBand="1" w:evenHBand="0" w:firstRowFirstColumn="0" w:firstRowLastColumn="0" w:lastRowFirstColumn="0" w:lastRowLastColumn="0"/>
            </w:pPr>
            <w:r w:rsidRPr="003D7F5E">
              <w:t>32.6</w:t>
            </w:r>
          </w:p>
        </w:tc>
        <w:tc>
          <w:tcPr>
            <w:cnfStyle w:val="000010000000" w:firstRow="0" w:lastRow="0" w:firstColumn="0" w:lastColumn="0" w:oddVBand="1" w:evenVBand="0" w:oddHBand="0" w:evenHBand="0" w:firstRowFirstColumn="0" w:firstRowLastColumn="0" w:lastRowFirstColumn="0" w:lastRowLastColumn="0"/>
            <w:tcW w:w="1843" w:type="dxa"/>
          </w:tcPr>
          <w:p w:rsidR="00BC127B" w:rsidRPr="003D7F5E" w:rsidRDefault="00BC127B" w:rsidP="001F5A54">
            <w:pPr>
              <w:pStyle w:val="Tabletextcentred"/>
              <w:keepNext/>
              <w:keepLines/>
            </w:pPr>
            <w:r w:rsidRPr="003D7F5E">
              <w:t>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tcPr>
          <w:p w:rsidR="00BC127B" w:rsidRPr="003D7F5E" w:rsidRDefault="00BC127B" w:rsidP="001F5A54">
            <w:pPr>
              <w:pStyle w:val="Tabletextcentred"/>
              <w:keepNext/>
              <w:keepLines/>
            </w:pPr>
            <w:r w:rsidRPr="003D7F5E">
              <w:t>1961</w:t>
            </w:r>
          </w:p>
        </w:tc>
        <w:tc>
          <w:tcPr>
            <w:tcW w:w="1842" w:type="dxa"/>
          </w:tcPr>
          <w:p w:rsidR="00BC127B" w:rsidRPr="003D7F5E" w:rsidRDefault="00BC127B" w:rsidP="001F5A54">
            <w:pPr>
              <w:pStyle w:val="Tabletextcentred"/>
              <w:keepNext/>
              <w:keepLines/>
              <w:cnfStyle w:val="000000010000" w:firstRow="0" w:lastRow="0" w:firstColumn="0" w:lastColumn="0" w:oddVBand="0" w:evenVBand="0" w:oddHBand="0" w:evenHBand="1" w:firstRowFirstColumn="0" w:firstRowLastColumn="0" w:lastRowFirstColumn="0" w:lastRowLastColumn="0"/>
            </w:pPr>
            <w:r w:rsidRPr="003D7F5E">
              <w:t>34.0</w:t>
            </w:r>
          </w:p>
        </w:tc>
        <w:tc>
          <w:tcPr>
            <w:cnfStyle w:val="000010000000" w:firstRow="0" w:lastRow="0" w:firstColumn="0" w:lastColumn="0" w:oddVBand="1" w:evenVBand="0" w:oddHBand="0" w:evenHBand="0" w:firstRowFirstColumn="0" w:firstRowLastColumn="0" w:lastRowFirstColumn="0" w:lastRowLastColumn="0"/>
            <w:tcW w:w="1843" w:type="dxa"/>
          </w:tcPr>
          <w:p w:rsidR="00BC127B" w:rsidRPr="003D7F5E" w:rsidRDefault="00BC127B" w:rsidP="001F5A54">
            <w:pPr>
              <w:pStyle w:val="Tabletextcentred"/>
              <w:keepNext/>
              <w:keepLines/>
            </w:pPr>
            <w:r w:rsidRPr="003D7F5E">
              <w:t>13.6</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tcPr>
          <w:p w:rsidR="00BC127B" w:rsidRPr="003D7F5E" w:rsidRDefault="00BC127B" w:rsidP="001F5A54">
            <w:pPr>
              <w:pStyle w:val="Tabletextcentred"/>
              <w:keepNext/>
              <w:keepLines/>
            </w:pPr>
            <w:r w:rsidRPr="003D7F5E">
              <w:t>1971</w:t>
            </w:r>
          </w:p>
        </w:tc>
        <w:tc>
          <w:tcPr>
            <w:tcW w:w="1842" w:type="dxa"/>
          </w:tcPr>
          <w:p w:rsidR="00BC127B" w:rsidRPr="003D7F5E" w:rsidRDefault="00BC127B" w:rsidP="001F5A54">
            <w:pPr>
              <w:pStyle w:val="Tabletextcentred"/>
              <w:keepNext/>
              <w:keepLines/>
              <w:cnfStyle w:val="000000100000" w:firstRow="0" w:lastRow="0" w:firstColumn="0" w:lastColumn="0" w:oddVBand="0" w:evenVBand="0" w:oddHBand="1" w:evenHBand="0" w:firstRowFirstColumn="0" w:firstRowLastColumn="0" w:lastRowFirstColumn="0" w:lastRowLastColumn="0"/>
            </w:pPr>
            <w:r w:rsidRPr="003D7F5E">
              <w:t>34.4</w:t>
            </w:r>
          </w:p>
        </w:tc>
        <w:tc>
          <w:tcPr>
            <w:cnfStyle w:val="000010000000" w:firstRow="0" w:lastRow="0" w:firstColumn="0" w:lastColumn="0" w:oddVBand="1" w:evenVBand="0" w:oddHBand="0" w:evenHBand="0" w:firstRowFirstColumn="0" w:firstRowLastColumn="0" w:lastRowFirstColumn="0" w:lastRowLastColumn="0"/>
            <w:tcW w:w="1843" w:type="dxa"/>
          </w:tcPr>
          <w:p w:rsidR="00BC127B" w:rsidRPr="003D7F5E" w:rsidRDefault="00BC127B" w:rsidP="001F5A54">
            <w:pPr>
              <w:pStyle w:val="Tabletextcentred"/>
              <w:keepNext/>
              <w:keepLines/>
            </w:pPr>
            <w:r w:rsidRPr="003D7F5E">
              <w:t>14.4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tcPr>
          <w:p w:rsidR="00BC127B" w:rsidRPr="003D7F5E" w:rsidRDefault="00BC127B" w:rsidP="001F5A54">
            <w:pPr>
              <w:pStyle w:val="Tabletextcentred"/>
              <w:keepNext/>
              <w:keepLines/>
            </w:pPr>
            <w:r w:rsidRPr="003D7F5E">
              <w:t>1981</w:t>
            </w:r>
          </w:p>
        </w:tc>
        <w:tc>
          <w:tcPr>
            <w:tcW w:w="1842" w:type="dxa"/>
          </w:tcPr>
          <w:p w:rsidR="00BC127B" w:rsidRPr="003D7F5E" w:rsidRDefault="00BC127B" w:rsidP="001F5A54">
            <w:pPr>
              <w:pStyle w:val="Tabletextcentred"/>
              <w:keepNext/>
              <w:keepLines/>
              <w:cnfStyle w:val="000000010000" w:firstRow="0" w:lastRow="0" w:firstColumn="0" w:lastColumn="0" w:oddVBand="0" w:evenVBand="0" w:oddHBand="0" w:evenHBand="1" w:firstRowFirstColumn="0" w:firstRowLastColumn="0" w:lastRowFirstColumn="0" w:lastRowLastColumn="0"/>
            </w:pPr>
            <w:r w:rsidRPr="003D7F5E">
              <w:t>34.9</w:t>
            </w:r>
          </w:p>
        </w:tc>
        <w:tc>
          <w:tcPr>
            <w:cnfStyle w:val="000010000000" w:firstRow="0" w:lastRow="0" w:firstColumn="0" w:lastColumn="0" w:oddVBand="1" w:evenVBand="0" w:oddHBand="0" w:evenHBand="0" w:firstRowFirstColumn="0" w:firstRowLastColumn="0" w:lastRowFirstColumn="0" w:lastRowLastColumn="0"/>
            <w:tcW w:w="1843" w:type="dxa"/>
          </w:tcPr>
          <w:p w:rsidR="00BC127B" w:rsidRPr="003D7F5E" w:rsidRDefault="00BC127B" w:rsidP="001F5A54">
            <w:pPr>
              <w:pStyle w:val="Tabletextcentred"/>
              <w:keepNext/>
              <w:keepLines/>
            </w:pPr>
            <w:r w:rsidRPr="003D7F5E">
              <w:t>14.1</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tcPr>
          <w:p w:rsidR="00BC127B" w:rsidRPr="003D7F5E" w:rsidRDefault="00BC127B" w:rsidP="001F5A54">
            <w:pPr>
              <w:pStyle w:val="Tabletextcentred"/>
              <w:keepNext/>
              <w:keepLines/>
            </w:pPr>
            <w:r w:rsidRPr="003D7F5E">
              <w:t>1991</w:t>
            </w:r>
          </w:p>
        </w:tc>
        <w:tc>
          <w:tcPr>
            <w:tcW w:w="1842" w:type="dxa"/>
          </w:tcPr>
          <w:p w:rsidR="00BC127B" w:rsidRPr="003D7F5E" w:rsidRDefault="00BC127B" w:rsidP="001F5A54">
            <w:pPr>
              <w:pStyle w:val="Tabletextcentred"/>
              <w:keepNext/>
              <w:keepLines/>
              <w:cnfStyle w:val="000000100000" w:firstRow="0" w:lastRow="0" w:firstColumn="0" w:lastColumn="0" w:oddVBand="0" w:evenVBand="0" w:oddHBand="1" w:evenHBand="0" w:firstRowFirstColumn="0" w:firstRowLastColumn="0" w:lastRowFirstColumn="0" w:lastRowLastColumn="0"/>
            </w:pPr>
            <w:r w:rsidRPr="003D7F5E">
              <w:t>34.0</w:t>
            </w:r>
          </w:p>
        </w:tc>
        <w:tc>
          <w:tcPr>
            <w:cnfStyle w:val="000010000000" w:firstRow="0" w:lastRow="0" w:firstColumn="0" w:lastColumn="0" w:oddVBand="1" w:evenVBand="0" w:oddHBand="0" w:evenHBand="0" w:firstRowFirstColumn="0" w:firstRowLastColumn="0" w:lastRowFirstColumn="0" w:lastRowLastColumn="0"/>
            <w:tcW w:w="1843" w:type="dxa"/>
          </w:tcPr>
          <w:p w:rsidR="00BC127B" w:rsidRPr="003D7F5E" w:rsidRDefault="00BC127B" w:rsidP="001F5A54">
            <w:pPr>
              <w:pStyle w:val="Tabletextcentred"/>
              <w:keepNext/>
              <w:keepLines/>
            </w:pPr>
            <w:r w:rsidRPr="003D7F5E">
              <w:t>13.2</w:t>
            </w:r>
          </w:p>
        </w:tc>
      </w:tr>
    </w:tbl>
    <w:p w:rsidR="00BC127B" w:rsidRDefault="00BC127B" w:rsidP="00BC127B">
      <w:pPr>
        <w:pStyle w:val="BodyText"/>
      </w:pPr>
      <w:r>
        <w:t xml:space="preserve">For the peril matrices, the mean annual frequency of the current climate simulation is fixed for each GCM to match the historical baseline frequency for that domain. The relative </w:t>
      </w:r>
      <w:r w:rsidRPr="00F82AE9">
        <w:t>change in mean annual frequency is calculated (fractional change between current and future climate simulations) and applied to the baseline to provide a projection of mean annual frequency at the future time period.</w:t>
      </w:r>
    </w:p>
    <w:p w:rsidR="00BC127B" w:rsidRDefault="00BC127B" w:rsidP="00491481">
      <w:pPr>
        <w:pStyle w:val="Heading2"/>
      </w:pPr>
      <w:bookmarkStart w:id="51" w:name="_Toc356827200"/>
      <w:bookmarkStart w:id="52" w:name="_Toc357065178"/>
      <w:bookmarkStart w:id="53" w:name="_Toc361914690"/>
      <w:r>
        <w:t>Significance testing</w:t>
      </w:r>
      <w:bookmarkEnd w:id="51"/>
      <w:bookmarkEnd w:id="52"/>
      <w:bookmarkEnd w:id="53"/>
    </w:p>
    <w:p w:rsidR="00BC127B" w:rsidRDefault="00BC127B" w:rsidP="00BC127B">
      <w:pPr>
        <w:pStyle w:val="BodyText"/>
      </w:pPr>
      <w:r>
        <w:t xml:space="preserve">Changes in the mean value of a parameter were tested for significance using a Student’s T-test for independent samples assuming unequal variances. Changes are considered significant when the </w:t>
      </w:r>
      <w:r w:rsidRPr="00F82AE9">
        <w:rPr>
          <w:rStyle w:val="Italic"/>
        </w:rPr>
        <w:t>p</w:t>
      </w:r>
      <w:r w:rsidR="00491481">
        <w:t>-value is less than 0.05.</w:t>
      </w:r>
    </w:p>
    <w:p w:rsidR="00BC127B" w:rsidRDefault="00BC127B" w:rsidP="00BC127B">
      <w:pPr>
        <w:pStyle w:val="BodyText"/>
      </w:pPr>
      <w:r>
        <w:t xml:space="preserve">Changes in distributions of a parameter were tested for significance using a Kolmogorov-Smirnov two-sample test. Again, changes are considered significant when the </w:t>
      </w:r>
      <w:r w:rsidRPr="00F82AE9">
        <w:rPr>
          <w:rStyle w:val="Italic"/>
        </w:rPr>
        <w:t>p</w:t>
      </w:r>
      <w:r w:rsidR="00491481">
        <w:t>-value is less than 0.05.</w:t>
      </w:r>
    </w:p>
    <w:p w:rsidR="00BC127B" w:rsidRPr="003C38F1" w:rsidRDefault="00BC127B" w:rsidP="00BC127B">
      <w:pPr>
        <w:pStyle w:val="BodyText"/>
      </w:pPr>
      <w:r>
        <w:t>For ensemble change values, those values where the majority of members have the same sign, and are in the same direction as the mean, are considered to represent robust changes. This is not a statistical measure of significant change, but as a minimum provides guidance on whether a given outcome is more likely than not. As an indicator, for a 6 member ensemble, there is only a 10% chance of meeting this criterion through a random process, assuming the outcomes of that process are normally distributed.</w:t>
      </w:r>
    </w:p>
    <w:p w:rsidR="00BC127B" w:rsidRDefault="00BC127B" w:rsidP="00BC127B">
      <w:pPr>
        <w:pStyle w:val="Heading2"/>
      </w:pPr>
      <w:bookmarkStart w:id="54" w:name="_Toc356827201"/>
      <w:bookmarkStart w:id="55" w:name="_Toc357065179"/>
      <w:bookmarkStart w:id="56" w:name="_Toc361914691"/>
      <w:r>
        <w:t>Evaluating mid-century changes</w:t>
      </w:r>
      <w:bookmarkEnd w:id="54"/>
      <w:bookmarkEnd w:id="55"/>
      <w:bookmarkEnd w:id="56"/>
    </w:p>
    <w:p w:rsidR="00BC127B" w:rsidRDefault="00BC127B" w:rsidP="00BC127B">
      <w:pPr>
        <w:pStyle w:val="BodyText"/>
      </w:pPr>
      <w:r>
        <w:t>To evaluate the changes in parameters at a mid-century timeframe, we linearly interpolate between the current climate and end-century values for each parameter. Researchers regularly estimate changes in climate-related parameters on the basis of a change proportional to the change in global mean temperature. For the CMIP5 models, RCP 8.5 shows an approximately linear increase in global mean temperature over the 21</w:t>
      </w:r>
      <w:r w:rsidRPr="0004154D">
        <w:t>st</w:t>
      </w:r>
      <w:r>
        <w:t xml:space="preserve"> century (</w:t>
      </w:r>
      <w:r>
        <w:fldChar w:fldCharType="begin"/>
      </w:r>
      <w:r>
        <w:instrText xml:space="preserve"> REF _Ref351281385 \h </w:instrText>
      </w:r>
      <w:r>
        <w:fldChar w:fldCharType="separate"/>
      </w:r>
      <w:r w:rsidR="00E57C2A">
        <w:t xml:space="preserve">Figure </w:t>
      </w:r>
      <w:r w:rsidR="00E57C2A">
        <w:rPr>
          <w:noProof/>
        </w:rPr>
        <w:t>4</w:t>
      </w:r>
      <w:r w:rsidR="00E57C2A">
        <w:t>.</w:t>
      </w:r>
      <w:r w:rsidR="00E57C2A">
        <w:rPr>
          <w:noProof/>
        </w:rPr>
        <w:t>5</w:t>
      </w:r>
      <w:r>
        <w:fldChar w:fldCharType="end"/>
      </w:r>
      <w:r>
        <w:t>). For the CMIP3 models, the SRES A2 emission scenario displays a slightly exponential increase in global mean temperature through the 21</w:t>
      </w:r>
      <w:r w:rsidRPr="0004154D">
        <w:t>st</w:t>
      </w:r>
      <w:r>
        <w:t xml:space="preserve"> century (</w:t>
      </w:r>
      <w:r>
        <w:fldChar w:fldCharType="begin"/>
      </w:r>
      <w:r>
        <w:instrText xml:space="preserve"> REF _Ref351282120 \h </w:instrText>
      </w:r>
      <w:r>
        <w:fldChar w:fldCharType="separate"/>
      </w:r>
      <w:r w:rsidR="00E57C2A">
        <w:t xml:space="preserve">Figure </w:t>
      </w:r>
      <w:r w:rsidR="00E57C2A">
        <w:rPr>
          <w:noProof/>
        </w:rPr>
        <w:t>4</w:t>
      </w:r>
      <w:r w:rsidR="00E57C2A">
        <w:t>.</w:t>
      </w:r>
      <w:r w:rsidR="00E57C2A">
        <w:rPr>
          <w:noProof/>
        </w:rPr>
        <w:t>6</w:t>
      </w:r>
      <w:r>
        <w:fldChar w:fldCharType="end"/>
      </w:r>
      <w:r>
        <w:t>). This may result in a slight over-estimation of the changes at the mid-century timeframe; however this difference is assumed to be statistically insignificant for the parameters being examined.</w:t>
      </w:r>
    </w:p>
    <w:p w:rsidR="00BC127B" w:rsidRDefault="00BC127B" w:rsidP="006F3804">
      <w:pPr>
        <w:pStyle w:val="Figuresandimagescentred"/>
      </w:pPr>
      <w:r>
        <w:rPr>
          <w:noProof/>
        </w:rPr>
        <w:lastRenderedPageBreak/>
        <w:drawing>
          <wp:inline distT="0" distB="0" distL="0" distR="0" wp14:anchorId="4078EAB6" wp14:editId="79D10EB2">
            <wp:extent cx="5760000" cy="4222800"/>
            <wp:effectExtent l="0" t="0" r="0" b="6350"/>
            <wp:docPr id="7" name="Picture 7" descr="Time series of globally averaged surface air temperature anomalies for a representative CMIP5 models. Four lines are presented. The first is a representation of the historical temperature anomalies, spanning 1850 to 2005, with an increase of around 2 degrees starting in the early part of the 20th century. From 2005 to 2300, there are three lines, representing three separate representative concentration pathways. The lowest line is RCP2.6, which peaks at around +1 degree in 2100 and declines slightly to 2300. The middle line is RCP4.5, which stabilises temperature anomalies at around +2 degrees after 2100. The third line is RCP8.5, and this rises sharply from the start of the 21st century, rising to +4 degrees by 2100 and peaking at over +8 degrees by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l="3259" r="2745"/>
                    <a:stretch>
                      <a:fillRect/>
                    </a:stretch>
                  </pic:blipFill>
                  <pic:spPr bwMode="auto">
                    <a:xfrm>
                      <a:off x="0" y="0"/>
                      <a:ext cx="5760000" cy="4222800"/>
                    </a:xfrm>
                    <a:prstGeom prst="rect">
                      <a:avLst/>
                    </a:prstGeom>
                    <a:noFill/>
                    <a:ln>
                      <a:noFill/>
                    </a:ln>
                  </pic:spPr>
                </pic:pic>
              </a:graphicData>
            </a:graphic>
          </wp:inline>
        </w:drawing>
      </w:r>
    </w:p>
    <w:p w:rsidR="00BC127B" w:rsidRDefault="00BC127B" w:rsidP="00BC127B">
      <w:pPr>
        <w:pStyle w:val="Caption"/>
      </w:pPr>
      <w:bookmarkStart w:id="57" w:name="_Ref351281385"/>
      <w:r>
        <w:t xml:space="preserve">Figure </w:t>
      </w:r>
      <w:r w:rsidR="006A5281">
        <w:fldChar w:fldCharType="begin"/>
      </w:r>
      <w:r w:rsidR="006A5281">
        <w:instrText xml:space="preserve"> STYLEREF 1 \s </w:instrText>
      </w:r>
      <w:r w:rsidR="006A5281">
        <w:fldChar w:fldCharType="separate"/>
      </w:r>
      <w:r w:rsidR="00E57C2A">
        <w:rPr>
          <w:noProof/>
        </w:rPr>
        <w:t>4</w:t>
      </w:r>
      <w:r w:rsidR="006A5281">
        <w:rPr>
          <w:noProof/>
        </w:rPr>
        <w:fldChar w:fldCharType="end"/>
      </w:r>
      <w:r w:rsidR="00E57C2A">
        <w:t>.</w:t>
      </w:r>
      <w:r w:rsidR="006A5281">
        <w:fldChar w:fldCharType="begin"/>
      </w:r>
      <w:r w:rsidR="006A5281">
        <w:instrText xml:space="preserve"> SEQ Figure \* ARABIC \s 1 </w:instrText>
      </w:r>
      <w:r w:rsidR="006A5281">
        <w:fldChar w:fldCharType="separate"/>
      </w:r>
      <w:r w:rsidR="00E57C2A">
        <w:rPr>
          <w:noProof/>
        </w:rPr>
        <w:t>5</w:t>
      </w:r>
      <w:r w:rsidR="006A5281">
        <w:rPr>
          <w:noProof/>
        </w:rPr>
        <w:fldChar w:fldCharType="end"/>
      </w:r>
      <w:bookmarkEnd w:id="57"/>
      <w:r>
        <w:t xml:space="preserve"> </w:t>
      </w:r>
      <w:r w:rsidRPr="00FF2F74">
        <w:t>Time series of globally averaged surface air temperature anomalies from CCSM4</w:t>
      </w:r>
      <w:r>
        <w:t>, one of the CMIP5 models</w:t>
      </w:r>
      <w:r w:rsidRPr="00FF2F74">
        <w:t xml:space="preserve"> (using 1986–2005 as base period), for 1850 to 2005 (orange), and three RCP scenarios (RCP2.6, blue; RCP4.5, green; RCP8.5, red). Ensemble averages are solid lines (five-member ensembles to 2100, single members after 2100). Shading before 2100 is ±one standard deviation of the ensemble member values. Temperature changes of 2 °C and 3 °C compared with pre-industrial values are indicated with horizontal blue lines. From </w:t>
      </w:r>
      <w:proofErr w:type="spellStart"/>
      <w:r>
        <w:t>Meehl</w:t>
      </w:r>
      <w:proofErr w:type="spellEnd"/>
      <w:r>
        <w:t xml:space="preserve"> et al., 2012</w:t>
      </w:r>
      <w:r w:rsidRPr="00FF2F74">
        <w:t>.</w:t>
      </w:r>
    </w:p>
    <w:p w:rsidR="00BC127B" w:rsidRDefault="00BC127B" w:rsidP="006F3804">
      <w:pPr>
        <w:pStyle w:val="Figuresandimagescentred"/>
      </w:pPr>
      <w:r>
        <w:rPr>
          <w:noProof/>
        </w:rPr>
        <w:lastRenderedPageBreak/>
        <w:drawing>
          <wp:inline distT="0" distB="0" distL="0" distR="0" wp14:anchorId="642DC6E9" wp14:editId="4B34C969">
            <wp:extent cx="5760000" cy="3920400"/>
            <wp:effectExtent l="0" t="0" r="0" b="4445"/>
            <wp:docPr id="8" name="Picture 8" descr="IPCC-fig-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CC-fig-10-4"/>
                    <pic:cNvPicPr>
                      <a:picLocks noChangeAspect="1" noChangeArrowheads="1"/>
                    </pic:cNvPicPr>
                  </pic:nvPicPr>
                  <pic:blipFill>
                    <a:blip r:embed="rId37">
                      <a:extLst>
                        <a:ext uri="{28A0092B-C50C-407E-A947-70E740481C1C}">
                          <a14:useLocalDpi xmlns:a14="http://schemas.microsoft.com/office/drawing/2010/main" val="0"/>
                        </a:ext>
                      </a:extLst>
                    </a:blip>
                    <a:srcRect l="-2037" t="-2000" r="-1016" b="-1500"/>
                    <a:stretch>
                      <a:fillRect/>
                    </a:stretch>
                  </pic:blipFill>
                  <pic:spPr bwMode="auto">
                    <a:xfrm>
                      <a:off x="0" y="0"/>
                      <a:ext cx="5760000" cy="3920400"/>
                    </a:xfrm>
                    <a:prstGeom prst="rect">
                      <a:avLst/>
                    </a:prstGeom>
                    <a:noFill/>
                    <a:ln>
                      <a:noFill/>
                    </a:ln>
                  </pic:spPr>
                </pic:pic>
              </a:graphicData>
            </a:graphic>
          </wp:inline>
        </w:drawing>
      </w:r>
    </w:p>
    <w:p w:rsidR="00BC127B" w:rsidRPr="00FF2F74" w:rsidRDefault="00BC127B" w:rsidP="00BC127B">
      <w:pPr>
        <w:pStyle w:val="Caption"/>
      </w:pPr>
      <w:bookmarkStart w:id="58" w:name="_Ref351282120"/>
      <w:r>
        <w:t xml:space="preserve">Figure </w:t>
      </w:r>
      <w:r w:rsidR="006A5281">
        <w:fldChar w:fldCharType="begin"/>
      </w:r>
      <w:r w:rsidR="006A5281">
        <w:instrText xml:space="preserve"> STYLEREF 1 \s </w:instrText>
      </w:r>
      <w:r w:rsidR="006A5281">
        <w:fldChar w:fldCharType="separate"/>
      </w:r>
      <w:r w:rsidR="00E57C2A">
        <w:rPr>
          <w:noProof/>
        </w:rPr>
        <w:t>4</w:t>
      </w:r>
      <w:r w:rsidR="006A5281">
        <w:rPr>
          <w:noProof/>
        </w:rPr>
        <w:fldChar w:fldCharType="end"/>
      </w:r>
      <w:r w:rsidR="00E57C2A">
        <w:t>.</w:t>
      </w:r>
      <w:r w:rsidR="006A5281">
        <w:fldChar w:fldCharType="begin"/>
      </w:r>
      <w:r w:rsidR="006A5281">
        <w:instrText xml:space="preserve"> SEQ Figure \* ARABIC \s 1 </w:instrText>
      </w:r>
      <w:r w:rsidR="006A5281">
        <w:fldChar w:fldCharType="separate"/>
      </w:r>
      <w:r w:rsidR="00E57C2A">
        <w:rPr>
          <w:noProof/>
        </w:rPr>
        <w:t>6</w:t>
      </w:r>
      <w:r w:rsidR="006A5281">
        <w:rPr>
          <w:noProof/>
        </w:rPr>
        <w:fldChar w:fldCharType="end"/>
      </w:r>
      <w:bookmarkEnd w:id="58"/>
      <w:r>
        <w:t xml:space="preserve"> Multi-model means of surface warming (relative to 1980–1999) for the scenarios A2, A1B and B1, shown as continuations of the 20th-century CMIP3 simulation. Values beyond 2100 are for the stabilisation scenarios. Linear trends from the corresponding control runs have been removed from these time series. Lines show the multi-model means, shading denotes the ±1 standard deviation range of individual model annual means. Discontinuities between different periods have no physical meaning and are caused by the fact that the number of models that have run a given scenario is different for each period and scenario, as indicated by the coloured numbers given for each period and scenario at the bottom of the panel. For the same reason, uncertainty across scenarios should not be interpreted from this figure (from </w:t>
      </w:r>
      <w:proofErr w:type="spellStart"/>
      <w:r>
        <w:t>Meehl</w:t>
      </w:r>
      <w:proofErr w:type="spellEnd"/>
      <w:r>
        <w:t xml:space="preserve"> et al., 2007).</w:t>
      </w:r>
    </w:p>
    <w:p w:rsidR="00BC127B" w:rsidRDefault="00BC127B" w:rsidP="00BC127B">
      <w:pPr>
        <w:pStyle w:val="Heading1"/>
      </w:pPr>
      <w:bookmarkStart w:id="59" w:name="_Toc356827202"/>
      <w:bookmarkStart w:id="60" w:name="_Toc357065180"/>
      <w:bookmarkStart w:id="61" w:name="_Toc361914692"/>
      <w:r>
        <w:lastRenderedPageBreak/>
        <w:t>Results</w:t>
      </w:r>
      <w:bookmarkEnd w:id="59"/>
      <w:bookmarkEnd w:id="60"/>
      <w:bookmarkEnd w:id="61"/>
    </w:p>
    <w:p w:rsidR="00BC127B" w:rsidRDefault="00BC127B" w:rsidP="00BC127B">
      <w:pPr>
        <w:pStyle w:val="BodyText"/>
      </w:pPr>
      <w:r>
        <w:t xml:space="preserve">Following are a series of tables detailing the changes in key parameters for the different time periods examined. Results are presented for 11 models – 5 CMIP5 models and 6 CMIP3 models. Full peril matrices have been passed to AIR Worldwide to generate climate-conditioned stochastic </w:t>
      </w:r>
      <w:r w:rsidR="003F4841">
        <w:t>catalogues</w:t>
      </w:r>
      <w:r>
        <w:t xml:space="preserve"> f</w:t>
      </w:r>
      <w:r w:rsidR="00491481">
        <w:t>or evaluating TC-related losses</w:t>
      </w:r>
      <w:r w:rsidR="00653FD5">
        <w:t>.</w:t>
      </w:r>
    </w:p>
    <w:p w:rsidR="00BC127B" w:rsidRDefault="00BC127B" w:rsidP="00BC127B">
      <w:pPr>
        <w:pStyle w:val="BodyText"/>
      </w:pPr>
      <w:r>
        <w:t>In all cases, significant changes in the means (at the 5% lev</w:t>
      </w:r>
      <w:r w:rsidR="00491481">
        <w:t>el) are indicated by bold text.</w:t>
      </w:r>
    </w:p>
    <w:p w:rsidR="00BC127B" w:rsidRPr="00491481" w:rsidRDefault="00BC127B" w:rsidP="00DE0A84">
      <w:pPr>
        <w:pStyle w:val="Tabletitle"/>
      </w:pPr>
      <w:r>
        <w:br w:type="page"/>
      </w:r>
      <w:r w:rsidRPr="00491481">
        <w:lastRenderedPageBreak/>
        <w:t xml:space="preserve">Table </w:t>
      </w:r>
      <w:r w:rsidR="006A5281">
        <w:fldChar w:fldCharType="begin"/>
      </w:r>
      <w:r w:rsidR="006A5281">
        <w:instrText xml:space="preserve"> STYLE</w:instrText>
      </w:r>
      <w:r w:rsidR="006A5281">
        <w:instrText xml:space="preserv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1</w:t>
      </w:r>
      <w:r w:rsidR="006A5281">
        <w:rPr>
          <w:noProof/>
        </w:rPr>
        <w:fldChar w:fldCharType="end"/>
      </w:r>
      <w:r w:rsidRPr="00491481">
        <w:t xml:space="preserve"> Mean annual frequency of tropical cyclones as simulated by TCLVs. Relative changes in TC frequency (</w:t>
      </w:r>
      <w:r w:rsidR="001F5A54" w:rsidRPr="00491481">
        <w:t>per cent</w:t>
      </w:r>
      <w:r w:rsidRPr="00491481">
        <w:t xml:space="preserve"> change) are indicated in parentheses. 2081-2100 values in bold indicate a change that is significant at the 5% level. The historical baseline used is TC activity 1981-2011.</w:t>
      </w:r>
    </w:p>
    <w:tbl>
      <w:tblPr>
        <w:tblStyle w:val="TableGAHeaderRow"/>
        <w:tblW w:w="0" w:type="auto"/>
        <w:tblLook w:val="01E0" w:firstRow="1" w:lastRow="1" w:firstColumn="1" w:lastColumn="1" w:noHBand="0" w:noVBand="0"/>
        <w:tblDescription w:val="Due to the complexity of this figure no alternative description has been provided. Please email Geoscience Australia at clientservices@ga.gov.au for an alternate description."/>
      </w:tblPr>
      <w:tblGrid>
        <w:gridCol w:w="850"/>
        <w:gridCol w:w="1490"/>
        <w:gridCol w:w="915"/>
        <w:gridCol w:w="813"/>
        <w:gridCol w:w="791"/>
        <w:gridCol w:w="875"/>
        <w:gridCol w:w="915"/>
        <w:gridCol w:w="813"/>
        <w:gridCol w:w="791"/>
        <w:gridCol w:w="875"/>
      </w:tblGrid>
      <w:tr w:rsidR="00BC127B" w:rsidRPr="00A01A35" w:rsidTr="0004154D">
        <w:trPr>
          <w:cnfStyle w:val="100000000000" w:firstRow="1" w:lastRow="0" w:firstColumn="0" w:lastColumn="0" w:oddVBand="0" w:evenVBand="0" w:oddHBand="0" w:evenHBand="0" w:firstRowFirstColumn="0" w:firstRowLastColumn="0" w:lastRowFirstColumn="0" w:lastRowLastColumn="0"/>
          <w:trHeight w:val="915"/>
          <w:tblHeader/>
        </w:trPr>
        <w:tc>
          <w:tcPr>
            <w:cnfStyle w:val="000010000000" w:firstRow="0" w:lastRow="0" w:firstColumn="0" w:lastColumn="0" w:oddVBand="1" w:evenVBand="0" w:oddHBand="0" w:evenHBand="0" w:firstRowFirstColumn="0" w:firstRowLastColumn="0" w:lastRowFirstColumn="0" w:lastRowLastColumn="0"/>
            <w:tcW w:w="851" w:type="dxa"/>
          </w:tcPr>
          <w:p w:rsidR="00BC127B" w:rsidRPr="00A01A35" w:rsidRDefault="00BC127B" w:rsidP="00653FD5">
            <w:pPr>
              <w:pStyle w:val="Tableheadingcentred"/>
              <w:rPr>
                <w:rStyle w:val="Tabletitlebold"/>
                <w:b/>
                <w:bCs/>
              </w:rPr>
            </w:pPr>
          </w:p>
        </w:tc>
        <w:tc>
          <w:tcPr>
            <w:tcW w:w="1490" w:type="dxa"/>
          </w:tcPr>
          <w:p w:rsidR="00BC127B" w:rsidRPr="00A01A35"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rPr>
                <w:rStyle w:val="Tabletitlebold"/>
                <w:b/>
                <w:bCs/>
              </w:rPr>
            </w:pPr>
          </w:p>
        </w:tc>
        <w:tc>
          <w:tcPr>
            <w:cnfStyle w:val="000010000000" w:firstRow="0" w:lastRow="0" w:firstColumn="0" w:lastColumn="0" w:oddVBand="1" w:evenVBand="0" w:oddHBand="0" w:evenHBand="0" w:firstRowFirstColumn="0" w:firstRowLastColumn="0" w:lastRowFirstColumn="0" w:lastRowLastColumn="0"/>
            <w:tcW w:w="3394" w:type="dxa"/>
            <w:gridSpan w:val="4"/>
          </w:tcPr>
          <w:p w:rsidR="00BC127B" w:rsidRPr="006F3804" w:rsidRDefault="00BC127B" w:rsidP="00653FD5">
            <w:pPr>
              <w:pStyle w:val="Tableheadingcentred"/>
            </w:pPr>
            <w:r w:rsidRPr="006F3804">
              <w:t>Northern Hemisphere</w:t>
            </w:r>
          </w:p>
        </w:tc>
        <w:tc>
          <w:tcPr>
            <w:tcW w:w="3394" w:type="dxa"/>
            <w:gridSpan w:val="4"/>
          </w:tcPr>
          <w:p w:rsidR="00BC127B" w:rsidRPr="006F3804"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pPr>
            <w:r w:rsidRPr="006F3804">
              <w:t>Southern Hemisphere</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404040" w:themeFill="text1" w:themeFillTint="BF"/>
            <w:textDirection w:val="btLr"/>
          </w:tcPr>
          <w:p w:rsidR="00BC127B" w:rsidRPr="00C57A6C" w:rsidRDefault="00BC127B" w:rsidP="001617F2">
            <w:pPr>
              <w:pStyle w:val="Tableheadingcentred"/>
            </w:pPr>
            <w:r w:rsidRPr="00C57A6C">
              <w:t>CMIP5</w:t>
            </w:r>
          </w:p>
        </w:tc>
        <w:tc>
          <w:tcPr>
            <w:tcW w:w="1490" w:type="dxa"/>
          </w:tcPr>
          <w:p w:rsidR="00BC127B" w:rsidRPr="000733E9" w:rsidRDefault="00BC127B" w:rsidP="003954B6">
            <w:pPr>
              <w:pStyle w:val="Tabletextcentred"/>
              <w:cnfStyle w:val="000000100000" w:firstRow="0" w:lastRow="0" w:firstColumn="0" w:lastColumn="0" w:oddVBand="0" w:evenVBand="0" w:oddHBand="1" w:evenHBand="0" w:firstRowFirstColumn="0" w:firstRowLastColumn="0" w:lastRowFirstColumn="0" w:lastRowLastColumn="0"/>
              <w:rPr>
                <w:rStyle w:val="Tabletitlebold"/>
                <w:b w:val="0"/>
                <w:szCs w:val="18"/>
              </w:rPr>
            </w:pPr>
            <w:r w:rsidRPr="000733E9">
              <w:t>Model</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0733E9" w:rsidRDefault="00BC127B" w:rsidP="001617F2">
            <w:pPr>
              <w:pStyle w:val="Tabletextcentred"/>
            </w:pPr>
            <w:r w:rsidRPr="000733E9">
              <w:t>Historical baseline</w:t>
            </w:r>
          </w:p>
        </w:tc>
        <w:tc>
          <w:tcPr>
            <w:tcW w:w="813"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1981-2000</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0733E9" w:rsidRDefault="00BC127B" w:rsidP="001617F2">
            <w:pPr>
              <w:pStyle w:val="Tabletextcentred"/>
            </w:pPr>
            <w:r w:rsidRPr="000733E9">
              <w:t>2050</w:t>
            </w:r>
          </w:p>
        </w:tc>
        <w:tc>
          <w:tcPr>
            <w:tcW w:w="875"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2081-2100</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0733E9" w:rsidRDefault="00BC127B" w:rsidP="001617F2">
            <w:pPr>
              <w:pStyle w:val="Tabletextcentred"/>
            </w:pPr>
            <w:r w:rsidRPr="000733E9">
              <w:t>Historical baseline</w:t>
            </w:r>
          </w:p>
        </w:tc>
        <w:tc>
          <w:tcPr>
            <w:tcW w:w="813"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1981-2000</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0733E9" w:rsidRDefault="00BC127B" w:rsidP="001617F2">
            <w:pPr>
              <w:pStyle w:val="Tabletextcentred"/>
            </w:pPr>
            <w:r w:rsidRPr="000733E9">
              <w:t>2050</w:t>
            </w:r>
          </w:p>
        </w:tc>
        <w:tc>
          <w:tcPr>
            <w:tcW w:w="875"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2081-2100</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1617F2">
            <w:pPr>
              <w:pStyle w:val="Tableheadingcentred"/>
            </w:pPr>
          </w:p>
        </w:tc>
        <w:tc>
          <w:tcPr>
            <w:tcW w:w="1490"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ACCESS 1.0</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9.6</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13.1</w:t>
            </w:r>
          </w:p>
        </w:tc>
        <w:tc>
          <w:tcPr>
            <w:tcW w:w="875"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 xml:space="preserve">15.4 </w:t>
            </w:r>
          </w:p>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(61.3%)</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13.6</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12.2</w:t>
            </w:r>
          </w:p>
        </w:tc>
        <w:tc>
          <w:tcPr>
            <w:tcW w:w="875" w:type="dxa"/>
          </w:tcPr>
          <w:p w:rsidR="00BC127B" w:rsidRPr="000733E9"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0733E9">
              <w:t>11.3</w:t>
            </w:r>
          </w:p>
          <w:p w:rsidR="00BC127B" w:rsidRPr="000733E9"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0733E9">
              <w:t>(-17.0%)</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1617F2">
            <w:pPr>
              <w:pStyle w:val="Tableheadingcentred"/>
            </w:pPr>
          </w:p>
        </w:tc>
        <w:tc>
          <w:tcPr>
            <w:tcW w:w="1490"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CanESM2</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19.8</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20.5</w:t>
            </w:r>
          </w:p>
        </w:tc>
        <w:tc>
          <w:tcPr>
            <w:tcW w:w="875"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 xml:space="preserve">21.0 </w:t>
            </w:r>
          </w:p>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(6.3%)</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13.6</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15.1</w:t>
            </w:r>
          </w:p>
        </w:tc>
        <w:tc>
          <w:tcPr>
            <w:tcW w:w="875"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16.1</w:t>
            </w:r>
          </w:p>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(18.8%)</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1617F2">
            <w:pPr>
              <w:pStyle w:val="Tableheadingcentred"/>
            </w:pPr>
          </w:p>
        </w:tc>
        <w:tc>
          <w:tcPr>
            <w:tcW w:w="1490"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CSIRO Mk3.6.0</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25.1</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24.4</w:t>
            </w:r>
          </w:p>
        </w:tc>
        <w:tc>
          <w:tcPr>
            <w:tcW w:w="875"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23.9</w:t>
            </w:r>
          </w:p>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(-5.0%)</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14.4</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12.3</w:t>
            </w:r>
          </w:p>
        </w:tc>
        <w:tc>
          <w:tcPr>
            <w:tcW w:w="875"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10.9</w:t>
            </w:r>
          </w:p>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(-24.4%)</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1617F2">
            <w:pPr>
              <w:pStyle w:val="Tableheadingcentred"/>
            </w:pPr>
          </w:p>
        </w:tc>
        <w:tc>
          <w:tcPr>
            <w:tcW w:w="1490"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IPSL CM5A-LR</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12.4</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15.7</w:t>
            </w:r>
          </w:p>
        </w:tc>
        <w:tc>
          <w:tcPr>
            <w:tcW w:w="875" w:type="dxa"/>
          </w:tcPr>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17.9</w:t>
            </w:r>
          </w:p>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(43.8%)</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3.5</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5.5</w:t>
            </w:r>
          </w:p>
        </w:tc>
        <w:tc>
          <w:tcPr>
            <w:tcW w:w="875"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6.9</w:t>
            </w:r>
          </w:p>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(100%)</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1617F2">
            <w:pPr>
              <w:pStyle w:val="Tableheadingcentred"/>
            </w:pPr>
          </w:p>
        </w:tc>
        <w:tc>
          <w:tcPr>
            <w:tcW w:w="1490"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Nor ESM1</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13.7</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12.3</w:t>
            </w:r>
          </w:p>
        </w:tc>
        <w:tc>
          <w:tcPr>
            <w:tcW w:w="875" w:type="dxa"/>
          </w:tcPr>
          <w:p w:rsidR="00BC127B" w:rsidRPr="000733E9"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0733E9">
              <w:t>11.4</w:t>
            </w:r>
          </w:p>
          <w:p w:rsidR="00BC127B" w:rsidRPr="000733E9"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0733E9">
              <w:t>(-16.5%)</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13.2</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12.1</w:t>
            </w:r>
          </w:p>
        </w:tc>
        <w:tc>
          <w:tcPr>
            <w:tcW w:w="875" w:type="dxa"/>
          </w:tcPr>
          <w:p w:rsidR="00BC127B" w:rsidRPr="000733E9"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0733E9">
              <w:t>11.3</w:t>
            </w:r>
          </w:p>
          <w:p w:rsidR="00BC127B" w:rsidRPr="000733E9"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0733E9">
              <w:t>(-14.4%)</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404040" w:themeFill="text1" w:themeFillTint="BF"/>
            <w:textDirection w:val="btLr"/>
          </w:tcPr>
          <w:p w:rsidR="00BC127B" w:rsidRPr="00C57A6C" w:rsidRDefault="00BC127B" w:rsidP="001617F2">
            <w:pPr>
              <w:pStyle w:val="Tableheadingcentred"/>
            </w:pPr>
            <w:r w:rsidRPr="00C57A6C">
              <w:t>CMIP3</w:t>
            </w:r>
          </w:p>
        </w:tc>
        <w:tc>
          <w:tcPr>
            <w:tcW w:w="1490"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CSIRO Mk3.5</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15.1</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12.5</w:t>
            </w:r>
          </w:p>
        </w:tc>
        <w:tc>
          <w:tcPr>
            <w:tcW w:w="875" w:type="dxa"/>
          </w:tcPr>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10.7</w:t>
            </w:r>
          </w:p>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(-29.5%)</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8.9</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6.0</w:t>
            </w:r>
          </w:p>
        </w:tc>
        <w:tc>
          <w:tcPr>
            <w:tcW w:w="875" w:type="dxa"/>
          </w:tcPr>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4.1</w:t>
            </w:r>
          </w:p>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(-54.5%)</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490"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ECHAM5</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19.9</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16.0</w:t>
            </w:r>
          </w:p>
        </w:tc>
        <w:tc>
          <w:tcPr>
            <w:tcW w:w="875"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13.4</w:t>
            </w:r>
          </w:p>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(-32.7%)</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13.0</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7.7</w:t>
            </w:r>
          </w:p>
        </w:tc>
        <w:tc>
          <w:tcPr>
            <w:tcW w:w="875"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4.1</w:t>
            </w:r>
          </w:p>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(-68.5%)</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490"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GFDL CM2.0</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14.7</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15.2</w:t>
            </w:r>
          </w:p>
        </w:tc>
        <w:tc>
          <w:tcPr>
            <w:tcW w:w="875"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15.6</w:t>
            </w:r>
          </w:p>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(6.5%)</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9.3</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5.5</w:t>
            </w:r>
          </w:p>
        </w:tc>
        <w:tc>
          <w:tcPr>
            <w:tcW w:w="875" w:type="dxa"/>
          </w:tcPr>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3.0</w:t>
            </w:r>
          </w:p>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(-67.0%)</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490"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GFDL CM2.1</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17.3</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13.9</w:t>
            </w:r>
          </w:p>
        </w:tc>
        <w:tc>
          <w:tcPr>
            <w:tcW w:w="875"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11.7</w:t>
            </w:r>
          </w:p>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(-32.1%)</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9.9</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6.1</w:t>
            </w:r>
          </w:p>
        </w:tc>
        <w:tc>
          <w:tcPr>
            <w:tcW w:w="875"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3.5</w:t>
            </w:r>
          </w:p>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(-64.1%)</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490"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HadCM3</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21.0</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21.1</w:t>
            </w:r>
          </w:p>
        </w:tc>
        <w:tc>
          <w:tcPr>
            <w:tcW w:w="875"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21.2</w:t>
            </w:r>
          </w:p>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(1.0%)</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9.8</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6.4</w:t>
            </w:r>
          </w:p>
        </w:tc>
        <w:tc>
          <w:tcPr>
            <w:tcW w:w="875" w:type="dxa"/>
          </w:tcPr>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4.1</w:t>
            </w:r>
          </w:p>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(-57.9%)</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490"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MIROC 3.2</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24.7</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14.7</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13.4</w:t>
            </w:r>
          </w:p>
        </w:tc>
        <w:tc>
          <w:tcPr>
            <w:tcW w:w="875" w:type="dxa"/>
          </w:tcPr>
          <w:p w:rsidR="00BC127B" w:rsidRPr="000733E9"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0733E9">
              <w:t>12.5</w:t>
            </w:r>
          </w:p>
          <w:p w:rsidR="00BC127B" w:rsidRPr="000733E9"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0733E9">
              <w:t>(-15%)</w:t>
            </w:r>
          </w:p>
        </w:tc>
        <w:tc>
          <w:tcPr>
            <w:cnfStyle w:val="000010000000" w:firstRow="0" w:lastRow="0" w:firstColumn="0" w:lastColumn="0" w:oddVBand="1" w:evenVBand="0" w:oddHBand="0" w:evenHBand="0" w:firstRowFirstColumn="0" w:firstRowLastColumn="0" w:lastRowFirstColumn="0" w:lastRowLastColumn="0"/>
            <w:tcW w:w="915" w:type="dxa"/>
          </w:tcPr>
          <w:p w:rsidR="00BC127B" w:rsidRPr="001617F2" w:rsidRDefault="00BC127B" w:rsidP="001617F2">
            <w:pPr>
              <w:pStyle w:val="Tabletextcentred"/>
            </w:pPr>
            <w:r w:rsidRPr="001617F2">
              <w:t>13.2</w:t>
            </w:r>
          </w:p>
        </w:tc>
        <w:tc>
          <w:tcPr>
            <w:tcW w:w="81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7.0</w:t>
            </w:r>
          </w:p>
        </w:tc>
        <w:tc>
          <w:tcPr>
            <w:cnfStyle w:val="000010000000" w:firstRow="0" w:lastRow="0" w:firstColumn="0" w:lastColumn="0" w:oddVBand="1" w:evenVBand="0" w:oddHBand="0" w:evenHBand="0" w:firstRowFirstColumn="0" w:firstRowLastColumn="0" w:lastRowFirstColumn="0" w:lastRowLastColumn="0"/>
            <w:tcW w:w="791" w:type="dxa"/>
          </w:tcPr>
          <w:p w:rsidR="00BC127B" w:rsidRPr="001617F2" w:rsidRDefault="00BC127B" w:rsidP="001617F2">
            <w:pPr>
              <w:pStyle w:val="Tabletextcentred"/>
            </w:pPr>
            <w:r w:rsidRPr="001617F2">
              <w:t>3.8</w:t>
            </w:r>
          </w:p>
        </w:tc>
        <w:tc>
          <w:tcPr>
            <w:tcW w:w="875"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1.6</w:t>
            </w:r>
          </w:p>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(-78.0%)</w:t>
            </w:r>
          </w:p>
        </w:tc>
      </w:tr>
    </w:tbl>
    <w:p w:rsidR="00BC127B" w:rsidRPr="00491481" w:rsidRDefault="00BC127B" w:rsidP="00DE0A84">
      <w:pPr>
        <w:pStyle w:val="Tabletitle"/>
      </w:pPr>
      <w:r>
        <w:br w:type="page"/>
      </w:r>
      <w:r w:rsidRPr="00491481">
        <w:lastRenderedPageBreak/>
        <w:t xml:space="preserve">Table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2</w:t>
      </w:r>
      <w:r w:rsidR="006A5281">
        <w:rPr>
          <w:noProof/>
        </w:rPr>
        <w:fldChar w:fldCharType="end"/>
      </w:r>
      <w:r w:rsidRPr="00491481">
        <w:t xml:space="preserve"> As for Table </w:t>
      </w:r>
      <w:r w:rsidR="009533A5">
        <w:t>5.1</w:t>
      </w:r>
      <w:r w:rsidRPr="00491481">
        <w:t>, but for mean latitude of genesis.</w:t>
      </w:r>
    </w:p>
    <w:tbl>
      <w:tblPr>
        <w:tblStyle w:val="TableGAHeaderRow"/>
        <w:tblW w:w="9356" w:type="dxa"/>
        <w:tblLayout w:type="fixed"/>
        <w:tblLook w:val="01E0" w:firstRow="1" w:lastRow="1" w:firstColumn="1" w:lastColumn="1" w:noHBand="0" w:noVBand="0"/>
        <w:tblDescription w:val="Due to the complexity of this figure no alternative description has been provided. Please email Geoscience Australia at clientservices@ga.gov.au for an alternate description."/>
      </w:tblPr>
      <w:tblGrid>
        <w:gridCol w:w="709"/>
        <w:gridCol w:w="1418"/>
        <w:gridCol w:w="903"/>
        <w:gridCol w:w="904"/>
        <w:gridCol w:w="903"/>
        <w:gridCol w:w="904"/>
        <w:gridCol w:w="904"/>
        <w:gridCol w:w="903"/>
        <w:gridCol w:w="904"/>
        <w:gridCol w:w="904"/>
      </w:tblGrid>
      <w:tr w:rsidR="00BC127B" w:rsidRPr="00A01A35" w:rsidTr="0004154D">
        <w:trPr>
          <w:cnfStyle w:val="100000000000" w:firstRow="1" w:lastRow="0" w:firstColumn="0" w:lastColumn="0" w:oddVBand="0" w:evenVBand="0" w:oddHBand="0" w:evenHBand="0" w:firstRowFirstColumn="0" w:firstRowLastColumn="0" w:lastRowFirstColumn="0" w:lastRowLastColumn="0"/>
          <w:trHeight w:val="915"/>
          <w:tblHeader/>
        </w:trPr>
        <w:tc>
          <w:tcPr>
            <w:cnfStyle w:val="000010000000" w:firstRow="0" w:lastRow="0" w:firstColumn="0" w:lastColumn="0" w:oddVBand="1" w:evenVBand="0" w:oddHBand="0" w:evenHBand="0" w:firstRowFirstColumn="0" w:firstRowLastColumn="0" w:lastRowFirstColumn="0" w:lastRowLastColumn="0"/>
            <w:tcW w:w="709" w:type="dxa"/>
          </w:tcPr>
          <w:p w:rsidR="00BC127B" w:rsidRPr="00A01A35" w:rsidRDefault="00BC127B" w:rsidP="00653FD5">
            <w:pPr>
              <w:pStyle w:val="Tableheadingcentred"/>
              <w:rPr>
                <w:rStyle w:val="Tabletitlebold"/>
                <w:b/>
                <w:bCs/>
              </w:rPr>
            </w:pPr>
          </w:p>
        </w:tc>
        <w:tc>
          <w:tcPr>
            <w:tcW w:w="1418" w:type="dxa"/>
          </w:tcPr>
          <w:p w:rsidR="00BC127B" w:rsidRPr="00A01A35"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rPr>
                <w:rStyle w:val="Tabletitlebold"/>
                <w:b/>
                <w:bCs/>
              </w:rPr>
            </w:pPr>
          </w:p>
        </w:tc>
        <w:tc>
          <w:tcPr>
            <w:cnfStyle w:val="000010000000" w:firstRow="0" w:lastRow="0" w:firstColumn="0" w:lastColumn="0" w:oddVBand="1" w:evenVBand="0" w:oddHBand="0" w:evenHBand="0" w:firstRowFirstColumn="0" w:firstRowLastColumn="0" w:lastRowFirstColumn="0" w:lastRowLastColumn="0"/>
            <w:tcW w:w="3614" w:type="dxa"/>
            <w:gridSpan w:val="4"/>
          </w:tcPr>
          <w:p w:rsidR="00BC127B" w:rsidRPr="006F3804" w:rsidRDefault="00BC127B" w:rsidP="00653FD5">
            <w:pPr>
              <w:pStyle w:val="Tableheadingcentred"/>
            </w:pPr>
            <w:r w:rsidRPr="006F3804">
              <w:t>Northern Hemisphere</w:t>
            </w:r>
          </w:p>
        </w:tc>
        <w:tc>
          <w:tcPr>
            <w:tcW w:w="3615" w:type="dxa"/>
            <w:gridSpan w:val="4"/>
          </w:tcPr>
          <w:p w:rsidR="00BC127B" w:rsidRPr="006F3804"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pPr>
            <w:r w:rsidRPr="006F3804">
              <w:t>Southern Hemisphere</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val="restart"/>
            <w:shd w:val="clear" w:color="auto" w:fill="404040" w:themeFill="text1" w:themeFillTint="BF"/>
            <w:textDirection w:val="btLr"/>
          </w:tcPr>
          <w:p w:rsidR="00BC127B" w:rsidRPr="00C57A6C" w:rsidRDefault="00BC127B" w:rsidP="001617F2">
            <w:pPr>
              <w:pStyle w:val="Tableheadingcentred"/>
            </w:pPr>
            <w:r w:rsidRPr="00C57A6C">
              <w:t>CMIP5</w:t>
            </w:r>
          </w:p>
        </w:tc>
        <w:tc>
          <w:tcPr>
            <w:tcW w:w="1418"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rPr>
                <w:rStyle w:val="Tabletitlebold"/>
                <w:b w:val="0"/>
              </w:rPr>
            </w:pPr>
            <w:r w:rsidRPr="001617F2">
              <w:t>Model</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Historical baseline</w:t>
            </w:r>
          </w:p>
        </w:tc>
        <w:tc>
          <w:tcPr>
            <w:tcW w:w="904"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1981-2000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2050</w:t>
            </w:r>
          </w:p>
        </w:tc>
        <w:tc>
          <w:tcPr>
            <w:tcW w:w="904"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2081-2100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1617F2">
            <w:pPr>
              <w:pStyle w:val="Tabletextcentred"/>
            </w:pPr>
            <w:r w:rsidRPr="000733E9">
              <w:t>Historical baseline</w:t>
            </w:r>
          </w:p>
        </w:tc>
        <w:tc>
          <w:tcPr>
            <w:tcW w:w="903"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1981-2000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1617F2">
            <w:pPr>
              <w:pStyle w:val="Tabletextcentred"/>
            </w:pPr>
            <w:r w:rsidRPr="000733E9">
              <w:t>2050</w:t>
            </w:r>
          </w:p>
        </w:tc>
        <w:tc>
          <w:tcPr>
            <w:tcW w:w="904" w:type="dxa"/>
          </w:tcPr>
          <w:p w:rsidR="00BC127B" w:rsidRPr="000733E9"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0733E9">
              <w:t>2081-2100</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1617F2">
            <w:pPr>
              <w:pStyle w:val="Tableheadingcentred"/>
            </w:pPr>
          </w:p>
        </w:tc>
        <w:tc>
          <w:tcPr>
            <w:tcW w:w="1418"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ACCESS 1.0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14.3</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13.2</w:t>
            </w:r>
          </w:p>
        </w:tc>
        <w:tc>
          <w:tcPr>
            <w:tcW w:w="904"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12.5</w:t>
            </w:r>
          </w:p>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(-12.2%)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-13.3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-12.5</w:t>
            </w:r>
          </w:p>
        </w:tc>
        <w:tc>
          <w:tcPr>
            <w:tcW w:w="904"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-11.9</w:t>
            </w:r>
          </w:p>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(10.0%)</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1617F2">
            <w:pPr>
              <w:pStyle w:val="Tableheadingcentred"/>
            </w:pPr>
          </w:p>
        </w:tc>
        <w:tc>
          <w:tcPr>
            <w:tcW w:w="1418"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CanESM2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15.0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14.7</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 xml:space="preserve">14.5 </w:t>
            </w:r>
          </w:p>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(-3.2%)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-13.3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-13.7</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-14.0</w:t>
            </w:r>
          </w:p>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(-5.6%)</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1617F2">
            <w:pPr>
              <w:pStyle w:val="Tableheadingcentred"/>
            </w:pPr>
          </w:p>
        </w:tc>
        <w:tc>
          <w:tcPr>
            <w:tcW w:w="1418"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CSIRO Mk3.6.0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14.6</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14.3</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14.2</w:t>
            </w:r>
          </w:p>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(-2.6%)</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-14.3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-13.1</w:t>
            </w:r>
          </w:p>
        </w:tc>
        <w:tc>
          <w:tcPr>
            <w:tcW w:w="904"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-12.2</w:t>
            </w:r>
          </w:p>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(15.0%)</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1617F2">
            <w:pPr>
              <w:pStyle w:val="Tableheadingcentred"/>
            </w:pPr>
          </w:p>
        </w:tc>
        <w:tc>
          <w:tcPr>
            <w:tcW w:w="1418"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IPSL CM5A-LR</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15.4</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14.9</w:t>
            </w:r>
          </w:p>
        </w:tc>
        <w:tc>
          <w:tcPr>
            <w:tcW w:w="904" w:type="dxa"/>
          </w:tcPr>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14.6</w:t>
            </w:r>
          </w:p>
          <w:p w:rsidR="00BC127B" w:rsidRPr="000733E9"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(-5.5%)</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-15.3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-15.5</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-15.7</w:t>
            </w:r>
          </w:p>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(-3.2%)</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1617F2">
            <w:pPr>
              <w:pStyle w:val="Tableheadingcentred"/>
            </w:pPr>
          </w:p>
        </w:tc>
        <w:tc>
          <w:tcPr>
            <w:tcW w:w="1418"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Nor ESM1</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10.8</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10.9</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11.0</w:t>
            </w:r>
          </w:p>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(2.5%)</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-12.6</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-12.4</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-12.2</w:t>
            </w:r>
          </w:p>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(-3.2%)</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val="restart"/>
            <w:shd w:val="clear" w:color="auto" w:fill="404040" w:themeFill="text1" w:themeFillTint="BF"/>
            <w:textDirection w:val="btLr"/>
          </w:tcPr>
          <w:p w:rsidR="00BC127B" w:rsidRPr="00C57A6C" w:rsidRDefault="00BC127B" w:rsidP="001617F2">
            <w:pPr>
              <w:pStyle w:val="Tableheadingcentred"/>
            </w:pPr>
            <w:r w:rsidRPr="00C57A6C">
              <w:t>CMIP3</w:t>
            </w:r>
          </w:p>
        </w:tc>
        <w:tc>
          <w:tcPr>
            <w:tcW w:w="1418"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CSIRO Mk3.5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16.2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15.6</w:t>
            </w:r>
          </w:p>
        </w:tc>
        <w:tc>
          <w:tcPr>
            <w:tcW w:w="904" w:type="dxa"/>
          </w:tcPr>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15.1</w:t>
            </w:r>
          </w:p>
          <w:p w:rsidR="00BC127B" w:rsidRPr="000733E9"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(-7.0%)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-19.3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-18.0</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-17.1</w:t>
            </w:r>
          </w:p>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(11.3%)</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ECHAM5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15.0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15.0</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15.0</w:t>
            </w:r>
          </w:p>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rPr>
                <w:b/>
              </w:rPr>
            </w:pPr>
            <w:r w:rsidRPr="000733E9">
              <w:t>(0.2%)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-19.2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-20.8</w:t>
            </w:r>
          </w:p>
        </w:tc>
        <w:tc>
          <w:tcPr>
            <w:tcW w:w="904"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-21.8</w:t>
            </w:r>
          </w:p>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(-13.4%)</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GFDL CM2.0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16.5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17.3</w:t>
            </w:r>
          </w:p>
        </w:tc>
        <w:tc>
          <w:tcPr>
            <w:tcW w:w="904" w:type="dxa"/>
          </w:tcPr>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17.9</w:t>
            </w:r>
          </w:p>
          <w:p w:rsidR="00BC127B" w:rsidRPr="000733E9"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(8.9%)</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-22.1</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-22.7</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-23.1</w:t>
            </w:r>
          </w:p>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(-4.8%)</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GFDL CM2.1</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16.4</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16.5</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16.6</w:t>
            </w:r>
          </w:p>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rPr>
                <w:b/>
              </w:rPr>
            </w:pPr>
            <w:r w:rsidRPr="000733E9">
              <w:t>(1.7%)</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-20.8</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-23.1</w:t>
            </w:r>
          </w:p>
        </w:tc>
        <w:tc>
          <w:tcPr>
            <w:tcW w:w="904"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-24.6</w:t>
            </w:r>
          </w:p>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(-18.5%)</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HadCM3</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15.2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15.5</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15.7</w:t>
            </w:r>
          </w:p>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(3.3%)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100000" w:firstRow="0" w:lastRow="0" w:firstColumn="0" w:lastColumn="0" w:oddVBand="0" w:evenVBand="0" w:oddHBand="1" w:evenHBand="0" w:firstRowFirstColumn="0" w:firstRowLastColumn="0" w:lastRowFirstColumn="0" w:lastRowLastColumn="0"/>
            </w:pPr>
            <w:r w:rsidRPr="001617F2">
              <w:t>-14.1</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-15.6</w:t>
            </w:r>
          </w:p>
        </w:tc>
        <w:tc>
          <w:tcPr>
            <w:tcW w:w="904" w:type="dxa"/>
          </w:tcPr>
          <w:p w:rsidR="00BC127B" w:rsidRPr="001617F2"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-16.6</w:t>
            </w:r>
          </w:p>
          <w:p w:rsidR="00BC127B" w:rsidRPr="000733E9"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1617F2">
              <w:t>(-18.0%)</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MIROC 3.2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13.5</w:t>
            </w:r>
          </w:p>
        </w:tc>
        <w:tc>
          <w:tcPr>
            <w:tcW w:w="904"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15.5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1617F2" w:rsidRDefault="00BC127B" w:rsidP="001617F2">
            <w:pPr>
              <w:pStyle w:val="Tabletextcentred"/>
            </w:pPr>
            <w:r w:rsidRPr="001617F2">
              <w:t>15.4</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15.3</w:t>
            </w:r>
          </w:p>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-14.3</w:t>
            </w:r>
          </w:p>
        </w:tc>
        <w:tc>
          <w:tcPr>
            <w:tcW w:w="903" w:type="dxa"/>
          </w:tcPr>
          <w:p w:rsidR="00BC127B" w:rsidRPr="001617F2" w:rsidRDefault="00BC127B" w:rsidP="001617F2">
            <w:pPr>
              <w:pStyle w:val="Tabletextcentred"/>
              <w:cnfStyle w:val="000000010000" w:firstRow="0" w:lastRow="0" w:firstColumn="0" w:lastColumn="0" w:oddVBand="0" w:evenVBand="0" w:oddHBand="0" w:evenHBand="1" w:firstRowFirstColumn="0" w:firstRowLastColumn="0" w:lastRowFirstColumn="0" w:lastRowLastColumn="0"/>
            </w:pPr>
            <w:r w:rsidRPr="001617F2">
              <w:t>-15.2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1617F2" w:rsidRDefault="00BC127B" w:rsidP="001617F2">
            <w:pPr>
              <w:pStyle w:val="Tabletextcentred"/>
            </w:pPr>
            <w:r w:rsidRPr="001617F2">
              <w:t>-17.1</w:t>
            </w:r>
          </w:p>
        </w:tc>
        <w:tc>
          <w:tcPr>
            <w:tcW w:w="904" w:type="dxa"/>
          </w:tcPr>
          <w:p w:rsidR="00BC127B" w:rsidRPr="001617F2"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-18.3</w:t>
            </w:r>
          </w:p>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1617F2">
              <w:t>(-20.2%)</w:t>
            </w:r>
          </w:p>
        </w:tc>
      </w:tr>
    </w:tbl>
    <w:p w:rsidR="00BC127B" w:rsidRPr="00491481" w:rsidRDefault="00BC127B" w:rsidP="00DE0A84">
      <w:pPr>
        <w:pStyle w:val="Tabletitle"/>
      </w:pPr>
      <w:r w:rsidRPr="000733E9">
        <w:br w:type="page"/>
      </w:r>
      <w:r w:rsidRPr="00491481">
        <w:lastRenderedPageBreak/>
        <w:t xml:space="preserve">Table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3</w:t>
      </w:r>
      <w:r w:rsidR="006A5281">
        <w:rPr>
          <w:noProof/>
        </w:rPr>
        <w:fldChar w:fldCharType="end"/>
      </w:r>
      <w:r w:rsidRPr="00491481">
        <w:t xml:space="preserve"> As for Table </w:t>
      </w:r>
      <w:r w:rsidR="009533A5">
        <w:t>5.1</w:t>
      </w:r>
      <w:r w:rsidRPr="00491481">
        <w:t>, but for mean latitude of peak intensity (maximum sustained winds).</w:t>
      </w:r>
    </w:p>
    <w:tbl>
      <w:tblPr>
        <w:tblStyle w:val="TableGAHeaderRow"/>
        <w:tblW w:w="9356" w:type="dxa"/>
        <w:tblLayout w:type="fixed"/>
        <w:tblLook w:val="01E0" w:firstRow="1" w:lastRow="1" w:firstColumn="1" w:lastColumn="1" w:noHBand="0" w:noVBand="0"/>
        <w:tblDescription w:val="Due to the complexity of this figure no alternative description has been provided. Please email Geoscience Australia at clientservices@ga.gov.au for an alternate description."/>
      </w:tblPr>
      <w:tblGrid>
        <w:gridCol w:w="709"/>
        <w:gridCol w:w="1418"/>
        <w:gridCol w:w="903"/>
        <w:gridCol w:w="904"/>
        <w:gridCol w:w="903"/>
        <w:gridCol w:w="904"/>
        <w:gridCol w:w="904"/>
        <w:gridCol w:w="903"/>
        <w:gridCol w:w="904"/>
        <w:gridCol w:w="904"/>
      </w:tblGrid>
      <w:tr w:rsidR="00BC127B" w:rsidRPr="00A01A35" w:rsidTr="0004154D">
        <w:trPr>
          <w:cnfStyle w:val="100000000000" w:firstRow="1" w:lastRow="0" w:firstColumn="0" w:lastColumn="0" w:oddVBand="0" w:evenVBand="0" w:oddHBand="0" w:evenHBand="0" w:firstRowFirstColumn="0" w:firstRowLastColumn="0" w:lastRowFirstColumn="0" w:lastRowLastColumn="0"/>
          <w:trHeight w:val="915"/>
          <w:tblHeader/>
        </w:trPr>
        <w:tc>
          <w:tcPr>
            <w:cnfStyle w:val="000010000000" w:firstRow="0" w:lastRow="0" w:firstColumn="0" w:lastColumn="0" w:oddVBand="1" w:evenVBand="0" w:oddHBand="0" w:evenHBand="0" w:firstRowFirstColumn="0" w:firstRowLastColumn="0" w:lastRowFirstColumn="0" w:lastRowLastColumn="0"/>
            <w:tcW w:w="709" w:type="dxa"/>
          </w:tcPr>
          <w:p w:rsidR="00BC127B" w:rsidRPr="00A01A35" w:rsidRDefault="00BC127B" w:rsidP="00653FD5">
            <w:pPr>
              <w:pStyle w:val="Tableheadingcentred"/>
              <w:rPr>
                <w:rStyle w:val="Tabletitlebold"/>
                <w:b/>
                <w:bCs/>
              </w:rPr>
            </w:pPr>
          </w:p>
        </w:tc>
        <w:tc>
          <w:tcPr>
            <w:tcW w:w="1418" w:type="dxa"/>
          </w:tcPr>
          <w:p w:rsidR="00BC127B" w:rsidRPr="00A01A35"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rPr>
                <w:rStyle w:val="Tabletitlebold"/>
                <w:b/>
                <w:bCs/>
              </w:rPr>
            </w:pPr>
          </w:p>
        </w:tc>
        <w:tc>
          <w:tcPr>
            <w:cnfStyle w:val="000010000000" w:firstRow="0" w:lastRow="0" w:firstColumn="0" w:lastColumn="0" w:oddVBand="1" w:evenVBand="0" w:oddHBand="0" w:evenHBand="0" w:firstRowFirstColumn="0" w:firstRowLastColumn="0" w:lastRowFirstColumn="0" w:lastRowLastColumn="0"/>
            <w:tcW w:w="3614" w:type="dxa"/>
            <w:gridSpan w:val="4"/>
          </w:tcPr>
          <w:p w:rsidR="00BC127B" w:rsidRPr="006F3804" w:rsidRDefault="00BC127B" w:rsidP="00653FD5">
            <w:pPr>
              <w:pStyle w:val="Tableheadingcentred"/>
            </w:pPr>
            <w:r w:rsidRPr="006F3804">
              <w:t>Northern Hemisphere</w:t>
            </w:r>
          </w:p>
        </w:tc>
        <w:tc>
          <w:tcPr>
            <w:tcW w:w="3615" w:type="dxa"/>
            <w:gridSpan w:val="4"/>
          </w:tcPr>
          <w:p w:rsidR="00BC127B" w:rsidRPr="006F3804"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pPr>
            <w:r w:rsidRPr="006F3804">
              <w:t>Southern Hemisphere</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val="restart"/>
            <w:shd w:val="clear" w:color="auto" w:fill="404040" w:themeFill="text1" w:themeFillTint="BF"/>
            <w:textDirection w:val="btLr"/>
          </w:tcPr>
          <w:p w:rsidR="00BC127B" w:rsidRPr="00C57A6C" w:rsidRDefault="00BC127B" w:rsidP="00375CEA">
            <w:pPr>
              <w:pStyle w:val="Tableheadingcentred"/>
            </w:pPr>
            <w:r w:rsidRPr="00C57A6C">
              <w:t>CMIP5</w:t>
            </w:r>
          </w:p>
        </w:tc>
        <w:tc>
          <w:tcPr>
            <w:tcW w:w="1418"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rStyle w:val="Tabletitlebold"/>
                <w:b w:val="0"/>
                <w:szCs w:val="18"/>
              </w:rPr>
            </w:pPr>
            <w:r w:rsidRPr="000733E9">
              <w:t>Model</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0733E9" w:rsidRDefault="00BC127B" w:rsidP="00375CEA">
            <w:pPr>
              <w:pStyle w:val="Tabletextcentred"/>
            </w:pPr>
            <w:r w:rsidRPr="000733E9">
              <w:t>Historical baseline</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1981-2000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0733E9" w:rsidRDefault="00BC127B" w:rsidP="00375CEA">
            <w:pPr>
              <w:pStyle w:val="Tabletextcentred"/>
            </w:pPr>
            <w:r w:rsidRPr="000733E9">
              <w:t>2050</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2081-2100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Historical baseline</w:t>
            </w:r>
          </w:p>
        </w:tc>
        <w:tc>
          <w:tcPr>
            <w:tcW w:w="903"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1981-2000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2050</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2081-2100</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ACCESS 1.0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20.5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18.8</w:t>
            </w:r>
          </w:p>
        </w:tc>
        <w:tc>
          <w:tcPr>
            <w:tcW w:w="904"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17.7</w:t>
            </w:r>
            <w:r w:rsidRPr="00375CEA">
              <w:br/>
              <w:t>(-13.5%)</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-17.9</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-17.2</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-16.8</w:t>
            </w:r>
            <w:r w:rsidRPr="000733E9">
              <w:br/>
              <w:t>(6.7%)</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CanESM2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17.2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17.3</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17.4</w:t>
            </w:r>
            <w:r w:rsidRPr="000733E9">
              <w:br/>
              <w:t>(1.0%)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-16.2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-17.3</w:t>
            </w:r>
          </w:p>
        </w:tc>
        <w:tc>
          <w:tcPr>
            <w:tcW w:w="904"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-18.1</w:t>
            </w:r>
            <w:r w:rsidRPr="00375CEA">
              <w:br/>
              <w:t>(-11.8%)</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CSIRO Mk3.6.0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21.0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21.1</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21.2</w:t>
            </w:r>
            <w:r w:rsidRPr="000733E9">
              <w:br/>
              <w:t>(1.1%)</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-21.0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-19.3</w:t>
            </w:r>
          </w:p>
        </w:tc>
        <w:tc>
          <w:tcPr>
            <w:tcW w:w="904"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-18.2</w:t>
            </w:r>
            <w:r w:rsidRPr="00375CEA">
              <w:br/>
              <w:t>(13.1%)</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IPSL CM5A-LR</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19.2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19.8</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20.2</w:t>
            </w:r>
            <w:r w:rsidRPr="000733E9">
              <w:br/>
              <w:t>(5.3%)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-22.2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-24.5</w:t>
            </w:r>
          </w:p>
        </w:tc>
        <w:tc>
          <w:tcPr>
            <w:tcW w:w="904"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-26.0</w:t>
            </w:r>
            <w:r w:rsidRPr="00375CEA">
              <w:br/>
              <w:t>(-17.0%)</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Nor ESM1</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14.7</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14.4</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14.2</w:t>
            </w:r>
            <w:r w:rsidRPr="000733E9">
              <w:br/>
              <w:t>(-3.5%)</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-16.0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-15.9</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-15.9</w:t>
            </w:r>
            <w:r w:rsidRPr="000733E9">
              <w:br/>
              <w:t>(0.3%)</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val="restart"/>
            <w:shd w:val="clear" w:color="auto" w:fill="404040" w:themeFill="text1" w:themeFillTint="BF"/>
            <w:textDirection w:val="btLr"/>
          </w:tcPr>
          <w:p w:rsidR="00BC127B" w:rsidRPr="00C57A6C" w:rsidRDefault="00BC127B" w:rsidP="00375CEA">
            <w:pPr>
              <w:pStyle w:val="Tableheadingcentred"/>
            </w:pPr>
            <w:r w:rsidRPr="00C57A6C">
              <w:t>CMIP3</w:t>
            </w: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CSIRO Mk3.5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21.0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20.5</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20.2</w:t>
            </w:r>
            <w:r w:rsidRPr="000733E9">
              <w:br/>
              <w:t>(-3.7%)</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-19.1</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-19.1</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-19.1</w:t>
            </w:r>
            <w:r w:rsidRPr="000733E9">
              <w:br/>
              <w:t>(0.3%)</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ECHAM5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20.0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20.2</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20.3</w:t>
            </w:r>
            <w:r w:rsidRPr="000733E9">
              <w:br/>
              <w:t>(1.4%)</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-19.2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-20.0</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-20.4</w:t>
            </w:r>
            <w:r w:rsidRPr="000733E9">
              <w:br/>
              <w:t>(-6.3%)</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GFDL CM2.0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20.8</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21.8</w:t>
            </w:r>
          </w:p>
        </w:tc>
        <w:tc>
          <w:tcPr>
            <w:tcW w:w="904"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22.5</w:t>
            </w:r>
            <w:r w:rsidRPr="00375CEA">
              <w:br/>
              <w:t>(8.2%)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-21.0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-21.3</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-21.5</w:t>
            </w:r>
            <w:r w:rsidRPr="000733E9">
              <w:br/>
              <w:t>(-2.7%)</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GFDL CM2.1</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20.5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20.7</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20.9</w:t>
            </w:r>
            <w:r w:rsidRPr="000733E9">
              <w:br/>
              <w:t>(2.0%)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-18.5</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-20.9</w:t>
            </w:r>
          </w:p>
        </w:tc>
        <w:tc>
          <w:tcPr>
            <w:tcW w:w="904"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-22.6</w:t>
            </w:r>
            <w:r w:rsidRPr="00375CEA">
              <w:br/>
              <w:t>(-21.7%)</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HadCM3</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19.9</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20.1</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20.3</w:t>
            </w:r>
            <w:r w:rsidRPr="000733E9">
              <w:br/>
              <w:t>(1.9%)</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-18.5</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4"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-21.3</w:t>
            </w:r>
            <w:r w:rsidRPr="00375CEA">
              <w:br/>
              <w:t>(-14.8%)</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MIROC 3.2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23.0</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20.5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19.9</w:t>
            </w:r>
          </w:p>
        </w:tc>
        <w:tc>
          <w:tcPr>
            <w:tcW w:w="904"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19.5</w:t>
            </w:r>
            <w:r w:rsidRPr="00375CEA">
              <w:br/>
              <w:t>(-5.0%)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-20.2</w:t>
            </w:r>
          </w:p>
        </w:tc>
        <w:tc>
          <w:tcPr>
            <w:tcW w:w="903"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-19.0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375CEA" w:rsidRDefault="00BC127B" w:rsidP="00375CEA">
            <w:pPr>
              <w:pStyle w:val="Tabletextcentred"/>
            </w:pPr>
            <w:r w:rsidRPr="00375CEA">
              <w:t>-20.7</w:t>
            </w:r>
          </w:p>
        </w:tc>
        <w:tc>
          <w:tcPr>
            <w:tcW w:w="904"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-21.8</w:t>
            </w:r>
            <w:r w:rsidRPr="00375CEA">
              <w:br/>
              <w:t>(-14.7%)</w:t>
            </w:r>
          </w:p>
        </w:tc>
      </w:tr>
    </w:tbl>
    <w:p w:rsidR="00BC127B" w:rsidRPr="00491481" w:rsidRDefault="00BC127B" w:rsidP="00DE0A84">
      <w:pPr>
        <w:pStyle w:val="Tabletitle"/>
      </w:pPr>
      <w:r w:rsidRPr="000733E9">
        <w:br w:type="page"/>
      </w:r>
      <w:r w:rsidRPr="00491481">
        <w:lastRenderedPageBreak/>
        <w:t xml:space="preserve">Table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4</w:t>
      </w:r>
      <w:r w:rsidR="006A5281">
        <w:rPr>
          <w:noProof/>
        </w:rPr>
        <w:fldChar w:fldCharType="end"/>
      </w:r>
      <w:r w:rsidRPr="00491481">
        <w:t xml:space="preserve"> As for Table </w:t>
      </w:r>
      <w:r w:rsidR="009533A5">
        <w:t>5.1</w:t>
      </w:r>
      <w:r w:rsidRPr="00491481">
        <w:t>, but for mean latitude of peak intensity (minimum central pressure).</w:t>
      </w:r>
    </w:p>
    <w:tbl>
      <w:tblPr>
        <w:tblStyle w:val="TableGAHeaderRow"/>
        <w:tblW w:w="9356" w:type="dxa"/>
        <w:tblLayout w:type="fixed"/>
        <w:tblLook w:val="01E0" w:firstRow="1" w:lastRow="1" w:firstColumn="1" w:lastColumn="1" w:noHBand="0" w:noVBand="0"/>
        <w:tblDescription w:val="Due to the complexity of this figure no alternative description has been provided. Please email Geoscience Australia at clientservices@ga.gov.au for an alternate description."/>
      </w:tblPr>
      <w:tblGrid>
        <w:gridCol w:w="709"/>
        <w:gridCol w:w="1418"/>
        <w:gridCol w:w="903"/>
        <w:gridCol w:w="904"/>
        <w:gridCol w:w="903"/>
        <w:gridCol w:w="904"/>
        <w:gridCol w:w="904"/>
        <w:gridCol w:w="903"/>
        <w:gridCol w:w="904"/>
        <w:gridCol w:w="904"/>
      </w:tblGrid>
      <w:tr w:rsidR="00BC127B" w:rsidRPr="00653FD5" w:rsidTr="0004154D">
        <w:trPr>
          <w:cnfStyle w:val="100000000000" w:firstRow="1" w:lastRow="0" w:firstColumn="0" w:lastColumn="0" w:oddVBand="0" w:evenVBand="0" w:oddHBand="0" w:evenHBand="0" w:firstRowFirstColumn="0" w:firstRowLastColumn="0" w:lastRowFirstColumn="0" w:lastRowLastColumn="0"/>
          <w:trHeight w:val="915"/>
          <w:tblHeader/>
        </w:trPr>
        <w:tc>
          <w:tcPr>
            <w:cnfStyle w:val="000010000000" w:firstRow="0" w:lastRow="0" w:firstColumn="0" w:lastColumn="0" w:oddVBand="1" w:evenVBand="0" w:oddHBand="0" w:evenHBand="0" w:firstRowFirstColumn="0" w:firstRowLastColumn="0" w:lastRowFirstColumn="0" w:lastRowLastColumn="0"/>
            <w:tcW w:w="709" w:type="dxa"/>
          </w:tcPr>
          <w:p w:rsidR="00BC127B" w:rsidRPr="00653FD5" w:rsidRDefault="00BC127B" w:rsidP="00653FD5">
            <w:pPr>
              <w:pStyle w:val="Tableheadingcentred"/>
              <w:rPr>
                <w:rStyle w:val="Tabletitlebold"/>
                <w:b/>
              </w:rPr>
            </w:pPr>
          </w:p>
        </w:tc>
        <w:tc>
          <w:tcPr>
            <w:tcW w:w="1418" w:type="dxa"/>
          </w:tcPr>
          <w:p w:rsidR="00BC127B" w:rsidRPr="00653FD5"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rPr>
                <w:rStyle w:val="Tabletitlebold"/>
                <w:b/>
              </w:rPr>
            </w:pPr>
          </w:p>
        </w:tc>
        <w:tc>
          <w:tcPr>
            <w:cnfStyle w:val="000010000000" w:firstRow="0" w:lastRow="0" w:firstColumn="0" w:lastColumn="0" w:oddVBand="1" w:evenVBand="0" w:oddHBand="0" w:evenHBand="0" w:firstRowFirstColumn="0" w:firstRowLastColumn="0" w:lastRowFirstColumn="0" w:lastRowLastColumn="0"/>
            <w:tcW w:w="3614" w:type="dxa"/>
            <w:gridSpan w:val="4"/>
          </w:tcPr>
          <w:p w:rsidR="00BC127B" w:rsidRPr="00653FD5" w:rsidRDefault="00BC127B" w:rsidP="00653FD5">
            <w:pPr>
              <w:pStyle w:val="Tableheadingcentred"/>
            </w:pPr>
            <w:r w:rsidRPr="00653FD5">
              <w:t>Northern Hemisphere</w:t>
            </w:r>
          </w:p>
        </w:tc>
        <w:tc>
          <w:tcPr>
            <w:tcW w:w="3615" w:type="dxa"/>
            <w:gridSpan w:val="4"/>
          </w:tcPr>
          <w:p w:rsidR="00BC127B" w:rsidRPr="00653FD5"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pPr>
            <w:r w:rsidRPr="00653FD5">
              <w:t>Southern Hemisphere</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val="restart"/>
            <w:shd w:val="clear" w:color="auto" w:fill="404040" w:themeFill="text1" w:themeFillTint="BF"/>
            <w:textDirection w:val="btLr"/>
          </w:tcPr>
          <w:p w:rsidR="00BC127B" w:rsidRPr="00C57A6C" w:rsidRDefault="00BC127B" w:rsidP="00375CEA">
            <w:pPr>
              <w:pStyle w:val="Tableheadingcentred"/>
            </w:pPr>
            <w:r w:rsidRPr="00C57A6C">
              <w:t>CMIP5</w:t>
            </w:r>
          </w:p>
        </w:tc>
        <w:tc>
          <w:tcPr>
            <w:tcW w:w="1418"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rStyle w:val="Tabletitlebold"/>
                <w:b w:val="0"/>
                <w:szCs w:val="18"/>
              </w:rPr>
            </w:pPr>
            <w:r w:rsidRPr="000733E9">
              <w:t>Model</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0733E9" w:rsidRDefault="00BC127B" w:rsidP="00375CEA">
            <w:pPr>
              <w:pStyle w:val="Tabletextcentred"/>
            </w:pPr>
            <w:r w:rsidRPr="000733E9">
              <w:t>Historical baseline</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1981-2000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0733E9" w:rsidRDefault="00BC127B" w:rsidP="00375CEA">
            <w:pPr>
              <w:pStyle w:val="Tabletextcentred"/>
            </w:pPr>
            <w:r w:rsidRPr="000733E9">
              <w:t>2050</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2081-2100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Historical baseline</w:t>
            </w:r>
          </w:p>
        </w:tc>
        <w:tc>
          <w:tcPr>
            <w:tcW w:w="903"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1981-2000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2050</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2081-2100</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ACCESS 1.0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21.1</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19.4</w:t>
            </w:r>
          </w:p>
        </w:tc>
        <w:tc>
          <w:tcPr>
            <w:tcW w:w="904"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18.2</w:t>
            </w:r>
            <w:r w:rsidRPr="00375CEA">
              <w:br/>
              <w:t>(-13.7%)</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-18.4</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-17.6</w:t>
            </w:r>
          </w:p>
        </w:tc>
        <w:tc>
          <w:tcPr>
            <w:tcW w:w="904"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-17.1</w:t>
            </w:r>
            <w:r w:rsidR="006F3804">
              <w:br/>
            </w:r>
            <w:r w:rsidRPr="000733E9">
              <w:t>(7.0%)</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CanESM2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17.5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17.5</w:t>
            </w:r>
          </w:p>
        </w:tc>
        <w:tc>
          <w:tcPr>
            <w:tcW w:w="904"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17.6</w:t>
            </w:r>
            <w:r w:rsidRPr="000733E9">
              <w:br/>
              <w:t>(0.5%)</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-16.2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-17.4</w:t>
            </w:r>
          </w:p>
        </w:tc>
        <w:tc>
          <w:tcPr>
            <w:tcW w:w="904"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-18.2</w:t>
            </w:r>
            <w:r w:rsidR="006F3804">
              <w:br/>
            </w:r>
            <w:r w:rsidRPr="00375CEA">
              <w:t>(-12.3%)</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CSIRO Mk3.6.0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21.3</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21.8</w:t>
            </w:r>
          </w:p>
        </w:tc>
        <w:tc>
          <w:tcPr>
            <w:tcW w:w="904"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22.2</w:t>
            </w:r>
            <w:r w:rsidR="006F3804">
              <w:br/>
            </w:r>
            <w:r w:rsidRPr="000733E9">
              <w:t>(3.5%)</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-21.2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-19.5</w:t>
            </w:r>
          </w:p>
        </w:tc>
        <w:tc>
          <w:tcPr>
            <w:tcW w:w="904" w:type="dxa"/>
          </w:tcPr>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-18.4</w:t>
            </w:r>
            <w:r w:rsidR="006F3804">
              <w:br/>
            </w:r>
            <w:r w:rsidRPr="00375CEA">
              <w:t>(12.9%)</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IPSL CM5A-LR</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19.5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20.2</w:t>
            </w:r>
          </w:p>
        </w:tc>
        <w:tc>
          <w:tcPr>
            <w:tcW w:w="904"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20.7</w:t>
            </w:r>
            <w:r w:rsidRPr="00375CEA">
              <w:br/>
              <w:t>(6.4%)</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-23.0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-24.8</w:t>
            </w:r>
          </w:p>
        </w:tc>
        <w:tc>
          <w:tcPr>
            <w:tcW w:w="904"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-25.9</w:t>
            </w:r>
            <w:r w:rsidR="006F3804">
              <w:br/>
            </w:r>
            <w:r w:rsidRPr="000733E9">
              <w:t>(-12/6%)</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75CEA">
            <w:pPr>
              <w:pStyle w:val="Tableheadingcentred"/>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Nor ESM1</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14.9</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14.9</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14.8</w:t>
            </w:r>
            <w:r w:rsidRPr="000733E9">
              <w:br/>
              <w:t>(--0.4%)</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-16.2</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-16.1</w:t>
            </w:r>
          </w:p>
        </w:tc>
        <w:tc>
          <w:tcPr>
            <w:tcW w:w="904"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-16.0</w:t>
            </w:r>
            <w:r w:rsidR="006F3804">
              <w:br/>
            </w:r>
            <w:r w:rsidRPr="000733E9">
              <w:t>(1.0%)</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val="restart"/>
            <w:shd w:val="clear" w:color="auto" w:fill="404040" w:themeFill="text1" w:themeFillTint="BF"/>
            <w:textDirection w:val="btLr"/>
          </w:tcPr>
          <w:p w:rsidR="00BC127B" w:rsidRPr="00C57A6C" w:rsidRDefault="00BC127B" w:rsidP="00375CEA">
            <w:pPr>
              <w:pStyle w:val="Tableheadingcentred"/>
            </w:pPr>
            <w:r w:rsidRPr="00C57A6C">
              <w:t>CMIP3</w:t>
            </w: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CSIRO Mk3.5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21.1</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20.9</w:t>
            </w:r>
          </w:p>
        </w:tc>
        <w:tc>
          <w:tcPr>
            <w:tcW w:w="904"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20.7</w:t>
            </w:r>
            <w:r w:rsidR="006F3804">
              <w:br/>
            </w:r>
            <w:r w:rsidRPr="000733E9">
              <w:t>(-2.1)</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-19.3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-19.2</w:t>
            </w:r>
          </w:p>
        </w:tc>
        <w:tc>
          <w:tcPr>
            <w:tcW w:w="904"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-19.1</w:t>
            </w:r>
            <w:r w:rsidR="006F3804">
              <w:br/>
            </w:r>
            <w:r w:rsidRPr="000733E9">
              <w:t>(1.0%)</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ECHAM5</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20.2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20.3</w:t>
            </w:r>
          </w:p>
        </w:tc>
        <w:tc>
          <w:tcPr>
            <w:tcW w:w="904"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20.4</w:t>
            </w:r>
            <w:r w:rsidRPr="000733E9">
              <w:br/>
              <w:t>(0.8%)</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-19.3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-20.3</w:t>
            </w:r>
          </w:p>
        </w:tc>
        <w:tc>
          <w:tcPr>
            <w:tcW w:w="904" w:type="dxa"/>
          </w:tcPr>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-20.9</w:t>
            </w:r>
            <w:r w:rsidR="006F3804">
              <w:br/>
            </w:r>
            <w:r w:rsidRPr="00375CEA">
              <w:t>(-8.4%)</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GFDL CM2.0</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20.9</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22.0</w:t>
            </w:r>
          </w:p>
        </w:tc>
        <w:tc>
          <w:tcPr>
            <w:tcW w:w="904"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22.8</w:t>
            </w:r>
            <w:r w:rsidR="006F3804">
              <w:br/>
            </w:r>
            <w:r w:rsidRPr="00375CEA">
              <w:t>(9.0%)</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-21.1</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-21.5</w:t>
            </w:r>
          </w:p>
        </w:tc>
        <w:tc>
          <w:tcPr>
            <w:tcW w:w="904"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-21.8</w:t>
            </w:r>
            <w:r w:rsidR="006F3804">
              <w:br/>
            </w:r>
            <w:r w:rsidRPr="000733E9">
              <w:t>(-3.6%)</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GFDL CM2.1</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20.7</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21.1</w:t>
            </w:r>
          </w:p>
        </w:tc>
        <w:tc>
          <w:tcPr>
            <w:tcW w:w="904"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21.3</w:t>
            </w:r>
            <w:r w:rsidR="006F3804">
              <w:br/>
            </w:r>
            <w:r w:rsidRPr="000733E9">
              <w:t>(3.3%)</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-18.9</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-21.4</w:t>
            </w:r>
          </w:p>
        </w:tc>
        <w:tc>
          <w:tcPr>
            <w:tcW w:w="904"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-23.0</w:t>
            </w:r>
            <w:r w:rsidR="006F3804">
              <w:br/>
            </w:r>
            <w:r w:rsidRPr="00375CEA">
              <w:t>(-21.5%)</w:t>
            </w:r>
          </w:p>
        </w:tc>
      </w:tr>
      <w:tr w:rsidR="00BC127B"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HadCM3</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20.1</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20.3</w:t>
            </w:r>
          </w:p>
        </w:tc>
        <w:tc>
          <w:tcPr>
            <w:tcW w:w="904"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20.4</w:t>
            </w:r>
            <w:r w:rsidR="006F3804">
              <w:br/>
            </w:r>
            <w:r w:rsidRPr="000733E9">
              <w:t>(1.8%)</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-18.6</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-20.3</w:t>
            </w:r>
          </w:p>
        </w:tc>
        <w:tc>
          <w:tcPr>
            <w:tcW w:w="904"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-21.4</w:t>
            </w:r>
            <w:r w:rsidR="006F3804">
              <w:br/>
            </w:r>
            <w:r w:rsidRPr="00375CEA">
              <w:t>(-15.4%)</w:t>
            </w:r>
          </w:p>
        </w:tc>
      </w:tr>
      <w:tr w:rsidR="00BC127B"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709" w:type="dxa"/>
            <w:vMerge/>
            <w:shd w:val="clear" w:color="auto" w:fill="404040" w:themeFill="text1" w:themeFillTint="BF"/>
          </w:tcPr>
          <w:p w:rsidR="00BC127B" w:rsidRPr="00C57A6C" w:rsidRDefault="00BC127B" w:rsidP="003954B6">
            <w:pPr>
              <w:pStyle w:val="BodyText"/>
              <w:keepLines/>
              <w:rPr>
                <w:b/>
                <w:color w:val="FFFFFF"/>
              </w:rPr>
            </w:pPr>
          </w:p>
        </w:tc>
        <w:tc>
          <w:tcPr>
            <w:tcW w:w="141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MIROC 3.2</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23.4</w:t>
            </w:r>
          </w:p>
        </w:tc>
        <w:tc>
          <w:tcPr>
            <w:tcW w:w="9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20.8</w:t>
            </w:r>
          </w:p>
        </w:tc>
        <w:tc>
          <w:tcPr>
            <w:cnfStyle w:val="000010000000" w:firstRow="0" w:lastRow="0" w:firstColumn="0" w:lastColumn="0" w:oddVBand="1" w:evenVBand="0" w:oddHBand="0" w:evenHBand="0" w:firstRowFirstColumn="0" w:firstRowLastColumn="0" w:lastRowFirstColumn="0" w:lastRowLastColumn="0"/>
            <w:tcW w:w="903" w:type="dxa"/>
          </w:tcPr>
          <w:p w:rsidR="00BC127B" w:rsidRPr="00375CEA" w:rsidRDefault="00BC127B" w:rsidP="00375CEA">
            <w:pPr>
              <w:pStyle w:val="Tabletextcentred"/>
            </w:pPr>
            <w:r w:rsidRPr="00375CEA">
              <w:t>20.1</w:t>
            </w:r>
          </w:p>
        </w:tc>
        <w:tc>
          <w:tcPr>
            <w:tcW w:w="904" w:type="dxa"/>
          </w:tcPr>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19.6</w:t>
            </w:r>
            <w:r w:rsidR="006F3804">
              <w:br/>
            </w:r>
            <w:r w:rsidRPr="00375CEA">
              <w:t>(5.6%)</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-19.3</w:t>
            </w:r>
          </w:p>
        </w:tc>
        <w:tc>
          <w:tcPr>
            <w:tcW w:w="903"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-19.1</w:t>
            </w:r>
          </w:p>
        </w:tc>
        <w:tc>
          <w:tcPr>
            <w:cnfStyle w:val="000010000000" w:firstRow="0" w:lastRow="0" w:firstColumn="0" w:lastColumn="0" w:oddVBand="1" w:evenVBand="0" w:oddHBand="0" w:evenHBand="0" w:firstRowFirstColumn="0" w:firstRowLastColumn="0" w:lastRowFirstColumn="0" w:lastRowLastColumn="0"/>
            <w:tcW w:w="904" w:type="dxa"/>
          </w:tcPr>
          <w:p w:rsidR="00BC127B" w:rsidRPr="000733E9" w:rsidRDefault="00BC127B" w:rsidP="00375CEA">
            <w:pPr>
              <w:pStyle w:val="Tabletextcentred"/>
            </w:pPr>
            <w:r w:rsidRPr="000733E9">
              <w:t>-20.5</w:t>
            </w:r>
          </w:p>
        </w:tc>
        <w:tc>
          <w:tcPr>
            <w:tcW w:w="904"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-21.5</w:t>
            </w:r>
            <w:r w:rsidR="006F3804">
              <w:br/>
            </w:r>
            <w:r w:rsidRPr="00375CEA">
              <w:t>(-12.5%)</w:t>
            </w:r>
          </w:p>
        </w:tc>
      </w:tr>
    </w:tbl>
    <w:p w:rsidR="00BC127B" w:rsidRPr="00491481" w:rsidRDefault="00BC127B" w:rsidP="00DE0A84">
      <w:pPr>
        <w:pStyle w:val="Tabletitle"/>
      </w:pPr>
      <w:r w:rsidRPr="006F3804">
        <w:rPr>
          <w:rStyle w:val="BibliographicrefChar"/>
        </w:rPr>
        <w:br w:type="page"/>
      </w:r>
      <w:r w:rsidRPr="00491481">
        <w:lastRenderedPageBreak/>
        <w:t xml:space="preserve">Table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5</w:t>
      </w:r>
      <w:r w:rsidR="006A5281">
        <w:rPr>
          <w:noProof/>
        </w:rPr>
        <w:fldChar w:fldCharType="end"/>
      </w:r>
      <w:r w:rsidRPr="00491481">
        <w:t xml:space="preserve"> As for Table </w:t>
      </w:r>
      <w:r w:rsidR="009533A5">
        <w:t>5.1</w:t>
      </w:r>
      <w:r w:rsidRPr="00491481">
        <w:t>, but for mean maximum sustained wind speed (m/s).</w:t>
      </w:r>
    </w:p>
    <w:tbl>
      <w:tblPr>
        <w:tblStyle w:val="TableGAHeaderRow"/>
        <w:tblW w:w="0" w:type="auto"/>
        <w:tblLook w:val="01E0" w:firstRow="1" w:lastRow="1" w:firstColumn="1" w:lastColumn="1" w:noHBand="0" w:noVBand="0"/>
        <w:tblDescription w:val="Due to the complexity of this figure no alternative description has been provided. Please email Geoscience Australia at clientservices@ga.gov.au for an alternate description."/>
      </w:tblPr>
      <w:tblGrid>
        <w:gridCol w:w="850"/>
        <w:gridCol w:w="1510"/>
        <w:gridCol w:w="916"/>
        <w:gridCol w:w="817"/>
        <w:gridCol w:w="795"/>
        <w:gridCol w:w="856"/>
        <w:gridCol w:w="916"/>
        <w:gridCol w:w="817"/>
        <w:gridCol w:w="795"/>
        <w:gridCol w:w="856"/>
      </w:tblGrid>
      <w:tr w:rsidR="00BC127B" w:rsidRPr="00A01A35" w:rsidTr="0004154D">
        <w:trPr>
          <w:cnfStyle w:val="100000000000" w:firstRow="1" w:lastRow="0" w:firstColumn="0" w:lastColumn="0" w:oddVBand="0" w:evenVBand="0" w:oddHBand="0" w:evenHBand="0" w:firstRowFirstColumn="0" w:firstRowLastColumn="0" w:lastRowFirstColumn="0" w:lastRowLastColumn="0"/>
          <w:trHeight w:val="915"/>
          <w:tblHeader/>
        </w:trPr>
        <w:tc>
          <w:tcPr>
            <w:cnfStyle w:val="000010000000" w:firstRow="0" w:lastRow="0" w:firstColumn="0" w:lastColumn="0" w:oddVBand="1" w:evenVBand="0" w:oddHBand="0" w:evenHBand="0" w:firstRowFirstColumn="0" w:firstRowLastColumn="0" w:lastRowFirstColumn="0" w:lastRowLastColumn="0"/>
            <w:tcW w:w="851" w:type="dxa"/>
          </w:tcPr>
          <w:p w:rsidR="00BC127B" w:rsidRPr="00A01A35" w:rsidRDefault="00BC127B" w:rsidP="00653FD5">
            <w:pPr>
              <w:pStyle w:val="Tableheadingcentred"/>
              <w:rPr>
                <w:rStyle w:val="Tabletitlebold"/>
                <w:b/>
                <w:bCs/>
              </w:rPr>
            </w:pPr>
          </w:p>
        </w:tc>
        <w:tc>
          <w:tcPr>
            <w:tcW w:w="1510" w:type="dxa"/>
          </w:tcPr>
          <w:p w:rsidR="00BC127B" w:rsidRPr="00A01A35"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rPr>
                <w:rStyle w:val="Tabletitlebold"/>
                <w:b/>
                <w:bCs/>
              </w:rPr>
            </w:pPr>
          </w:p>
        </w:tc>
        <w:tc>
          <w:tcPr>
            <w:cnfStyle w:val="000010000000" w:firstRow="0" w:lastRow="0" w:firstColumn="0" w:lastColumn="0" w:oddVBand="1" w:evenVBand="0" w:oddHBand="0" w:evenHBand="0" w:firstRowFirstColumn="0" w:firstRowLastColumn="0" w:lastRowFirstColumn="0" w:lastRowLastColumn="0"/>
            <w:tcW w:w="3384" w:type="dxa"/>
            <w:gridSpan w:val="4"/>
          </w:tcPr>
          <w:p w:rsidR="00BC127B" w:rsidRPr="006F3804" w:rsidRDefault="00BC127B" w:rsidP="00653FD5">
            <w:pPr>
              <w:pStyle w:val="Tableheadingcentred"/>
            </w:pPr>
            <w:r w:rsidRPr="006F3804">
              <w:t>Northern Hemisphere</w:t>
            </w:r>
          </w:p>
        </w:tc>
        <w:tc>
          <w:tcPr>
            <w:tcW w:w="3384" w:type="dxa"/>
            <w:gridSpan w:val="4"/>
          </w:tcPr>
          <w:p w:rsidR="00BC127B" w:rsidRPr="006F3804"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pPr>
            <w:r w:rsidRPr="006F3804">
              <w:t>Southern Hemisphere</w:t>
            </w:r>
          </w:p>
        </w:tc>
      </w:tr>
      <w:tr w:rsidR="006F3804"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404040" w:themeFill="text1" w:themeFillTint="BF"/>
            <w:textDirection w:val="btLr"/>
          </w:tcPr>
          <w:p w:rsidR="00BC127B" w:rsidRPr="00C57A6C" w:rsidRDefault="00BC127B" w:rsidP="00375CEA">
            <w:pPr>
              <w:pStyle w:val="Tableheadingcentred"/>
            </w:pPr>
            <w:r w:rsidRPr="00C57A6C">
              <w:t>CMIP5</w:t>
            </w:r>
          </w:p>
        </w:tc>
        <w:tc>
          <w:tcPr>
            <w:tcW w:w="1510"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rStyle w:val="Tabletitlebold"/>
                <w:b w:val="0"/>
                <w:szCs w:val="18"/>
              </w:rPr>
            </w:pPr>
            <w:r w:rsidRPr="000733E9">
              <w:t>Model</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Historical baseline</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1981-2000</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2050</w:t>
            </w:r>
          </w:p>
        </w:tc>
        <w:tc>
          <w:tcPr>
            <w:tcW w:w="856"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2081-2100</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Historical baseline</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1981-2000</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2050</w:t>
            </w:r>
          </w:p>
        </w:tc>
        <w:tc>
          <w:tcPr>
            <w:tcW w:w="856"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2081-2100</w:t>
            </w:r>
          </w:p>
        </w:tc>
      </w:tr>
      <w:tr w:rsidR="006F3804"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75CEA">
            <w:pPr>
              <w:pStyle w:val="Tableheadingcentred"/>
            </w:pPr>
          </w:p>
        </w:tc>
        <w:tc>
          <w:tcPr>
            <w:tcW w:w="1510"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ACCESS 1.0</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41.1</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37.9</w:t>
            </w:r>
          </w:p>
        </w:tc>
        <w:tc>
          <w:tcPr>
            <w:tcW w:w="856"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35.8</w:t>
            </w:r>
            <w:r w:rsidR="006F3804">
              <w:br/>
            </w:r>
            <w:r w:rsidRPr="00375CEA">
              <w:t>(-13.1%)</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38.0</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36.4</w:t>
            </w:r>
          </w:p>
        </w:tc>
        <w:tc>
          <w:tcPr>
            <w:tcW w:w="856" w:type="dxa"/>
          </w:tcPr>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35.27</w:t>
            </w:r>
            <w:r w:rsidR="006F3804">
              <w:br/>
            </w:r>
            <w:r w:rsidRPr="00375CEA">
              <w:t>(-7.3%)</w:t>
            </w:r>
          </w:p>
        </w:tc>
      </w:tr>
      <w:tr w:rsidR="006F3804"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75CEA">
            <w:pPr>
              <w:pStyle w:val="Tableheadingcentred"/>
            </w:pPr>
          </w:p>
        </w:tc>
        <w:tc>
          <w:tcPr>
            <w:tcW w:w="1510"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CanESM2</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41.2</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42.7</w:t>
            </w:r>
          </w:p>
        </w:tc>
        <w:tc>
          <w:tcPr>
            <w:tcW w:w="856"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 xml:space="preserve">43.6 </w:t>
            </w:r>
            <w:r w:rsidR="006F3804">
              <w:br/>
            </w:r>
            <w:r w:rsidRPr="00375CEA">
              <w:t>(5.7%)</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39.3</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40.4</w:t>
            </w:r>
          </w:p>
        </w:tc>
        <w:tc>
          <w:tcPr>
            <w:tcW w:w="856"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40.8</w:t>
            </w:r>
            <w:r w:rsidR="006F3804">
              <w:br/>
            </w:r>
            <w:r w:rsidRPr="000733E9">
              <w:t>(3.7%)</w:t>
            </w:r>
          </w:p>
        </w:tc>
      </w:tr>
      <w:tr w:rsidR="006F3804"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75CEA">
            <w:pPr>
              <w:pStyle w:val="Tableheadingcentred"/>
            </w:pPr>
          </w:p>
        </w:tc>
        <w:tc>
          <w:tcPr>
            <w:tcW w:w="1510"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CSIRO Mk3.6.0</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41.1</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41.4</w:t>
            </w:r>
          </w:p>
        </w:tc>
        <w:tc>
          <w:tcPr>
            <w:tcW w:w="856"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41.7</w:t>
            </w:r>
            <w:r w:rsidR="006F3804">
              <w:br/>
            </w:r>
            <w:r w:rsidRPr="000733E9">
              <w:t>(1.4%)</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40.9</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40.4</w:t>
            </w:r>
          </w:p>
        </w:tc>
        <w:tc>
          <w:tcPr>
            <w:tcW w:w="856"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40.0</w:t>
            </w:r>
            <w:r w:rsidR="006F3804">
              <w:br/>
            </w:r>
            <w:r w:rsidRPr="000733E9">
              <w:t>(-2.3%)</w:t>
            </w:r>
          </w:p>
        </w:tc>
      </w:tr>
      <w:tr w:rsidR="006F3804"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75CEA">
            <w:pPr>
              <w:pStyle w:val="Tableheadingcentred"/>
            </w:pPr>
          </w:p>
        </w:tc>
        <w:tc>
          <w:tcPr>
            <w:tcW w:w="1510"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IPSL CM5A-LR</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43.4</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43.7</w:t>
            </w:r>
          </w:p>
        </w:tc>
        <w:tc>
          <w:tcPr>
            <w:tcW w:w="856"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rPr>
                <w:b/>
              </w:rPr>
            </w:pPr>
            <w:r w:rsidRPr="000733E9">
              <w:t>43.4</w:t>
            </w:r>
            <w:r w:rsidR="006F3804">
              <w:br/>
            </w:r>
            <w:r w:rsidRPr="000733E9">
              <w:t>(1.3%)</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38.8</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40.8</w:t>
            </w:r>
          </w:p>
        </w:tc>
        <w:tc>
          <w:tcPr>
            <w:tcW w:w="856"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42.1</w:t>
            </w:r>
            <w:r w:rsidR="006F3804">
              <w:br/>
            </w:r>
            <w:r w:rsidRPr="000733E9">
              <w:t>(8.6%)</w:t>
            </w:r>
          </w:p>
        </w:tc>
      </w:tr>
      <w:tr w:rsidR="006F3804"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75CEA">
            <w:pPr>
              <w:pStyle w:val="Tableheadingcentred"/>
            </w:pPr>
          </w:p>
        </w:tc>
        <w:tc>
          <w:tcPr>
            <w:tcW w:w="1510"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Nor ESM1</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39.0</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34.7</w:t>
            </w:r>
          </w:p>
        </w:tc>
        <w:tc>
          <w:tcPr>
            <w:tcW w:w="856" w:type="dxa"/>
          </w:tcPr>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31.9</w:t>
            </w:r>
            <w:r w:rsidR="006F3804">
              <w:br/>
            </w:r>
            <w:r w:rsidRPr="00375CEA">
              <w:t>(-18.1%)</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35.5</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31.5</w:t>
            </w:r>
          </w:p>
        </w:tc>
        <w:tc>
          <w:tcPr>
            <w:tcW w:w="856" w:type="dxa"/>
          </w:tcPr>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28.9</w:t>
            </w:r>
            <w:r w:rsidR="006F3804">
              <w:br/>
            </w:r>
            <w:r w:rsidRPr="00375CEA">
              <w:t>(-18.5%)</w:t>
            </w:r>
          </w:p>
        </w:tc>
      </w:tr>
      <w:tr w:rsidR="006F3804"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404040" w:themeFill="text1" w:themeFillTint="BF"/>
            <w:textDirection w:val="btLr"/>
          </w:tcPr>
          <w:p w:rsidR="00BC127B" w:rsidRPr="00C57A6C" w:rsidRDefault="00BC127B" w:rsidP="00375CEA">
            <w:pPr>
              <w:pStyle w:val="Tableheadingcentred"/>
            </w:pPr>
            <w:r w:rsidRPr="00C57A6C">
              <w:t>CMIP3</w:t>
            </w:r>
          </w:p>
        </w:tc>
        <w:tc>
          <w:tcPr>
            <w:tcW w:w="1510"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CSIRO Mk3.5</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36.2</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37.7</w:t>
            </w:r>
          </w:p>
        </w:tc>
        <w:tc>
          <w:tcPr>
            <w:tcW w:w="856"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rPr>
                <w:b/>
              </w:rPr>
            </w:pPr>
            <w:r w:rsidRPr="000733E9">
              <w:t>37.8</w:t>
            </w:r>
            <w:r w:rsidR="006F3804">
              <w:br/>
            </w:r>
            <w:r w:rsidRPr="000733E9">
              <w:t>(4.3%)</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31.5</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32.5</w:t>
            </w:r>
          </w:p>
        </w:tc>
        <w:tc>
          <w:tcPr>
            <w:tcW w:w="856"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33.1</w:t>
            </w:r>
            <w:r w:rsidR="006F3804">
              <w:br/>
            </w:r>
            <w:r w:rsidRPr="000733E9">
              <w:t>(5.3%)</w:t>
            </w:r>
          </w:p>
        </w:tc>
      </w:tr>
      <w:tr w:rsidR="006F3804" w:rsidRPr="00375CEA"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510"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ECHAM5</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40.0</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41.0</w:t>
            </w:r>
          </w:p>
        </w:tc>
        <w:tc>
          <w:tcPr>
            <w:tcW w:w="856"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rPr>
                <w:b/>
              </w:rPr>
            </w:pPr>
            <w:r w:rsidRPr="000733E9">
              <w:t>41.7</w:t>
            </w:r>
            <w:r w:rsidR="006F3804">
              <w:br/>
            </w:r>
            <w:r w:rsidRPr="000733E9">
              <w:t>(4.3%)</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35.7</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32.3</w:t>
            </w:r>
          </w:p>
        </w:tc>
        <w:tc>
          <w:tcPr>
            <w:tcW w:w="856"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30.0</w:t>
            </w:r>
            <w:r w:rsidR="006F3804">
              <w:br/>
            </w:r>
            <w:r w:rsidRPr="00375CEA">
              <w:t>(-15.8%)</w:t>
            </w:r>
          </w:p>
        </w:tc>
      </w:tr>
      <w:tr w:rsidR="006F3804"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510"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GFDL CM2.0</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34.3</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35.8</w:t>
            </w:r>
          </w:p>
        </w:tc>
        <w:tc>
          <w:tcPr>
            <w:tcW w:w="856"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rPr>
                <w:b/>
              </w:rPr>
            </w:pPr>
            <w:r w:rsidRPr="000733E9">
              <w:t>36.7</w:t>
            </w:r>
            <w:r w:rsidR="006F3804">
              <w:br/>
            </w:r>
            <w:r w:rsidRPr="000733E9">
              <w:t>(7.0%)</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29.8</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28.8</w:t>
            </w:r>
          </w:p>
        </w:tc>
        <w:tc>
          <w:tcPr>
            <w:tcW w:w="856"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28.15</w:t>
            </w:r>
            <w:r w:rsidR="006F3804">
              <w:br/>
            </w:r>
            <w:r w:rsidRPr="000733E9">
              <w:t>(-5.7%)</w:t>
            </w:r>
          </w:p>
        </w:tc>
      </w:tr>
      <w:tr w:rsidR="006F3804"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510"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GFDL CM2.1</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35.4</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33.7</w:t>
            </w:r>
          </w:p>
        </w:tc>
        <w:tc>
          <w:tcPr>
            <w:tcW w:w="856"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rPr>
                <w:b/>
              </w:rPr>
            </w:pPr>
            <w:r w:rsidRPr="000733E9">
              <w:t>32.6</w:t>
            </w:r>
            <w:r w:rsidR="006F3804">
              <w:br/>
            </w:r>
            <w:r w:rsidRPr="000733E9">
              <w:t>(-7.9%)</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27.5</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26.6</w:t>
            </w:r>
          </w:p>
        </w:tc>
        <w:tc>
          <w:tcPr>
            <w:tcW w:w="856"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26.0</w:t>
            </w:r>
            <w:r w:rsidR="006F3804">
              <w:br/>
            </w:r>
            <w:r w:rsidRPr="000733E9">
              <w:t>(-5.7%)</w:t>
            </w:r>
          </w:p>
        </w:tc>
      </w:tr>
      <w:tr w:rsidR="006F3804"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510"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HadCM3</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39.8</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40.0</w:t>
            </w:r>
          </w:p>
        </w:tc>
        <w:tc>
          <w:tcPr>
            <w:tcW w:w="856"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40.2</w:t>
            </w:r>
            <w:r w:rsidR="006F3804">
              <w:br/>
            </w:r>
            <w:r w:rsidRPr="000733E9">
              <w:t>(1.2%)</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41.9</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40.6</w:t>
            </w:r>
          </w:p>
        </w:tc>
        <w:tc>
          <w:tcPr>
            <w:tcW w:w="856"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39.8</w:t>
            </w:r>
            <w:r w:rsidR="006F3804">
              <w:br/>
            </w:r>
            <w:r w:rsidRPr="000733E9">
              <w:t>(-5.0%)</w:t>
            </w:r>
          </w:p>
        </w:tc>
      </w:tr>
      <w:tr w:rsidR="006F3804"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C57A6C" w:rsidRDefault="00BC127B" w:rsidP="003954B6">
            <w:pPr>
              <w:pStyle w:val="BodyText"/>
              <w:keepLines/>
              <w:rPr>
                <w:b/>
                <w:color w:val="FFFFFF"/>
              </w:rPr>
            </w:pPr>
          </w:p>
        </w:tc>
        <w:tc>
          <w:tcPr>
            <w:tcW w:w="1510"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MIROC 3.2</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42.0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42.5</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40.7</w:t>
            </w:r>
          </w:p>
        </w:tc>
        <w:tc>
          <w:tcPr>
            <w:tcW w:w="856" w:type="dxa"/>
          </w:tcPr>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39.5</w:t>
            </w:r>
            <w:r w:rsidR="006F3804">
              <w:br/>
            </w:r>
            <w:r w:rsidRPr="00375CEA">
              <w:t>(-7.0%)</w:t>
            </w:r>
          </w:p>
        </w:tc>
        <w:tc>
          <w:tcPr>
            <w:cnfStyle w:val="000010000000" w:firstRow="0" w:lastRow="0" w:firstColumn="0" w:lastColumn="0" w:oddVBand="1" w:evenVBand="0" w:oddHBand="0" w:evenHBand="0" w:firstRowFirstColumn="0" w:firstRowLastColumn="0" w:lastRowFirstColumn="0" w:lastRowLastColumn="0"/>
            <w:tcW w:w="916" w:type="dxa"/>
          </w:tcPr>
          <w:p w:rsidR="00BC127B" w:rsidRPr="000733E9" w:rsidRDefault="00BC127B" w:rsidP="00375CEA">
            <w:pPr>
              <w:pStyle w:val="Tabletextcentred"/>
            </w:pPr>
            <w:r w:rsidRPr="000733E9">
              <w:t>37.0</w:t>
            </w:r>
          </w:p>
        </w:tc>
        <w:tc>
          <w:tcPr>
            <w:tcW w:w="8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43.4</w:t>
            </w:r>
          </w:p>
        </w:tc>
        <w:tc>
          <w:tcPr>
            <w:cnfStyle w:val="000010000000" w:firstRow="0" w:lastRow="0" w:firstColumn="0" w:lastColumn="0" w:oddVBand="1" w:evenVBand="0" w:oddHBand="0" w:evenHBand="0" w:firstRowFirstColumn="0" w:firstRowLastColumn="0" w:lastRowFirstColumn="0" w:lastRowLastColumn="0"/>
            <w:tcW w:w="795" w:type="dxa"/>
          </w:tcPr>
          <w:p w:rsidR="00BC127B" w:rsidRPr="000733E9" w:rsidRDefault="00BC127B" w:rsidP="00375CEA">
            <w:pPr>
              <w:pStyle w:val="Tabletextcentred"/>
            </w:pPr>
            <w:r w:rsidRPr="000733E9">
              <w:t>43.0</w:t>
            </w:r>
          </w:p>
        </w:tc>
        <w:tc>
          <w:tcPr>
            <w:tcW w:w="856"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42.7</w:t>
            </w:r>
            <w:r w:rsidR="006F3804">
              <w:br/>
            </w:r>
            <w:r w:rsidRPr="000733E9">
              <w:t>(-1.5%)</w:t>
            </w:r>
          </w:p>
        </w:tc>
      </w:tr>
    </w:tbl>
    <w:p w:rsidR="00BC127B" w:rsidRPr="00491481" w:rsidRDefault="00BC127B" w:rsidP="00DE0A84">
      <w:pPr>
        <w:pStyle w:val="Tabletitle"/>
      </w:pPr>
      <w:r>
        <w:br w:type="page"/>
      </w:r>
      <w:r w:rsidRPr="00491481">
        <w:lastRenderedPageBreak/>
        <w:t xml:space="preserve">Table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6</w:t>
      </w:r>
      <w:r w:rsidR="006A5281">
        <w:rPr>
          <w:noProof/>
        </w:rPr>
        <w:fldChar w:fldCharType="end"/>
      </w:r>
      <w:r w:rsidRPr="00491481">
        <w:t xml:space="preserve"> As for Table </w:t>
      </w:r>
      <w:r w:rsidR="009533A5">
        <w:t>5.1</w:t>
      </w:r>
      <w:r w:rsidRPr="00491481">
        <w:t>, but for mean minimum central pressure (</w:t>
      </w:r>
      <w:proofErr w:type="spellStart"/>
      <w:r w:rsidRPr="00491481">
        <w:t>hPa</w:t>
      </w:r>
      <w:proofErr w:type="spellEnd"/>
      <w:r w:rsidRPr="00491481">
        <w:t>).</w:t>
      </w:r>
    </w:p>
    <w:tbl>
      <w:tblPr>
        <w:tblStyle w:val="TableGAHeaderRow"/>
        <w:tblW w:w="0" w:type="auto"/>
        <w:tblLayout w:type="fixed"/>
        <w:tblLook w:val="01E0" w:firstRow="1" w:lastRow="1" w:firstColumn="1" w:lastColumn="1" w:noHBand="0" w:noVBand="0"/>
        <w:tblDescription w:val="Due to the complexity of this figure no alternative description has been provided. Please email Geoscience Australia at clientservices@ga.gov.au for an alternate description."/>
      </w:tblPr>
      <w:tblGrid>
        <w:gridCol w:w="851"/>
        <w:gridCol w:w="1417"/>
        <w:gridCol w:w="908"/>
        <w:gridCol w:w="831"/>
        <w:gridCol w:w="831"/>
        <w:gridCol w:w="974"/>
        <w:gridCol w:w="866"/>
        <w:gridCol w:w="811"/>
        <w:gridCol w:w="788"/>
        <w:gridCol w:w="852"/>
      </w:tblGrid>
      <w:tr w:rsidR="00BC127B" w:rsidRPr="00A01A35" w:rsidTr="0004154D">
        <w:trPr>
          <w:cnfStyle w:val="100000000000" w:firstRow="1" w:lastRow="0" w:firstColumn="0" w:lastColumn="0" w:oddVBand="0" w:evenVBand="0" w:oddHBand="0" w:evenHBand="0" w:firstRowFirstColumn="0" w:firstRowLastColumn="0" w:lastRowFirstColumn="0" w:lastRowLastColumn="0"/>
          <w:trHeight w:val="678"/>
          <w:tblHeader/>
        </w:trPr>
        <w:tc>
          <w:tcPr>
            <w:cnfStyle w:val="000010000000" w:firstRow="0" w:lastRow="0" w:firstColumn="0" w:lastColumn="0" w:oddVBand="1" w:evenVBand="0" w:oddHBand="0" w:evenHBand="0" w:firstRowFirstColumn="0" w:firstRowLastColumn="0" w:lastRowFirstColumn="0" w:lastRowLastColumn="0"/>
            <w:tcW w:w="851" w:type="dxa"/>
          </w:tcPr>
          <w:p w:rsidR="00BC127B" w:rsidRPr="00A01A35" w:rsidRDefault="00BC127B" w:rsidP="00653FD5">
            <w:pPr>
              <w:pStyle w:val="Tableheadingcentred"/>
              <w:rPr>
                <w:rStyle w:val="Tabletitlebold"/>
                <w:b/>
                <w:bCs/>
              </w:rPr>
            </w:pPr>
          </w:p>
        </w:tc>
        <w:tc>
          <w:tcPr>
            <w:tcW w:w="1417" w:type="dxa"/>
          </w:tcPr>
          <w:p w:rsidR="00BC127B" w:rsidRPr="00A01A35"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rPr>
                <w:rStyle w:val="Tabletitlebold"/>
                <w:b/>
                <w:bCs/>
              </w:rPr>
            </w:pPr>
          </w:p>
        </w:tc>
        <w:tc>
          <w:tcPr>
            <w:cnfStyle w:val="000010000000" w:firstRow="0" w:lastRow="0" w:firstColumn="0" w:lastColumn="0" w:oddVBand="1" w:evenVBand="0" w:oddHBand="0" w:evenHBand="0" w:firstRowFirstColumn="0" w:firstRowLastColumn="0" w:lastRowFirstColumn="0" w:lastRowLastColumn="0"/>
            <w:tcW w:w="3544" w:type="dxa"/>
            <w:gridSpan w:val="4"/>
          </w:tcPr>
          <w:p w:rsidR="00BC127B" w:rsidRPr="006F3804" w:rsidRDefault="00BC127B" w:rsidP="00653FD5">
            <w:pPr>
              <w:pStyle w:val="Tableheadingcentred"/>
            </w:pPr>
            <w:r w:rsidRPr="006F3804">
              <w:t>Northern Hemisphere</w:t>
            </w:r>
          </w:p>
        </w:tc>
        <w:tc>
          <w:tcPr>
            <w:tcW w:w="3317" w:type="dxa"/>
            <w:gridSpan w:val="4"/>
          </w:tcPr>
          <w:p w:rsidR="00BC127B" w:rsidRPr="006F3804" w:rsidRDefault="00BC127B" w:rsidP="00653FD5">
            <w:pPr>
              <w:pStyle w:val="Tableheadingcentred"/>
              <w:cnfStyle w:val="100000000000" w:firstRow="1" w:lastRow="0" w:firstColumn="0" w:lastColumn="0" w:oddVBand="0" w:evenVBand="0" w:oddHBand="0" w:evenHBand="0" w:firstRowFirstColumn="0" w:firstRowLastColumn="0" w:lastRowFirstColumn="0" w:lastRowLastColumn="0"/>
            </w:pPr>
            <w:r w:rsidRPr="006F3804">
              <w:t>Southern Hemisphere</w:t>
            </w:r>
          </w:p>
        </w:tc>
      </w:tr>
      <w:tr w:rsidR="00BC127B" w:rsidRPr="000733E9"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404040" w:themeFill="text1" w:themeFillTint="BF"/>
            <w:textDirection w:val="btLr"/>
          </w:tcPr>
          <w:p w:rsidR="00BC127B" w:rsidRPr="000733E9" w:rsidRDefault="00BC127B" w:rsidP="00375CEA">
            <w:pPr>
              <w:pStyle w:val="Tableheadingcentred"/>
            </w:pPr>
            <w:r w:rsidRPr="000733E9">
              <w:t>CMIP5</w:t>
            </w:r>
          </w:p>
        </w:tc>
        <w:tc>
          <w:tcPr>
            <w:tcW w:w="1417"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rStyle w:val="Tabletitlebold"/>
                <w:b w:val="0"/>
              </w:rPr>
            </w:pPr>
            <w:r w:rsidRPr="00375CEA">
              <w:t>Model</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375CEA" w:rsidRDefault="00BC127B" w:rsidP="00375CEA">
            <w:pPr>
              <w:pStyle w:val="Tabletextcentred"/>
            </w:pPr>
            <w:r w:rsidRPr="00375CEA">
              <w:t>Historical baseline</w:t>
            </w:r>
          </w:p>
        </w:tc>
        <w:tc>
          <w:tcPr>
            <w:tcW w:w="831"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1981-2000</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375CEA" w:rsidRDefault="00BC127B" w:rsidP="00375CEA">
            <w:pPr>
              <w:pStyle w:val="Tabletextcentred"/>
            </w:pPr>
            <w:r w:rsidRPr="00375CEA">
              <w:t>2050</w:t>
            </w:r>
          </w:p>
        </w:tc>
        <w:tc>
          <w:tcPr>
            <w:tcW w:w="97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2081-2100</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375CEA" w:rsidRDefault="00BC127B" w:rsidP="00375CEA">
            <w:pPr>
              <w:pStyle w:val="Tabletextcentred"/>
            </w:pPr>
            <w:r w:rsidRPr="00375CEA">
              <w:t>Historical baseline</w:t>
            </w:r>
          </w:p>
        </w:tc>
        <w:tc>
          <w:tcPr>
            <w:tcW w:w="811"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1981-2000</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375CEA" w:rsidRDefault="00BC127B" w:rsidP="00375CEA">
            <w:pPr>
              <w:pStyle w:val="Tabletextcentred"/>
            </w:pPr>
            <w:r w:rsidRPr="00375CEA">
              <w:t>2050</w:t>
            </w:r>
          </w:p>
        </w:tc>
        <w:tc>
          <w:tcPr>
            <w:tcW w:w="852"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2081-2100</w:t>
            </w:r>
          </w:p>
        </w:tc>
      </w:tr>
      <w:tr w:rsidR="00BC127B" w:rsidRPr="000733E9"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75CEA">
            <w:pPr>
              <w:pStyle w:val="Tableheadingcentred"/>
            </w:pPr>
          </w:p>
        </w:tc>
        <w:tc>
          <w:tcPr>
            <w:tcW w:w="14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ACCESS 1.0</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rPr>
                <w:szCs w:val="18"/>
              </w:rPr>
            </w:pPr>
            <w:r w:rsidRPr="000733E9">
              <w:rPr>
                <w:szCs w:val="18"/>
              </w:rPr>
              <w:t>960.8</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966.0</w:t>
            </w:r>
          </w:p>
        </w:tc>
        <w:tc>
          <w:tcPr>
            <w:tcW w:w="974"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969.5</w:t>
            </w:r>
            <w:r w:rsidR="006F3804">
              <w:br/>
            </w:r>
            <w:r w:rsidRPr="00375CEA">
              <w:t>(0.9%)</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968.6</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971.0</w:t>
            </w:r>
          </w:p>
        </w:tc>
        <w:tc>
          <w:tcPr>
            <w:tcW w:w="852"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972.6</w:t>
            </w:r>
            <w:r w:rsidR="006F3804">
              <w:br/>
            </w:r>
            <w:r w:rsidRPr="000733E9">
              <w:t>(0.4%)</w:t>
            </w:r>
          </w:p>
        </w:tc>
      </w:tr>
      <w:tr w:rsidR="00BC127B" w:rsidRPr="000733E9"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75CEA">
            <w:pPr>
              <w:pStyle w:val="Tableheadingcentred"/>
            </w:pPr>
          </w:p>
        </w:tc>
        <w:tc>
          <w:tcPr>
            <w:tcW w:w="14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CanESM2</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pPr>
            <w:r w:rsidRPr="000733E9">
              <w:t>970.4</w:t>
            </w:r>
          </w:p>
        </w:tc>
        <w:tc>
          <w:tcPr>
            <w:tcW w:w="83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965.6</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963.2</w:t>
            </w:r>
          </w:p>
        </w:tc>
        <w:tc>
          <w:tcPr>
            <w:tcW w:w="974"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961.5</w:t>
            </w:r>
            <w:r w:rsidR="006F3804">
              <w:br/>
            </w:r>
            <w:r w:rsidRPr="00375CEA">
              <w:t>(-0.4%)</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969.1</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966.1</w:t>
            </w:r>
          </w:p>
        </w:tc>
        <w:tc>
          <w:tcPr>
            <w:tcW w:w="852" w:type="dxa"/>
          </w:tcPr>
          <w:p w:rsidR="00BC127B" w:rsidRPr="00375CEA"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964.1</w:t>
            </w:r>
            <w:r w:rsidRPr="00375CEA">
              <w:br/>
              <w:t>(-0.5%)</w:t>
            </w:r>
          </w:p>
        </w:tc>
      </w:tr>
      <w:tr w:rsidR="00BC127B" w:rsidRPr="000733E9"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75CEA">
            <w:pPr>
              <w:pStyle w:val="Tableheadingcentred"/>
            </w:pPr>
          </w:p>
        </w:tc>
        <w:tc>
          <w:tcPr>
            <w:tcW w:w="14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CSIRO Mk3.6.0</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rPr>
                <w:szCs w:val="18"/>
              </w:rPr>
            </w:pPr>
            <w:r w:rsidRPr="000733E9">
              <w:rPr>
                <w:szCs w:val="18"/>
              </w:rPr>
              <w:t>961.5</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960.2</w:t>
            </w:r>
          </w:p>
        </w:tc>
        <w:tc>
          <w:tcPr>
            <w:tcW w:w="974"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959.4</w:t>
            </w:r>
            <w:r w:rsidR="006F3804">
              <w:br/>
            </w:r>
            <w:r w:rsidRPr="000733E9">
              <w:t>(-0.2%)</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962.8</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964.0</w:t>
            </w:r>
          </w:p>
        </w:tc>
        <w:tc>
          <w:tcPr>
            <w:tcW w:w="852"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964.8</w:t>
            </w:r>
            <w:r w:rsidRPr="000733E9">
              <w:br/>
              <w:t>(0.2%)</w:t>
            </w:r>
          </w:p>
        </w:tc>
      </w:tr>
      <w:tr w:rsidR="00BC127B" w:rsidRPr="000733E9"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75CEA">
            <w:pPr>
              <w:pStyle w:val="Tableheadingcentred"/>
            </w:pPr>
          </w:p>
        </w:tc>
        <w:tc>
          <w:tcPr>
            <w:tcW w:w="14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IPSL CM5A-LR</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961.4</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960.4</w:t>
            </w:r>
          </w:p>
        </w:tc>
        <w:tc>
          <w:tcPr>
            <w:tcW w:w="974"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959.7</w:t>
            </w:r>
            <w:r w:rsidR="006F3804">
              <w:br/>
            </w:r>
            <w:r w:rsidRPr="000733E9">
              <w:t>(-0.2%)</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970.4</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967.2</w:t>
            </w:r>
          </w:p>
        </w:tc>
        <w:tc>
          <w:tcPr>
            <w:tcW w:w="852"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965.1</w:t>
            </w:r>
            <w:r w:rsidRPr="000733E9">
              <w:br/>
              <w:t>(-0.5%)</w:t>
            </w:r>
          </w:p>
        </w:tc>
      </w:tr>
      <w:tr w:rsidR="00BC127B" w:rsidRPr="000733E9"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75CEA">
            <w:pPr>
              <w:pStyle w:val="Tableheadingcentred"/>
            </w:pPr>
          </w:p>
        </w:tc>
        <w:tc>
          <w:tcPr>
            <w:tcW w:w="14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Nor ESM1</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rPr>
                <w:szCs w:val="18"/>
              </w:rPr>
            </w:pPr>
            <w:r w:rsidRPr="000733E9">
              <w:rPr>
                <w:szCs w:val="18"/>
              </w:rPr>
              <w:t>966.9</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973.9</w:t>
            </w:r>
          </w:p>
        </w:tc>
        <w:tc>
          <w:tcPr>
            <w:tcW w:w="974" w:type="dxa"/>
          </w:tcPr>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978.5</w:t>
            </w:r>
            <w:r w:rsidR="006F3804">
              <w:br/>
            </w:r>
            <w:r w:rsidRPr="00375CEA">
              <w:t>(1.2%)</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971.7</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977.2</w:t>
            </w:r>
          </w:p>
        </w:tc>
        <w:tc>
          <w:tcPr>
            <w:tcW w:w="852" w:type="dxa"/>
          </w:tcPr>
          <w:p w:rsidR="00BC127B" w:rsidRPr="00375CEA"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980.9</w:t>
            </w:r>
            <w:r w:rsidRPr="00375CEA">
              <w:br/>
              <w:t>(-0.9%)</w:t>
            </w:r>
          </w:p>
        </w:tc>
      </w:tr>
      <w:tr w:rsidR="00BC127B" w:rsidRPr="000733E9"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404040" w:themeFill="text1" w:themeFillTint="BF"/>
            <w:textDirection w:val="btLr"/>
          </w:tcPr>
          <w:p w:rsidR="00BC127B" w:rsidRPr="000733E9" w:rsidRDefault="00BC127B" w:rsidP="00375CEA">
            <w:pPr>
              <w:pStyle w:val="Tableheadingcentred"/>
            </w:pPr>
            <w:r w:rsidRPr="000733E9">
              <w:t>CMIP3</w:t>
            </w:r>
          </w:p>
        </w:tc>
        <w:tc>
          <w:tcPr>
            <w:tcW w:w="14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CSIRO Mk3.5</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970.4</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968.6</w:t>
            </w:r>
          </w:p>
        </w:tc>
        <w:tc>
          <w:tcPr>
            <w:tcW w:w="974"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967.4</w:t>
            </w:r>
            <w:r w:rsidR="006F3804">
              <w:br/>
            </w:r>
            <w:r w:rsidRPr="000733E9">
              <w:t>(-0.3%)</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980.9</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979.5</w:t>
            </w:r>
          </w:p>
        </w:tc>
        <w:tc>
          <w:tcPr>
            <w:tcW w:w="852"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978.5</w:t>
            </w:r>
            <w:r w:rsidR="006F3804">
              <w:br/>
            </w:r>
            <w:r w:rsidRPr="000733E9">
              <w:t>(-0.2%)</w:t>
            </w:r>
          </w:p>
        </w:tc>
      </w:tr>
      <w:tr w:rsidR="00BC127B" w:rsidRPr="000733E9"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954B6">
            <w:pPr>
              <w:pStyle w:val="BodyText"/>
              <w:keepLines/>
              <w:rPr>
                <w:b/>
                <w:color w:val="FFFFFF"/>
                <w:szCs w:val="18"/>
              </w:rPr>
            </w:pPr>
          </w:p>
        </w:tc>
        <w:tc>
          <w:tcPr>
            <w:tcW w:w="14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ECHAM5</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rPr>
                <w:szCs w:val="18"/>
              </w:rPr>
            </w:pPr>
            <w:r w:rsidRPr="000733E9">
              <w:rPr>
                <w:szCs w:val="18"/>
              </w:rPr>
              <w:t>966.4</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965.5</w:t>
            </w:r>
          </w:p>
        </w:tc>
        <w:tc>
          <w:tcPr>
            <w:tcW w:w="974"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964.9</w:t>
            </w:r>
            <w:r w:rsidR="006F3804">
              <w:br/>
            </w:r>
            <w:r w:rsidRPr="000733E9">
              <w:t>(-0.1%)</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975.0</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979.1</w:t>
            </w:r>
          </w:p>
        </w:tc>
        <w:tc>
          <w:tcPr>
            <w:tcW w:w="852"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981.8</w:t>
            </w:r>
            <w:r w:rsidR="006F3804">
              <w:br/>
            </w:r>
            <w:r w:rsidRPr="000733E9">
              <w:t>(0.7%)</w:t>
            </w:r>
          </w:p>
        </w:tc>
      </w:tr>
      <w:tr w:rsidR="00BC127B" w:rsidRPr="000733E9"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954B6">
            <w:pPr>
              <w:pStyle w:val="BodyText"/>
              <w:keepLines/>
              <w:rPr>
                <w:b/>
                <w:color w:val="FFFFFF"/>
                <w:szCs w:val="18"/>
              </w:rPr>
            </w:pPr>
          </w:p>
        </w:tc>
        <w:tc>
          <w:tcPr>
            <w:tcW w:w="14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GFDL CM2.0</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974.2</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970.6</w:t>
            </w:r>
          </w:p>
        </w:tc>
        <w:tc>
          <w:tcPr>
            <w:tcW w:w="974" w:type="dxa"/>
          </w:tcPr>
          <w:p w:rsidR="00BC127B" w:rsidRPr="000733E9" w:rsidRDefault="00BC127B" w:rsidP="00036022">
            <w:pPr>
              <w:pStyle w:val="Tabletextcentredbold"/>
              <w:cnfStyle w:val="000000100000" w:firstRow="0" w:lastRow="0" w:firstColumn="0" w:lastColumn="0" w:oddVBand="0" w:evenVBand="0" w:oddHBand="1" w:evenHBand="0" w:firstRowFirstColumn="0" w:firstRowLastColumn="0" w:lastRowFirstColumn="0" w:lastRowLastColumn="0"/>
            </w:pPr>
            <w:r w:rsidRPr="00375CEA">
              <w:t>968.2</w:t>
            </w:r>
            <w:r w:rsidR="006F3804">
              <w:br/>
            </w:r>
            <w:r w:rsidRPr="00375CEA">
              <w:t>(-0.6%)</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983.4</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985.3</w:t>
            </w:r>
          </w:p>
        </w:tc>
        <w:tc>
          <w:tcPr>
            <w:tcW w:w="852"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986.5</w:t>
            </w:r>
            <w:r w:rsidRPr="000733E9">
              <w:br/>
              <w:t>(0.3%)</w:t>
            </w:r>
          </w:p>
        </w:tc>
      </w:tr>
      <w:tr w:rsidR="00BC127B" w:rsidRPr="000733E9"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954B6">
            <w:pPr>
              <w:pStyle w:val="BodyText"/>
              <w:keepLines/>
              <w:rPr>
                <w:b/>
                <w:color w:val="FFFFFF"/>
                <w:szCs w:val="18"/>
              </w:rPr>
            </w:pPr>
          </w:p>
        </w:tc>
        <w:tc>
          <w:tcPr>
            <w:tcW w:w="14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GFDL CM2.1</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rPr>
                <w:szCs w:val="18"/>
              </w:rPr>
            </w:pPr>
            <w:r w:rsidRPr="000733E9">
              <w:rPr>
                <w:szCs w:val="18"/>
              </w:rPr>
              <w:t>972.9</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974.9</w:t>
            </w:r>
          </w:p>
        </w:tc>
        <w:tc>
          <w:tcPr>
            <w:tcW w:w="974"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976.2</w:t>
            </w:r>
            <w:r w:rsidR="006F3804">
              <w:br/>
            </w:r>
            <w:r w:rsidRPr="000733E9">
              <w:t>(0.3%)</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986.6</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987.3</w:t>
            </w:r>
          </w:p>
        </w:tc>
        <w:tc>
          <w:tcPr>
            <w:tcW w:w="852"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987.8</w:t>
            </w:r>
            <w:r w:rsidRPr="000733E9">
              <w:br/>
              <w:t>(0.1%)</w:t>
            </w:r>
          </w:p>
        </w:tc>
      </w:tr>
      <w:tr w:rsidR="00BC127B" w:rsidRPr="000733E9" w:rsidTr="0004154D">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954B6">
            <w:pPr>
              <w:pStyle w:val="BodyText"/>
              <w:keepLines/>
              <w:rPr>
                <w:b/>
                <w:color w:val="FFFFFF"/>
                <w:szCs w:val="18"/>
              </w:rPr>
            </w:pPr>
          </w:p>
        </w:tc>
        <w:tc>
          <w:tcPr>
            <w:tcW w:w="1417"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HadCM3</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rPr>
                <w:szCs w:val="18"/>
              </w:rPr>
            </w:pPr>
            <w:r w:rsidRPr="000733E9">
              <w:rPr>
                <w:szCs w:val="18"/>
              </w:rPr>
              <w:t>967.5</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966.6</w:t>
            </w:r>
          </w:p>
        </w:tc>
        <w:tc>
          <w:tcPr>
            <w:tcW w:w="974" w:type="dxa"/>
          </w:tcPr>
          <w:p w:rsidR="00BC127B" w:rsidRPr="000733E9" w:rsidRDefault="00BC127B" w:rsidP="006F3804">
            <w:pPr>
              <w:pStyle w:val="Tabletextcentred"/>
              <w:cnfStyle w:val="000000100000" w:firstRow="0" w:lastRow="0" w:firstColumn="0" w:lastColumn="0" w:oddVBand="0" w:evenVBand="0" w:oddHBand="1" w:evenHBand="0" w:firstRowFirstColumn="0" w:firstRowLastColumn="0" w:lastRowFirstColumn="0" w:lastRowLastColumn="0"/>
            </w:pPr>
            <w:r w:rsidRPr="000733E9">
              <w:t>965.9</w:t>
            </w:r>
            <w:r w:rsidR="006F3804">
              <w:br/>
            </w:r>
            <w:r w:rsidRPr="000733E9">
              <w:t>(-0.2%)</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966.9</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967.4</w:t>
            </w:r>
          </w:p>
        </w:tc>
        <w:tc>
          <w:tcPr>
            <w:tcW w:w="852" w:type="dxa"/>
          </w:tcPr>
          <w:p w:rsidR="00BC127B" w:rsidRPr="000733E9"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0733E9">
              <w:t>967.8</w:t>
            </w:r>
            <w:r w:rsidRPr="000733E9">
              <w:br/>
              <w:t>(0.1%)</w:t>
            </w:r>
          </w:p>
        </w:tc>
      </w:tr>
      <w:tr w:rsidR="00BC127B" w:rsidRPr="000733E9" w:rsidTr="0004154D">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851" w:type="dxa"/>
            <w:vMerge/>
            <w:shd w:val="clear" w:color="auto" w:fill="404040" w:themeFill="text1" w:themeFillTint="BF"/>
          </w:tcPr>
          <w:p w:rsidR="00BC127B" w:rsidRPr="000733E9" w:rsidRDefault="00BC127B" w:rsidP="003954B6">
            <w:pPr>
              <w:pStyle w:val="BodyText"/>
              <w:keepLines/>
              <w:rPr>
                <w:b/>
                <w:color w:val="FFFFFF"/>
                <w:szCs w:val="18"/>
              </w:rPr>
            </w:pPr>
          </w:p>
        </w:tc>
        <w:tc>
          <w:tcPr>
            <w:tcW w:w="1417"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MIROC 3.2</w:t>
            </w:r>
          </w:p>
        </w:tc>
        <w:tc>
          <w:tcPr>
            <w:cnfStyle w:val="000010000000" w:firstRow="0" w:lastRow="0" w:firstColumn="0" w:lastColumn="0" w:oddVBand="1" w:evenVBand="0" w:oddHBand="0" w:evenHBand="0" w:firstRowFirstColumn="0" w:firstRowLastColumn="0" w:lastRowFirstColumn="0" w:lastRowLastColumn="0"/>
            <w:tcW w:w="908" w:type="dxa"/>
          </w:tcPr>
          <w:p w:rsidR="00BC127B" w:rsidRPr="000733E9" w:rsidRDefault="00BC127B" w:rsidP="00375CEA">
            <w:pPr>
              <w:pStyle w:val="Tabletextcentred"/>
              <w:rPr>
                <w:szCs w:val="18"/>
              </w:rPr>
            </w:pPr>
            <w:r w:rsidRPr="000733E9">
              <w:rPr>
                <w:szCs w:val="18"/>
              </w:rPr>
              <w:t>970.4</w:t>
            </w:r>
          </w:p>
        </w:tc>
        <w:tc>
          <w:tcPr>
            <w:tcW w:w="83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rPr>
                <w:szCs w:val="18"/>
              </w:rPr>
            </w:pPr>
            <w:r w:rsidRPr="000733E9">
              <w:rPr>
                <w:szCs w:val="18"/>
              </w:rPr>
              <w:t>962.7</w:t>
            </w:r>
          </w:p>
        </w:tc>
        <w:tc>
          <w:tcPr>
            <w:cnfStyle w:val="000010000000" w:firstRow="0" w:lastRow="0" w:firstColumn="0" w:lastColumn="0" w:oddVBand="1" w:evenVBand="0" w:oddHBand="0" w:evenHBand="0" w:firstRowFirstColumn="0" w:firstRowLastColumn="0" w:lastRowFirstColumn="0" w:lastRowLastColumn="0"/>
            <w:tcW w:w="831" w:type="dxa"/>
          </w:tcPr>
          <w:p w:rsidR="00BC127B" w:rsidRPr="000733E9" w:rsidRDefault="00BC127B" w:rsidP="00375CEA">
            <w:pPr>
              <w:pStyle w:val="Tabletextcentred"/>
              <w:rPr>
                <w:szCs w:val="18"/>
              </w:rPr>
            </w:pPr>
            <w:r w:rsidRPr="000733E9">
              <w:rPr>
                <w:szCs w:val="18"/>
              </w:rPr>
              <w:t>966.7</w:t>
            </w:r>
          </w:p>
        </w:tc>
        <w:tc>
          <w:tcPr>
            <w:tcW w:w="974" w:type="dxa"/>
          </w:tcPr>
          <w:p w:rsidR="00BC127B" w:rsidRPr="000733E9" w:rsidRDefault="00BC127B" w:rsidP="00036022">
            <w:pPr>
              <w:pStyle w:val="Tabletextcentredbold"/>
              <w:cnfStyle w:val="000000010000" w:firstRow="0" w:lastRow="0" w:firstColumn="0" w:lastColumn="0" w:oddVBand="0" w:evenVBand="0" w:oddHBand="0" w:evenHBand="1" w:firstRowFirstColumn="0" w:firstRowLastColumn="0" w:lastRowFirstColumn="0" w:lastRowLastColumn="0"/>
            </w:pPr>
            <w:r w:rsidRPr="00375CEA">
              <w:t>969.3</w:t>
            </w:r>
            <w:r w:rsidR="006F3804">
              <w:br/>
            </w:r>
            <w:r w:rsidRPr="00375CEA">
              <w:t>(0.7%)</w:t>
            </w:r>
          </w:p>
        </w:tc>
        <w:tc>
          <w:tcPr>
            <w:cnfStyle w:val="000010000000" w:firstRow="0" w:lastRow="0" w:firstColumn="0" w:lastColumn="0" w:oddVBand="1" w:evenVBand="0" w:oddHBand="0" w:evenHBand="0" w:firstRowFirstColumn="0" w:firstRowLastColumn="0" w:lastRowFirstColumn="0" w:lastRowLastColumn="0"/>
            <w:tcW w:w="866" w:type="dxa"/>
          </w:tcPr>
          <w:p w:rsidR="00BC127B" w:rsidRPr="000733E9" w:rsidRDefault="00BC127B" w:rsidP="00375CEA">
            <w:pPr>
              <w:pStyle w:val="Tabletextcentred"/>
            </w:pPr>
            <w:r w:rsidRPr="000733E9">
              <w:t>976.4</w:t>
            </w:r>
          </w:p>
        </w:tc>
        <w:tc>
          <w:tcPr>
            <w:tcW w:w="811" w:type="dxa"/>
          </w:tcPr>
          <w:p w:rsidR="00BC127B" w:rsidRPr="000733E9"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0733E9">
              <w:t>962.9</w:t>
            </w:r>
          </w:p>
        </w:tc>
        <w:tc>
          <w:tcPr>
            <w:cnfStyle w:val="000010000000" w:firstRow="0" w:lastRow="0" w:firstColumn="0" w:lastColumn="0" w:oddVBand="1" w:evenVBand="0" w:oddHBand="0" w:evenHBand="0" w:firstRowFirstColumn="0" w:firstRowLastColumn="0" w:lastRowFirstColumn="0" w:lastRowLastColumn="0"/>
            <w:tcW w:w="788" w:type="dxa"/>
          </w:tcPr>
          <w:p w:rsidR="00BC127B" w:rsidRPr="000733E9" w:rsidRDefault="00BC127B" w:rsidP="00375CEA">
            <w:pPr>
              <w:pStyle w:val="Tabletextcentred"/>
            </w:pPr>
            <w:r w:rsidRPr="000733E9">
              <w:t>961.7</w:t>
            </w:r>
          </w:p>
        </w:tc>
        <w:tc>
          <w:tcPr>
            <w:tcW w:w="852" w:type="dxa"/>
          </w:tcPr>
          <w:p w:rsidR="00BC127B" w:rsidRPr="000733E9" w:rsidRDefault="00BC127B" w:rsidP="006F3804">
            <w:pPr>
              <w:pStyle w:val="Tabletextcentred"/>
              <w:cnfStyle w:val="000000010000" w:firstRow="0" w:lastRow="0" w:firstColumn="0" w:lastColumn="0" w:oddVBand="0" w:evenVBand="0" w:oddHBand="0" w:evenHBand="1" w:firstRowFirstColumn="0" w:firstRowLastColumn="0" w:lastRowFirstColumn="0" w:lastRowLastColumn="0"/>
            </w:pPr>
            <w:r w:rsidRPr="000733E9">
              <w:t>960.9</w:t>
            </w:r>
            <w:r w:rsidR="006F3804">
              <w:br/>
            </w:r>
            <w:r w:rsidRPr="000733E9">
              <w:t>(-0.2%)</w:t>
            </w:r>
          </w:p>
        </w:tc>
      </w:tr>
    </w:tbl>
    <w:p w:rsidR="00BC127B" w:rsidRDefault="00BC127B" w:rsidP="00491481">
      <w:pPr>
        <w:pStyle w:val="Heading2"/>
      </w:pPr>
      <w:r>
        <w:br w:type="page"/>
      </w:r>
      <w:bookmarkStart w:id="62" w:name="_Toc356827203"/>
      <w:bookmarkStart w:id="63" w:name="_Toc357065181"/>
      <w:bookmarkStart w:id="64" w:name="_Toc361914693"/>
      <w:r>
        <w:lastRenderedPageBreak/>
        <w:t>Ensemble results</w:t>
      </w:r>
      <w:bookmarkEnd w:id="62"/>
      <w:bookmarkEnd w:id="63"/>
      <w:bookmarkEnd w:id="64"/>
    </w:p>
    <w:p w:rsidR="00BC127B" w:rsidRPr="00AC49F0" w:rsidRDefault="00BC127B" w:rsidP="00BC127B">
      <w:pPr>
        <w:pStyle w:val="BodyText"/>
      </w:pPr>
      <w:r>
        <w:t>It is of interest to examine the results of the analysis aggregated by model generation – that is the CMIP3 and CMIP5 model generations. The key difference between the two (aside from improvements in model parameterisations and resolution) is that the CMIP3 models were subjected to a dynamical downscaling process (</w:t>
      </w:r>
      <w:r>
        <w:fldChar w:fldCharType="begin"/>
      </w:r>
      <w:r>
        <w:instrText xml:space="preserve"> REF _Ref354570364 \h </w:instrText>
      </w:r>
      <w:r>
        <w:fldChar w:fldCharType="separate"/>
      </w:r>
      <w:r w:rsidR="00E57C2A">
        <w:t xml:space="preserve">Figure </w:t>
      </w:r>
      <w:r w:rsidR="00E57C2A">
        <w:rPr>
          <w:noProof/>
        </w:rPr>
        <w:t>3</w:t>
      </w:r>
      <w:r w:rsidR="00E57C2A">
        <w:t>.</w:t>
      </w:r>
      <w:r w:rsidR="00E57C2A">
        <w:rPr>
          <w:noProof/>
        </w:rPr>
        <w:t>1</w:t>
      </w:r>
      <w:r>
        <w:fldChar w:fldCharType="end"/>
      </w:r>
      <w:r>
        <w:t>). This process has significant impacts on the result</w:t>
      </w:r>
      <w:r w:rsidR="00491481">
        <w:t xml:space="preserve">ing changes in the parameters. </w:t>
      </w:r>
      <w:r>
        <w:t xml:space="preserve">This is highlighted by the more likely changes seen in all parameters for the CMIP3 ensemble. </w:t>
      </w:r>
    </w:p>
    <w:p w:rsidR="00BC127B" w:rsidRPr="00491481" w:rsidRDefault="00BC127B" w:rsidP="00DE0A84">
      <w:pPr>
        <w:pStyle w:val="Tabletitle"/>
      </w:pPr>
      <w:r w:rsidRPr="00491481">
        <w:t xml:space="preserve">Table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7</w:t>
      </w:r>
      <w:r w:rsidR="006A5281">
        <w:rPr>
          <w:noProof/>
        </w:rPr>
        <w:fldChar w:fldCharType="end"/>
      </w:r>
      <w:r w:rsidRPr="00491481">
        <w:t xml:space="preserve"> Ensemble mean peril matrix based on CMIP 3 and CMIP5 models</w:t>
      </w:r>
      <w:r w:rsidR="001003DC">
        <w:t xml:space="preserve"> for the northern hemisphere</w:t>
      </w:r>
      <w:r w:rsidRPr="00491481">
        <w:t>. Values in italics in the 2081-2100 column</w:t>
      </w:r>
      <w:r w:rsidR="00A57F2F" w:rsidRPr="00491481">
        <w:t>s</w:t>
      </w:r>
      <w:r w:rsidRPr="00491481">
        <w:t xml:space="preserve"> indicate where the changes of a majority of members have the same sign and are in the same direction as the mean; bold values indicate the ensemble mean change exceeds the inter-model standard deviation.</w:t>
      </w:r>
    </w:p>
    <w:tbl>
      <w:tblPr>
        <w:tblStyle w:val="TableStyleGAHeaderRow"/>
        <w:tblW w:w="9072" w:type="dxa"/>
        <w:tblLayout w:type="fixed"/>
        <w:tblLook w:val="04A0" w:firstRow="1" w:lastRow="0" w:firstColumn="1" w:lastColumn="0" w:noHBand="0" w:noVBand="1"/>
        <w:tblDescription w:val="This table presents the values of five parameters describing TC behaviour in the northern hemisphere, based on CMIP3 and CMIP5 ensembles. Across the suite of two model ensembles and five parameters (10 fields) only one indicates ensemble mean changes that exceed the inter-model standard deviation - annual frequency for the CMIP3 ensemble. 8 of the 10 fields indicate that the majority of ensemble members have the same sign of change as the ensemble mean."/>
      </w:tblPr>
      <w:tblGrid>
        <w:gridCol w:w="1890"/>
        <w:gridCol w:w="1362"/>
        <w:gridCol w:w="1847"/>
        <w:gridCol w:w="1343"/>
        <w:gridCol w:w="1287"/>
        <w:gridCol w:w="1343"/>
      </w:tblGrid>
      <w:tr w:rsidR="001003DC" w:rsidRPr="00F82AE9" w:rsidTr="001003DC">
        <w:trPr>
          <w:cnfStyle w:val="100000000000" w:firstRow="1" w:lastRow="0" w:firstColumn="0" w:lastColumn="0" w:oddVBand="0" w:evenVBand="0" w:oddHBand="0" w:evenHBand="0" w:firstRowFirstColumn="0" w:firstRowLastColumn="0" w:lastRowFirstColumn="0" w:lastRowLastColumn="0"/>
          <w:tblHeader/>
        </w:trPr>
        <w:tc>
          <w:tcPr>
            <w:tcW w:w="1890" w:type="dxa"/>
          </w:tcPr>
          <w:p w:rsidR="001003DC" w:rsidRPr="00F82AE9" w:rsidRDefault="001003DC" w:rsidP="00F82AE9">
            <w:pPr>
              <w:pStyle w:val="Tableheadingcentred"/>
            </w:pPr>
            <w:r w:rsidRPr="00F82AE9">
              <w:t>Parameter</w:t>
            </w:r>
          </w:p>
        </w:tc>
        <w:tc>
          <w:tcPr>
            <w:tcW w:w="1362" w:type="dxa"/>
          </w:tcPr>
          <w:p w:rsidR="001003DC" w:rsidRPr="00F82AE9" w:rsidRDefault="001003DC" w:rsidP="00F82AE9">
            <w:pPr>
              <w:pStyle w:val="Tableheadingcentred"/>
            </w:pPr>
            <w:r w:rsidRPr="00F82AE9">
              <w:t>Model generation</w:t>
            </w:r>
          </w:p>
        </w:tc>
        <w:tc>
          <w:tcPr>
            <w:tcW w:w="1847" w:type="dxa"/>
          </w:tcPr>
          <w:p w:rsidR="001003DC" w:rsidRPr="00F82AE9" w:rsidRDefault="001003DC" w:rsidP="00F82AE9">
            <w:pPr>
              <w:pStyle w:val="Tableheadingcentred"/>
            </w:pPr>
            <w:r w:rsidRPr="00F82AE9">
              <w:t>Historical Baseline</w:t>
            </w:r>
          </w:p>
        </w:tc>
        <w:tc>
          <w:tcPr>
            <w:tcW w:w="1343" w:type="dxa"/>
          </w:tcPr>
          <w:p w:rsidR="001003DC" w:rsidRPr="00F82AE9" w:rsidRDefault="001003DC" w:rsidP="00F82AE9">
            <w:pPr>
              <w:pStyle w:val="Tableheadingcentred"/>
            </w:pPr>
            <w:r w:rsidRPr="00F82AE9">
              <w:t>1981-2000</w:t>
            </w:r>
          </w:p>
        </w:tc>
        <w:tc>
          <w:tcPr>
            <w:tcW w:w="1287" w:type="dxa"/>
          </w:tcPr>
          <w:p w:rsidR="001003DC" w:rsidRPr="00F82AE9" w:rsidRDefault="001003DC" w:rsidP="00F82AE9">
            <w:pPr>
              <w:pStyle w:val="Tableheadingcentred"/>
            </w:pPr>
            <w:r w:rsidRPr="00F82AE9">
              <w:t>2050</w:t>
            </w:r>
          </w:p>
        </w:tc>
        <w:tc>
          <w:tcPr>
            <w:tcW w:w="1343" w:type="dxa"/>
          </w:tcPr>
          <w:p w:rsidR="001003DC" w:rsidRPr="00F82AE9" w:rsidRDefault="001003DC" w:rsidP="00F82AE9">
            <w:pPr>
              <w:pStyle w:val="Tableheadingcentred"/>
            </w:pPr>
            <w:r w:rsidRPr="00F82AE9">
              <w:t>2081-2100</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890" w:type="dxa"/>
            <w:vMerge w:val="restart"/>
          </w:tcPr>
          <w:p w:rsidR="001003DC" w:rsidRPr="00A579DA" w:rsidRDefault="001003DC" w:rsidP="003954B6">
            <w:pPr>
              <w:pStyle w:val="BodyText"/>
              <w:rPr>
                <w:rStyle w:val="Tabletitlebold"/>
              </w:rPr>
            </w:pPr>
            <w:r w:rsidRPr="00A579DA">
              <w:rPr>
                <w:rStyle w:val="Tabletitlebold"/>
              </w:rPr>
              <w:t>Annual frequency (TCs/year)</w:t>
            </w:r>
          </w:p>
        </w:tc>
        <w:tc>
          <w:tcPr>
            <w:tcW w:w="1362" w:type="dxa"/>
          </w:tcPr>
          <w:p w:rsidR="001003DC" w:rsidRPr="000733E9" w:rsidRDefault="001003DC" w:rsidP="00375CEA">
            <w:pPr>
              <w:pStyle w:val="Tabletextcentred"/>
            </w:pPr>
            <w:r w:rsidRPr="000733E9">
              <w:t>CMIP5</w:t>
            </w:r>
          </w:p>
        </w:tc>
        <w:tc>
          <w:tcPr>
            <w:tcW w:w="1847" w:type="dxa"/>
          </w:tcPr>
          <w:p w:rsidR="001003DC" w:rsidRPr="000733E9" w:rsidRDefault="001003DC" w:rsidP="00375CEA">
            <w:pPr>
              <w:pStyle w:val="Tabletextcentred"/>
            </w:pPr>
            <w:r w:rsidRPr="000733E9">
              <w:t>24.7</w:t>
            </w:r>
          </w:p>
        </w:tc>
        <w:tc>
          <w:tcPr>
            <w:tcW w:w="1343" w:type="dxa"/>
          </w:tcPr>
          <w:p w:rsidR="001003DC" w:rsidRPr="000733E9" w:rsidRDefault="001003DC" w:rsidP="00375CEA">
            <w:pPr>
              <w:pStyle w:val="Tabletextcentred"/>
            </w:pPr>
            <w:r w:rsidRPr="000733E9">
              <w:t>24.7</w:t>
            </w:r>
          </w:p>
        </w:tc>
        <w:tc>
          <w:tcPr>
            <w:tcW w:w="1287" w:type="dxa"/>
          </w:tcPr>
          <w:p w:rsidR="001003DC" w:rsidRPr="000733E9" w:rsidRDefault="001003DC" w:rsidP="00375CEA">
            <w:pPr>
              <w:pStyle w:val="Tabletextcentred"/>
            </w:pPr>
            <w:r w:rsidRPr="000733E9">
              <w:t>27.3</w:t>
            </w:r>
          </w:p>
        </w:tc>
        <w:tc>
          <w:tcPr>
            <w:tcW w:w="1343" w:type="dxa"/>
          </w:tcPr>
          <w:p w:rsidR="001003DC" w:rsidRPr="00370884" w:rsidRDefault="001003DC" w:rsidP="00036022">
            <w:pPr>
              <w:pStyle w:val="Tabletextcentreditalic"/>
            </w:pPr>
            <w:r w:rsidRPr="00370884">
              <w:t>29.1</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890" w:type="dxa"/>
            <w:vMerge/>
          </w:tcPr>
          <w:p w:rsidR="001003DC" w:rsidRPr="00A579DA" w:rsidRDefault="001003DC" w:rsidP="003954B6">
            <w:pPr>
              <w:pStyle w:val="BodyText"/>
              <w:rPr>
                <w:rStyle w:val="Tabletitlebold"/>
              </w:rPr>
            </w:pPr>
          </w:p>
        </w:tc>
        <w:tc>
          <w:tcPr>
            <w:tcW w:w="1362" w:type="dxa"/>
          </w:tcPr>
          <w:p w:rsidR="001003DC" w:rsidRPr="000733E9" w:rsidRDefault="001003DC" w:rsidP="00375CEA">
            <w:pPr>
              <w:pStyle w:val="Tabletextcentred"/>
            </w:pPr>
            <w:r w:rsidRPr="000733E9">
              <w:t>CMIP3</w:t>
            </w:r>
          </w:p>
        </w:tc>
        <w:tc>
          <w:tcPr>
            <w:tcW w:w="1847" w:type="dxa"/>
          </w:tcPr>
          <w:p w:rsidR="001003DC" w:rsidRPr="000733E9" w:rsidRDefault="001003DC" w:rsidP="00375CEA">
            <w:pPr>
              <w:pStyle w:val="Tabletextcentred"/>
            </w:pPr>
            <w:r w:rsidRPr="000733E9">
              <w:t>24.7</w:t>
            </w:r>
          </w:p>
        </w:tc>
        <w:tc>
          <w:tcPr>
            <w:tcW w:w="1343" w:type="dxa"/>
          </w:tcPr>
          <w:p w:rsidR="001003DC" w:rsidRPr="000733E9" w:rsidRDefault="001003DC" w:rsidP="00375CEA">
            <w:pPr>
              <w:pStyle w:val="Tabletextcentred"/>
            </w:pPr>
            <w:r w:rsidRPr="000733E9">
              <w:t>24.7</w:t>
            </w:r>
          </w:p>
        </w:tc>
        <w:tc>
          <w:tcPr>
            <w:tcW w:w="1287" w:type="dxa"/>
          </w:tcPr>
          <w:p w:rsidR="001003DC" w:rsidRPr="000733E9" w:rsidRDefault="001003DC" w:rsidP="00375CEA">
            <w:pPr>
              <w:pStyle w:val="Tabletextcentred"/>
            </w:pPr>
            <w:r w:rsidRPr="000733E9">
              <w:t>22.2</w:t>
            </w:r>
          </w:p>
        </w:tc>
        <w:tc>
          <w:tcPr>
            <w:tcW w:w="1343" w:type="dxa"/>
          </w:tcPr>
          <w:p w:rsidR="001003DC" w:rsidRPr="00370884" w:rsidRDefault="001003DC" w:rsidP="002C2ECE">
            <w:pPr>
              <w:pStyle w:val="Tabletextcentredbolditalic"/>
            </w:pPr>
            <w:r w:rsidRPr="00370884">
              <w:t>20.5</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890" w:type="dxa"/>
            <w:vMerge w:val="restart"/>
          </w:tcPr>
          <w:p w:rsidR="001003DC" w:rsidRPr="00A579DA" w:rsidRDefault="001003DC" w:rsidP="003954B6">
            <w:pPr>
              <w:pStyle w:val="BodyText"/>
              <w:rPr>
                <w:rStyle w:val="Tabletitlebold"/>
              </w:rPr>
            </w:pPr>
            <w:r w:rsidRPr="00A579DA">
              <w:rPr>
                <w:rStyle w:val="Tabletitlebold"/>
              </w:rPr>
              <w:t>Genesis Latitude</w:t>
            </w:r>
          </w:p>
          <w:p w:rsidR="001003DC" w:rsidRPr="00A579DA" w:rsidRDefault="001003DC" w:rsidP="003954B6">
            <w:pPr>
              <w:pStyle w:val="BodyText"/>
              <w:rPr>
                <w:rStyle w:val="Tabletitlebold"/>
              </w:rPr>
            </w:pPr>
            <w:r w:rsidRPr="00A579DA">
              <w:rPr>
                <w:rStyle w:val="Tabletitlebold"/>
              </w:rPr>
              <w:t>(degrees north)</w:t>
            </w:r>
          </w:p>
        </w:tc>
        <w:tc>
          <w:tcPr>
            <w:tcW w:w="1362" w:type="dxa"/>
          </w:tcPr>
          <w:p w:rsidR="001003DC" w:rsidRPr="000733E9" w:rsidRDefault="001003DC" w:rsidP="00375CEA">
            <w:pPr>
              <w:pStyle w:val="Tabletextcentred"/>
            </w:pPr>
            <w:r w:rsidRPr="000733E9">
              <w:t>CMIP5</w:t>
            </w:r>
          </w:p>
        </w:tc>
        <w:tc>
          <w:tcPr>
            <w:tcW w:w="1847" w:type="dxa"/>
          </w:tcPr>
          <w:p w:rsidR="001003DC" w:rsidRPr="000733E9" w:rsidRDefault="001003DC" w:rsidP="00375CEA">
            <w:pPr>
              <w:pStyle w:val="Tabletextcentred"/>
            </w:pPr>
            <w:r w:rsidRPr="000733E9">
              <w:t>13.2</w:t>
            </w:r>
          </w:p>
        </w:tc>
        <w:tc>
          <w:tcPr>
            <w:tcW w:w="1343" w:type="dxa"/>
          </w:tcPr>
          <w:p w:rsidR="001003DC" w:rsidRPr="000733E9" w:rsidRDefault="001003DC" w:rsidP="00375CEA">
            <w:pPr>
              <w:pStyle w:val="Tabletextcentred"/>
            </w:pPr>
            <w:r w:rsidRPr="000733E9">
              <w:t>14.0</w:t>
            </w:r>
          </w:p>
        </w:tc>
        <w:tc>
          <w:tcPr>
            <w:tcW w:w="1287" w:type="dxa"/>
          </w:tcPr>
          <w:p w:rsidR="001003DC" w:rsidRPr="000733E9" w:rsidRDefault="001003DC" w:rsidP="00375CEA">
            <w:pPr>
              <w:pStyle w:val="Tabletextcentred"/>
            </w:pPr>
            <w:r w:rsidRPr="000733E9">
              <w:t>13.6</w:t>
            </w:r>
          </w:p>
        </w:tc>
        <w:tc>
          <w:tcPr>
            <w:tcW w:w="1343" w:type="dxa"/>
          </w:tcPr>
          <w:p w:rsidR="001003DC" w:rsidRPr="00375CEA" w:rsidRDefault="001003DC" w:rsidP="00036022">
            <w:pPr>
              <w:pStyle w:val="Tabletextcentreditalic"/>
            </w:pPr>
            <w:r w:rsidRPr="00375CEA">
              <w:t>13.4</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890" w:type="dxa"/>
            <w:vMerge/>
          </w:tcPr>
          <w:p w:rsidR="001003DC" w:rsidRPr="00A579DA" w:rsidRDefault="001003DC" w:rsidP="003954B6">
            <w:pPr>
              <w:pStyle w:val="BodyText"/>
              <w:rPr>
                <w:rStyle w:val="Tabletitlebold"/>
              </w:rPr>
            </w:pPr>
          </w:p>
        </w:tc>
        <w:tc>
          <w:tcPr>
            <w:tcW w:w="1362" w:type="dxa"/>
          </w:tcPr>
          <w:p w:rsidR="001003DC" w:rsidRPr="000733E9" w:rsidRDefault="001003DC" w:rsidP="00375CEA">
            <w:pPr>
              <w:pStyle w:val="Tabletextcentred"/>
            </w:pPr>
            <w:r w:rsidRPr="000733E9">
              <w:t>CMIP3</w:t>
            </w:r>
          </w:p>
        </w:tc>
        <w:tc>
          <w:tcPr>
            <w:tcW w:w="1847" w:type="dxa"/>
          </w:tcPr>
          <w:p w:rsidR="001003DC" w:rsidRPr="000733E9" w:rsidRDefault="001003DC" w:rsidP="00375CEA">
            <w:pPr>
              <w:pStyle w:val="Tabletextcentred"/>
            </w:pPr>
            <w:r w:rsidRPr="000733E9">
              <w:t>13.2</w:t>
            </w:r>
          </w:p>
        </w:tc>
        <w:tc>
          <w:tcPr>
            <w:tcW w:w="1343" w:type="dxa"/>
          </w:tcPr>
          <w:p w:rsidR="001003DC" w:rsidRPr="000733E9" w:rsidRDefault="001003DC" w:rsidP="00375CEA">
            <w:pPr>
              <w:pStyle w:val="Tabletextcentred"/>
            </w:pPr>
            <w:r w:rsidRPr="000733E9">
              <w:t>15.8</w:t>
            </w:r>
          </w:p>
        </w:tc>
        <w:tc>
          <w:tcPr>
            <w:tcW w:w="1287" w:type="dxa"/>
          </w:tcPr>
          <w:p w:rsidR="001003DC" w:rsidRPr="000733E9" w:rsidRDefault="001003DC" w:rsidP="00375CEA">
            <w:pPr>
              <w:pStyle w:val="Tabletextcentred"/>
            </w:pPr>
            <w:r w:rsidRPr="000733E9">
              <w:t>15.9</w:t>
            </w:r>
          </w:p>
        </w:tc>
        <w:tc>
          <w:tcPr>
            <w:tcW w:w="1343" w:type="dxa"/>
          </w:tcPr>
          <w:p w:rsidR="001003DC" w:rsidRPr="00375CEA" w:rsidRDefault="001003DC" w:rsidP="00036022">
            <w:pPr>
              <w:pStyle w:val="Tabletextcentreditalic"/>
            </w:pPr>
            <w:r w:rsidRPr="00375CEA">
              <w:t>15.9</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890" w:type="dxa"/>
            <w:vMerge w:val="restart"/>
          </w:tcPr>
          <w:p w:rsidR="001003DC" w:rsidRPr="00A579DA" w:rsidRDefault="001003DC" w:rsidP="003954B6">
            <w:pPr>
              <w:pStyle w:val="BodyText"/>
              <w:rPr>
                <w:rStyle w:val="Tabletitlebold"/>
              </w:rPr>
            </w:pPr>
            <w:r w:rsidRPr="00A579DA">
              <w:rPr>
                <w:rStyle w:val="Tabletitlebold"/>
              </w:rPr>
              <w:t>Mean latitude of peak intensity</w:t>
            </w:r>
          </w:p>
          <w:p w:rsidR="001003DC" w:rsidRPr="00A579DA" w:rsidRDefault="001003DC" w:rsidP="003954B6">
            <w:pPr>
              <w:pStyle w:val="BodyText"/>
              <w:rPr>
                <w:rStyle w:val="Tabletitlebold"/>
              </w:rPr>
            </w:pPr>
            <w:r w:rsidRPr="00A579DA">
              <w:rPr>
                <w:rStyle w:val="Tabletitlebold"/>
              </w:rPr>
              <w:t>(degrees north)</w:t>
            </w:r>
          </w:p>
        </w:tc>
        <w:tc>
          <w:tcPr>
            <w:tcW w:w="1362" w:type="dxa"/>
          </w:tcPr>
          <w:p w:rsidR="001003DC" w:rsidRPr="000733E9" w:rsidRDefault="001003DC" w:rsidP="00375CEA">
            <w:pPr>
              <w:pStyle w:val="Tabletextcentred"/>
            </w:pPr>
            <w:r w:rsidRPr="000733E9">
              <w:t>CMIP5</w:t>
            </w:r>
          </w:p>
        </w:tc>
        <w:tc>
          <w:tcPr>
            <w:tcW w:w="1847" w:type="dxa"/>
          </w:tcPr>
          <w:p w:rsidR="001003DC" w:rsidRPr="000733E9" w:rsidRDefault="001003DC" w:rsidP="00375CEA">
            <w:pPr>
              <w:pStyle w:val="Tabletextcentred"/>
            </w:pPr>
            <w:r w:rsidRPr="000733E9">
              <w:t>23.4</w:t>
            </w:r>
          </w:p>
        </w:tc>
        <w:tc>
          <w:tcPr>
            <w:tcW w:w="1343" w:type="dxa"/>
          </w:tcPr>
          <w:p w:rsidR="001003DC" w:rsidRPr="000733E9" w:rsidRDefault="001003DC" w:rsidP="00375CEA">
            <w:pPr>
              <w:pStyle w:val="Tabletextcentred"/>
            </w:pPr>
            <w:r w:rsidRPr="000733E9">
              <w:t>18.9</w:t>
            </w:r>
          </w:p>
        </w:tc>
        <w:tc>
          <w:tcPr>
            <w:tcW w:w="1287" w:type="dxa"/>
          </w:tcPr>
          <w:p w:rsidR="001003DC" w:rsidRPr="000733E9" w:rsidRDefault="001003DC" w:rsidP="00375CEA">
            <w:pPr>
              <w:pStyle w:val="Tabletextcentred"/>
            </w:pPr>
            <w:r w:rsidRPr="000733E9">
              <w:t>18.7</w:t>
            </w:r>
          </w:p>
        </w:tc>
        <w:tc>
          <w:tcPr>
            <w:tcW w:w="1343" w:type="dxa"/>
          </w:tcPr>
          <w:p w:rsidR="001003DC" w:rsidRPr="000733E9" w:rsidRDefault="001003DC" w:rsidP="00375CEA">
            <w:pPr>
              <w:pStyle w:val="Tabletextcentred"/>
            </w:pPr>
            <w:r w:rsidRPr="000733E9">
              <w:t>18.7</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890" w:type="dxa"/>
            <w:vMerge/>
          </w:tcPr>
          <w:p w:rsidR="001003DC" w:rsidRPr="00A579DA" w:rsidRDefault="001003DC" w:rsidP="003954B6">
            <w:pPr>
              <w:pStyle w:val="BodyText"/>
              <w:rPr>
                <w:rStyle w:val="Tabletitlebold"/>
              </w:rPr>
            </w:pPr>
          </w:p>
        </w:tc>
        <w:tc>
          <w:tcPr>
            <w:tcW w:w="1362" w:type="dxa"/>
          </w:tcPr>
          <w:p w:rsidR="001003DC" w:rsidRPr="000733E9" w:rsidRDefault="001003DC" w:rsidP="00375CEA">
            <w:pPr>
              <w:pStyle w:val="Tabletextcentred"/>
            </w:pPr>
            <w:r w:rsidRPr="000733E9">
              <w:t>CMIP3</w:t>
            </w:r>
          </w:p>
        </w:tc>
        <w:tc>
          <w:tcPr>
            <w:tcW w:w="1847" w:type="dxa"/>
          </w:tcPr>
          <w:p w:rsidR="001003DC" w:rsidRPr="000733E9" w:rsidRDefault="001003DC" w:rsidP="00375CEA">
            <w:pPr>
              <w:pStyle w:val="Tabletextcentred"/>
            </w:pPr>
            <w:r w:rsidRPr="000733E9">
              <w:t>23.4</w:t>
            </w:r>
          </w:p>
        </w:tc>
        <w:tc>
          <w:tcPr>
            <w:tcW w:w="1343" w:type="dxa"/>
          </w:tcPr>
          <w:p w:rsidR="001003DC" w:rsidRPr="000733E9" w:rsidRDefault="001003DC" w:rsidP="00375CEA">
            <w:pPr>
              <w:pStyle w:val="Tabletextcentred"/>
            </w:pPr>
            <w:r w:rsidRPr="000733E9">
              <w:t>20.6</w:t>
            </w:r>
          </w:p>
        </w:tc>
        <w:tc>
          <w:tcPr>
            <w:tcW w:w="1287" w:type="dxa"/>
          </w:tcPr>
          <w:p w:rsidR="001003DC" w:rsidRPr="000733E9" w:rsidRDefault="001003DC" w:rsidP="00375CEA">
            <w:pPr>
              <w:pStyle w:val="Tabletextcentred"/>
            </w:pPr>
            <w:r w:rsidRPr="000733E9">
              <w:t>20.8</w:t>
            </w:r>
          </w:p>
        </w:tc>
        <w:tc>
          <w:tcPr>
            <w:tcW w:w="1343" w:type="dxa"/>
          </w:tcPr>
          <w:p w:rsidR="001003DC" w:rsidRPr="00370884" w:rsidRDefault="001003DC" w:rsidP="00036022">
            <w:pPr>
              <w:pStyle w:val="Tabletextcentreditalic"/>
            </w:pPr>
            <w:r w:rsidRPr="00370884">
              <w:t>20.9</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890" w:type="dxa"/>
            <w:vMerge w:val="restart"/>
          </w:tcPr>
          <w:p w:rsidR="001003DC" w:rsidRPr="00A579DA" w:rsidRDefault="001003DC" w:rsidP="003954B6">
            <w:pPr>
              <w:pStyle w:val="BodyText"/>
              <w:rPr>
                <w:rStyle w:val="Tabletitlebold"/>
              </w:rPr>
            </w:pPr>
            <w:r w:rsidRPr="00A579DA">
              <w:rPr>
                <w:rStyle w:val="Tabletitlebold"/>
              </w:rPr>
              <w:t>Mean maximum sustained wind speed (m/s)</w:t>
            </w:r>
          </w:p>
        </w:tc>
        <w:tc>
          <w:tcPr>
            <w:tcW w:w="1362" w:type="dxa"/>
          </w:tcPr>
          <w:p w:rsidR="001003DC" w:rsidRPr="000733E9" w:rsidRDefault="001003DC" w:rsidP="00375CEA">
            <w:pPr>
              <w:pStyle w:val="Tabletextcentred"/>
            </w:pPr>
            <w:r w:rsidRPr="000733E9">
              <w:t>CMIP5</w:t>
            </w:r>
          </w:p>
        </w:tc>
        <w:tc>
          <w:tcPr>
            <w:tcW w:w="1847" w:type="dxa"/>
          </w:tcPr>
          <w:p w:rsidR="001003DC" w:rsidRPr="000733E9" w:rsidRDefault="001003DC" w:rsidP="00375CEA">
            <w:pPr>
              <w:pStyle w:val="Tabletextcentred"/>
            </w:pPr>
            <w:r w:rsidRPr="000733E9">
              <w:t>42.0</w:t>
            </w:r>
          </w:p>
        </w:tc>
        <w:tc>
          <w:tcPr>
            <w:tcW w:w="1343" w:type="dxa"/>
          </w:tcPr>
          <w:p w:rsidR="001003DC" w:rsidRPr="000733E9" w:rsidRDefault="001003DC" w:rsidP="00375CEA">
            <w:pPr>
              <w:pStyle w:val="Tabletextcentred"/>
            </w:pPr>
            <w:r w:rsidRPr="000733E9">
              <w:t>41.2</w:t>
            </w:r>
          </w:p>
        </w:tc>
        <w:tc>
          <w:tcPr>
            <w:tcW w:w="1287" w:type="dxa"/>
          </w:tcPr>
          <w:p w:rsidR="001003DC" w:rsidRPr="000733E9" w:rsidRDefault="001003DC" w:rsidP="00375CEA">
            <w:pPr>
              <w:pStyle w:val="Tabletextcentred"/>
            </w:pPr>
            <w:r w:rsidRPr="000733E9">
              <w:t>40.1</w:t>
            </w:r>
          </w:p>
        </w:tc>
        <w:tc>
          <w:tcPr>
            <w:tcW w:w="1343" w:type="dxa"/>
          </w:tcPr>
          <w:p w:rsidR="001003DC" w:rsidRPr="00375CEA" w:rsidRDefault="001003DC" w:rsidP="00036022">
            <w:pPr>
              <w:pStyle w:val="Tabletextcentreditalic"/>
            </w:pPr>
            <w:r w:rsidRPr="00375CEA">
              <w:t>39.4</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890" w:type="dxa"/>
            <w:vMerge/>
          </w:tcPr>
          <w:p w:rsidR="001003DC" w:rsidRPr="00A579DA" w:rsidRDefault="001003DC" w:rsidP="003954B6">
            <w:pPr>
              <w:pStyle w:val="BodyText"/>
              <w:rPr>
                <w:rStyle w:val="Tabletitlebold"/>
              </w:rPr>
            </w:pPr>
          </w:p>
        </w:tc>
        <w:tc>
          <w:tcPr>
            <w:tcW w:w="1362" w:type="dxa"/>
          </w:tcPr>
          <w:p w:rsidR="001003DC" w:rsidRPr="000733E9" w:rsidRDefault="001003DC" w:rsidP="00375CEA">
            <w:pPr>
              <w:pStyle w:val="Tabletextcentred"/>
            </w:pPr>
            <w:r w:rsidRPr="000733E9">
              <w:t>CMIP3</w:t>
            </w:r>
          </w:p>
        </w:tc>
        <w:tc>
          <w:tcPr>
            <w:tcW w:w="1847" w:type="dxa"/>
          </w:tcPr>
          <w:p w:rsidR="001003DC" w:rsidRPr="000733E9" w:rsidRDefault="001003DC" w:rsidP="00375CEA">
            <w:pPr>
              <w:pStyle w:val="Tabletextcentred"/>
            </w:pPr>
            <w:r w:rsidRPr="000733E9">
              <w:t>42.0</w:t>
            </w:r>
          </w:p>
        </w:tc>
        <w:tc>
          <w:tcPr>
            <w:tcW w:w="1343" w:type="dxa"/>
          </w:tcPr>
          <w:p w:rsidR="001003DC" w:rsidRPr="000733E9" w:rsidRDefault="001003DC" w:rsidP="00375CEA">
            <w:pPr>
              <w:pStyle w:val="Tabletextcentred"/>
            </w:pPr>
            <w:r w:rsidRPr="000733E9">
              <w:t>38.0</w:t>
            </w:r>
          </w:p>
        </w:tc>
        <w:tc>
          <w:tcPr>
            <w:tcW w:w="1287" w:type="dxa"/>
          </w:tcPr>
          <w:p w:rsidR="001003DC" w:rsidRPr="000733E9" w:rsidRDefault="001003DC" w:rsidP="00375CEA">
            <w:pPr>
              <w:pStyle w:val="Tabletextcentred"/>
            </w:pPr>
            <w:r w:rsidRPr="000733E9">
              <w:t>38.1</w:t>
            </w:r>
          </w:p>
        </w:tc>
        <w:tc>
          <w:tcPr>
            <w:tcW w:w="1343" w:type="dxa"/>
          </w:tcPr>
          <w:p w:rsidR="001003DC" w:rsidRPr="00375CEA" w:rsidRDefault="001003DC" w:rsidP="00036022">
            <w:pPr>
              <w:pStyle w:val="Tabletextcentreditalic"/>
            </w:pPr>
            <w:r w:rsidRPr="00375CEA">
              <w:t>38.1</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890" w:type="dxa"/>
            <w:vMerge w:val="restart"/>
          </w:tcPr>
          <w:p w:rsidR="001003DC" w:rsidRPr="00A579DA" w:rsidRDefault="001003DC" w:rsidP="003954B6">
            <w:pPr>
              <w:pStyle w:val="BodyText"/>
              <w:rPr>
                <w:rStyle w:val="Tabletitlebold"/>
              </w:rPr>
            </w:pPr>
            <w:r w:rsidRPr="00A579DA">
              <w:rPr>
                <w:rStyle w:val="Tabletitlebold"/>
              </w:rPr>
              <w:t>Mean minimum central pressure (</w:t>
            </w:r>
            <w:proofErr w:type="spellStart"/>
            <w:r w:rsidRPr="00A579DA">
              <w:rPr>
                <w:rStyle w:val="Tabletitlebold"/>
              </w:rPr>
              <w:t>hPa</w:t>
            </w:r>
            <w:proofErr w:type="spellEnd"/>
            <w:r w:rsidRPr="00A579DA">
              <w:rPr>
                <w:rStyle w:val="Tabletitlebold"/>
              </w:rPr>
              <w:t>)</w:t>
            </w:r>
          </w:p>
        </w:tc>
        <w:tc>
          <w:tcPr>
            <w:tcW w:w="1362" w:type="dxa"/>
          </w:tcPr>
          <w:p w:rsidR="001003DC" w:rsidRPr="000733E9" w:rsidRDefault="001003DC" w:rsidP="00375CEA">
            <w:pPr>
              <w:pStyle w:val="Tabletextcentred"/>
            </w:pPr>
            <w:r w:rsidRPr="000733E9">
              <w:t>CMIP5</w:t>
            </w:r>
          </w:p>
        </w:tc>
        <w:tc>
          <w:tcPr>
            <w:tcW w:w="1847" w:type="dxa"/>
          </w:tcPr>
          <w:p w:rsidR="001003DC" w:rsidRPr="000733E9" w:rsidRDefault="001003DC" w:rsidP="00375CEA">
            <w:pPr>
              <w:pStyle w:val="Tabletextcentred"/>
            </w:pPr>
            <w:r w:rsidRPr="000733E9">
              <w:t>970.4</w:t>
            </w:r>
          </w:p>
        </w:tc>
        <w:tc>
          <w:tcPr>
            <w:tcW w:w="1343" w:type="dxa"/>
          </w:tcPr>
          <w:p w:rsidR="001003DC" w:rsidRPr="000733E9" w:rsidRDefault="001003DC" w:rsidP="00375CEA">
            <w:pPr>
              <w:pStyle w:val="Tabletextcentred"/>
            </w:pPr>
            <w:r w:rsidRPr="000733E9">
              <w:t>963.2</w:t>
            </w:r>
          </w:p>
        </w:tc>
        <w:tc>
          <w:tcPr>
            <w:tcW w:w="1287" w:type="dxa"/>
          </w:tcPr>
          <w:p w:rsidR="001003DC" w:rsidRPr="000733E9" w:rsidRDefault="001003DC" w:rsidP="00375CEA">
            <w:pPr>
              <w:pStyle w:val="Tabletextcentred"/>
            </w:pPr>
            <w:r w:rsidRPr="000733E9">
              <w:t>964.7</w:t>
            </w:r>
          </w:p>
        </w:tc>
        <w:tc>
          <w:tcPr>
            <w:tcW w:w="1343" w:type="dxa"/>
          </w:tcPr>
          <w:p w:rsidR="001003DC" w:rsidRPr="000733E9" w:rsidRDefault="001003DC" w:rsidP="00375CEA">
            <w:pPr>
              <w:pStyle w:val="Tabletextcentred"/>
            </w:pPr>
            <w:r w:rsidRPr="000733E9">
              <w:t>965.7</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890" w:type="dxa"/>
            <w:vMerge/>
          </w:tcPr>
          <w:p w:rsidR="001003DC" w:rsidRPr="000733E9" w:rsidRDefault="001003DC" w:rsidP="003954B6">
            <w:pPr>
              <w:pStyle w:val="BodyText"/>
              <w:rPr>
                <w:szCs w:val="18"/>
              </w:rPr>
            </w:pPr>
          </w:p>
        </w:tc>
        <w:tc>
          <w:tcPr>
            <w:tcW w:w="1362" w:type="dxa"/>
          </w:tcPr>
          <w:p w:rsidR="001003DC" w:rsidRPr="000733E9" w:rsidRDefault="001003DC" w:rsidP="00375CEA">
            <w:pPr>
              <w:pStyle w:val="Tabletextcentred"/>
            </w:pPr>
            <w:r w:rsidRPr="000733E9">
              <w:t>CMIP3</w:t>
            </w:r>
          </w:p>
        </w:tc>
        <w:tc>
          <w:tcPr>
            <w:tcW w:w="1847" w:type="dxa"/>
          </w:tcPr>
          <w:p w:rsidR="001003DC" w:rsidRPr="000733E9" w:rsidRDefault="001003DC" w:rsidP="00375CEA">
            <w:pPr>
              <w:pStyle w:val="Tabletextcentred"/>
            </w:pPr>
            <w:r w:rsidRPr="000733E9">
              <w:t>970.4</w:t>
            </w:r>
          </w:p>
        </w:tc>
        <w:tc>
          <w:tcPr>
            <w:tcW w:w="1343" w:type="dxa"/>
          </w:tcPr>
          <w:p w:rsidR="001003DC" w:rsidRPr="000733E9" w:rsidRDefault="001003DC" w:rsidP="00375CEA">
            <w:pPr>
              <w:pStyle w:val="Tabletextcentred"/>
            </w:pPr>
            <w:r w:rsidRPr="000733E9">
              <w:t>969.0</w:t>
            </w:r>
          </w:p>
        </w:tc>
        <w:tc>
          <w:tcPr>
            <w:tcW w:w="1287" w:type="dxa"/>
          </w:tcPr>
          <w:p w:rsidR="001003DC" w:rsidRPr="000733E9" w:rsidRDefault="001003DC" w:rsidP="00375CEA">
            <w:pPr>
              <w:pStyle w:val="Tabletextcentred"/>
            </w:pPr>
            <w:r w:rsidRPr="000733E9">
              <w:t>968.8</w:t>
            </w:r>
          </w:p>
        </w:tc>
        <w:tc>
          <w:tcPr>
            <w:tcW w:w="1343" w:type="dxa"/>
          </w:tcPr>
          <w:p w:rsidR="001003DC" w:rsidRPr="00375CEA" w:rsidRDefault="001003DC" w:rsidP="00036022">
            <w:pPr>
              <w:pStyle w:val="Tabletextcentreditalic"/>
            </w:pPr>
            <w:r w:rsidRPr="00375CEA">
              <w:t>968.7</w:t>
            </w:r>
          </w:p>
        </w:tc>
      </w:tr>
    </w:tbl>
    <w:p w:rsidR="001003DC" w:rsidRDefault="001003DC" w:rsidP="00DE0A84">
      <w:pPr>
        <w:pStyle w:val="Tabletitle"/>
      </w:pPr>
      <w:r>
        <w:br w:type="page"/>
      </w:r>
      <w:r>
        <w:lastRenderedPageBreak/>
        <w:t xml:space="preserve">Table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8</w:t>
      </w:r>
      <w:r w:rsidR="006A5281">
        <w:rPr>
          <w:noProof/>
        </w:rPr>
        <w:fldChar w:fldCharType="end"/>
      </w:r>
      <w:r>
        <w:t xml:space="preserve"> </w:t>
      </w:r>
      <w:r w:rsidRPr="00882419">
        <w:t>Ensemble mean peril matrix based on CMIP 3 and CMIP5 models</w:t>
      </w:r>
      <w:r>
        <w:t xml:space="preserve"> for the southern hemisphere</w:t>
      </w:r>
      <w:r w:rsidRPr="00882419">
        <w:t>. Values in italics in the 2081-2100 columns indicate where the changes of a majority of members have the same sign and are in the same direction as the mean; bold values indicate the ensemble</w:t>
      </w:r>
      <w:r w:rsidRPr="001003DC">
        <w:t xml:space="preserve"> </w:t>
      </w:r>
      <w:r w:rsidRPr="00491481">
        <w:t>mean change exceeds the inter-model standard deviation.</w:t>
      </w:r>
    </w:p>
    <w:tbl>
      <w:tblPr>
        <w:tblStyle w:val="TableStyleGAHeaderRow"/>
        <w:tblW w:w="9072" w:type="dxa"/>
        <w:tblLayout w:type="fixed"/>
        <w:tblLook w:val="04A0" w:firstRow="1" w:lastRow="0" w:firstColumn="1" w:lastColumn="0" w:noHBand="0" w:noVBand="1"/>
        <w:tblDescription w:val="This table presents the values of five parameters describing TC behaviour in the southern hemisphere, based on CMIP3 and CMIP5 ensembles. Across the suite of two model ensembles and five parameters (10 fields) only two indicate ensemble mean changes that exceed the inter-model standard deviation: annual frequency for the CMIP3 ensemble and the mean latitude of peak intensity for CMIP3 models. 8 of the 10 fields indicate that the majority of ensemble members have the same sign of change as the ensemble mean."/>
      </w:tblPr>
      <w:tblGrid>
        <w:gridCol w:w="1665"/>
        <w:gridCol w:w="1058"/>
        <w:gridCol w:w="1587"/>
        <w:gridCol w:w="1587"/>
        <w:gridCol w:w="1587"/>
        <w:gridCol w:w="1588"/>
      </w:tblGrid>
      <w:tr w:rsidR="001003DC" w:rsidRPr="00F82AE9" w:rsidTr="001003DC">
        <w:trPr>
          <w:cnfStyle w:val="100000000000" w:firstRow="1" w:lastRow="0" w:firstColumn="0" w:lastColumn="0" w:oddVBand="0" w:evenVBand="0" w:oddHBand="0" w:evenHBand="0" w:firstRowFirstColumn="0" w:firstRowLastColumn="0" w:lastRowFirstColumn="0" w:lastRowLastColumn="0"/>
          <w:tblHeader/>
        </w:trPr>
        <w:tc>
          <w:tcPr>
            <w:tcW w:w="1665" w:type="dxa"/>
          </w:tcPr>
          <w:p w:rsidR="001003DC" w:rsidRPr="00F82AE9" w:rsidRDefault="001003DC" w:rsidP="00F82AE9">
            <w:pPr>
              <w:pStyle w:val="Tableheadingcentred"/>
            </w:pPr>
            <w:r w:rsidRPr="00F82AE9">
              <w:t>Parameter</w:t>
            </w:r>
          </w:p>
        </w:tc>
        <w:tc>
          <w:tcPr>
            <w:tcW w:w="1058" w:type="dxa"/>
          </w:tcPr>
          <w:p w:rsidR="001003DC" w:rsidRPr="00F82AE9" w:rsidRDefault="001003DC" w:rsidP="00F82AE9">
            <w:pPr>
              <w:pStyle w:val="Tableheadingcentred"/>
            </w:pPr>
            <w:r w:rsidRPr="00F82AE9">
              <w:t>Model generation</w:t>
            </w:r>
          </w:p>
        </w:tc>
        <w:tc>
          <w:tcPr>
            <w:tcW w:w="1587" w:type="dxa"/>
          </w:tcPr>
          <w:p w:rsidR="001003DC" w:rsidRPr="00F82AE9" w:rsidRDefault="001003DC" w:rsidP="00F82AE9">
            <w:pPr>
              <w:pStyle w:val="Tableheadingcentred"/>
            </w:pPr>
            <w:r w:rsidRPr="00F82AE9">
              <w:t>Historical Baseline</w:t>
            </w:r>
          </w:p>
        </w:tc>
        <w:tc>
          <w:tcPr>
            <w:tcW w:w="1587" w:type="dxa"/>
          </w:tcPr>
          <w:p w:rsidR="001003DC" w:rsidRPr="00F82AE9" w:rsidRDefault="001003DC" w:rsidP="00F82AE9">
            <w:pPr>
              <w:pStyle w:val="Tableheadingcentred"/>
            </w:pPr>
            <w:r w:rsidRPr="00F82AE9">
              <w:t>1981-2000</w:t>
            </w:r>
          </w:p>
        </w:tc>
        <w:tc>
          <w:tcPr>
            <w:tcW w:w="1587" w:type="dxa"/>
          </w:tcPr>
          <w:p w:rsidR="001003DC" w:rsidRPr="00F82AE9" w:rsidRDefault="001003DC" w:rsidP="00F82AE9">
            <w:pPr>
              <w:pStyle w:val="Tableheadingcentred"/>
            </w:pPr>
            <w:r w:rsidRPr="00F82AE9">
              <w:t>2050</w:t>
            </w:r>
          </w:p>
        </w:tc>
        <w:tc>
          <w:tcPr>
            <w:tcW w:w="1588" w:type="dxa"/>
          </w:tcPr>
          <w:p w:rsidR="001003DC" w:rsidRPr="00F82AE9" w:rsidRDefault="001003DC" w:rsidP="00F82AE9">
            <w:pPr>
              <w:pStyle w:val="Tableheadingcentred"/>
            </w:pPr>
            <w:r w:rsidRPr="00F82AE9">
              <w:t>2081-2100</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665" w:type="dxa"/>
            <w:vMerge w:val="restart"/>
          </w:tcPr>
          <w:p w:rsidR="001003DC" w:rsidRPr="00A579DA" w:rsidRDefault="001003DC" w:rsidP="00DE0A84">
            <w:pPr>
              <w:pStyle w:val="BodyText"/>
              <w:rPr>
                <w:rStyle w:val="Tabletitlebold"/>
              </w:rPr>
            </w:pPr>
            <w:r w:rsidRPr="00A579DA">
              <w:rPr>
                <w:rStyle w:val="Tabletitlebold"/>
              </w:rPr>
              <w:t>Annual frequency (TCs/year)</w:t>
            </w:r>
          </w:p>
        </w:tc>
        <w:tc>
          <w:tcPr>
            <w:tcW w:w="1058" w:type="dxa"/>
          </w:tcPr>
          <w:p w:rsidR="001003DC" w:rsidRPr="000733E9" w:rsidRDefault="001003DC" w:rsidP="00DE0A84">
            <w:pPr>
              <w:pStyle w:val="Tabletextcentred"/>
            </w:pPr>
            <w:r w:rsidRPr="000733E9">
              <w:t>CMIP5</w:t>
            </w:r>
          </w:p>
        </w:tc>
        <w:tc>
          <w:tcPr>
            <w:tcW w:w="1587" w:type="dxa"/>
          </w:tcPr>
          <w:p w:rsidR="001003DC" w:rsidRPr="000733E9" w:rsidRDefault="001003DC" w:rsidP="00DE0A84">
            <w:pPr>
              <w:pStyle w:val="Tabletextcentred"/>
            </w:pPr>
            <w:r w:rsidRPr="000733E9">
              <w:t>13.2</w:t>
            </w:r>
          </w:p>
        </w:tc>
        <w:tc>
          <w:tcPr>
            <w:tcW w:w="1587" w:type="dxa"/>
          </w:tcPr>
          <w:p w:rsidR="001003DC" w:rsidRPr="000733E9" w:rsidRDefault="001003DC" w:rsidP="00DE0A84">
            <w:pPr>
              <w:pStyle w:val="Tabletextcentred"/>
            </w:pPr>
            <w:r w:rsidRPr="000733E9">
              <w:t>13.2</w:t>
            </w:r>
          </w:p>
        </w:tc>
        <w:tc>
          <w:tcPr>
            <w:tcW w:w="1587" w:type="dxa"/>
          </w:tcPr>
          <w:p w:rsidR="001003DC" w:rsidRPr="000733E9" w:rsidRDefault="001003DC" w:rsidP="00DE0A84">
            <w:pPr>
              <w:pStyle w:val="Tabletextcentred"/>
            </w:pPr>
            <w:r>
              <w:t>14.2</w:t>
            </w:r>
          </w:p>
        </w:tc>
        <w:tc>
          <w:tcPr>
            <w:tcW w:w="1588" w:type="dxa"/>
          </w:tcPr>
          <w:p w:rsidR="001003DC" w:rsidRPr="000733E9" w:rsidRDefault="001003DC" w:rsidP="00DE0A84">
            <w:pPr>
              <w:pStyle w:val="Tabletextcentred"/>
            </w:pPr>
            <w:r>
              <w:t>14.9</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665" w:type="dxa"/>
            <w:vMerge/>
          </w:tcPr>
          <w:p w:rsidR="001003DC" w:rsidRPr="00A579DA" w:rsidRDefault="001003DC" w:rsidP="00DE0A84">
            <w:pPr>
              <w:pStyle w:val="BodyText"/>
              <w:rPr>
                <w:rStyle w:val="Tabletitlebold"/>
              </w:rPr>
            </w:pPr>
          </w:p>
        </w:tc>
        <w:tc>
          <w:tcPr>
            <w:tcW w:w="1058" w:type="dxa"/>
          </w:tcPr>
          <w:p w:rsidR="001003DC" w:rsidRPr="000733E9" w:rsidRDefault="001003DC" w:rsidP="00DE0A84">
            <w:pPr>
              <w:pStyle w:val="Tabletextcentred"/>
            </w:pPr>
            <w:r w:rsidRPr="000733E9">
              <w:t>CMIP3</w:t>
            </w:r>
          </w:p>
        </w:tc>
        <w:tc>
          <w:tcPr>
            <w:tcW w:w="1587" w:type="dxa"/>
          </w:tcPr>
          <w:p w:rsidR="001003DC" w:rsidRPr="000733E9" w:rsidRDefault="001003DC" w:rsidP="00DE0A84">
            <w:pPr>
              <w:pStyle w:val="Tabletextcentred"/>
            </w:pPr>
            <w:r w:rsidRPr="000733E9">
              <w:t>13.2</w:t>
            </w:r>
          </w:p>
        </w:tc>
        <w:tc>
          <w:tcPr>
            <w:tcW w:w="1587" w:type="dxa"/>
          </w:tcPr>
          <w:p w:rsidR="001003DC" w:rsidRPr="000733E9" w:rsidRDefault="001003DC" w:rsidP="00DE0A84">
            <w:pPr>
              <w:pStyle w:val="Tabletextcentred"/>
            </w:pPr>
            <w:r w:rsidRPr="000733E9">
              <w:t>13.2</w:t>
            </w:r>
          </w:p>
        </w:tc>
        <w:tc>
          <w:tcPr>
            <w:tcW w:w="1587" w:type="dxa"/>
          </w:tcPr>
          <w:p w:rsidR="001003DC" w:rsidRPr="000733E9" w:rsidRDefault="001003DC" w:rsidP="00DE0A84">
            <w:pPr>
              <w:pStyle w:val="Tabletextcentred"/>
            </w:pPr>
            <w:r w:rsidRPr="000733E9">
              <w:t>8.0</w:t>
            </w:r>
          </w:p>
        </w:tc>
        <w:tc>
          <w:tcPr>
            <w:tcW w:w="1588" w:type="dxa"/>
          </w:tcPr>
          <w:p w:rsidR="001003DC" w:rsidRPr="00370884" w:rsidRDefault="001003DC" w:rsidP="002C2ECE">
            <w:pPr>
              <w:pStyle w:val="Tabletextcentredbolditalic"/>
            </w:pPr>
            <w:r w:rsidRPr="00370884">
              <w:t>4.6</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665" w:type="dxa"/>
            <w:vMerge w:val="restart"/>
          </w:tcPr>
          <w:p w:rsidR="001003DC" w:rsidRPr="00A579DA" w:rsidRDefault="001003DC" w:rsidP="00DE0A84">
            <w:pPr>
              <w:pStyle w:val="BodyText"/>
              <w:rPr>
                <w:rStyle w:val="Tabletitlebold"/>
              </w:rPr>
            </w:pPr>
            <w:r w:rsidRPr="00A579DA">
              <w:rPr>
                <w:rStyle w:val="Tabletitlebold"/>
              </w:rPr>
              <w:t>Genesis Latitude</w:t>
            </w:r>
          </w:p>
          <w:p w:rsidR="001003DC" w:rsidRPr="00A579DA" w:rsidRDefault="001003DC" w:rsidP="00DE0A84">
            <w:pPr>
              <w:pStyle w:val="BodyText"/>
              <w:rPr>
                <w:rStyle w:val="Tabletitlebold"/>
              </w:rPr>
            </w:pPr>
            <w:r w:rsidRPr="00A579DA">
              <w:rPr>
                <w:rStyle w:val="Tabletitlebold"/>
              </w:rPr>
              <w:t>(degrees north)</w:t>
            </w:r>
          </w:p>
        </w:tc>
        <w:tc>
          <w:tcPr>
            <w:tcW w:w="1058" w:type="dxa"/>
          </w:tcPr>
          <w:p w:rsidR="001003DC" w:rsidRPr="000733E9" w:rsidRDefault="001003DC" w:rsidP="00DE0A84">
            <w:pPr>
              <w:pStyle w:val="Tabletextcentred"/>
            </w:pPr>
            <w:r w:rsidRPr="000733E9">
              <w:t>CMIP5</w:t>
            </w:r>
          </w:p>
        </w:tc>
        <w:tc>
          <w:tcPr>
            <w:tcW w:w="1587" w:type="dxa"/>
          </w:tcPr>
          <w:p w:rsidR="001003DC" w:rsidRPr="000733E9" w:rsidRDefault="001003DC" w:rsidP="00DE0A84">
            <w:pPr>
              <w:pStyle w:val="Tabletextcentred"/>
            </w:pPr>
            <w:r w:rsidRPr="000733E9">
              <w:t>-14.3</w:t>
            </w:r>
          </w:p>
        </w:tc>
        <w:tc>
          <w:tcPr>
            <w:tcW w:w="1587" w:type="dxa"/>
          </w:tcPr>
          <w:p w:rsidR="001003DC" w:rsidRPr="000733E9" w:rsidRDefault="001003DC" w:rsidP="00DE0A84">
            <w:pPr>
              <w:pStyle w:val="Tabletextcentred"/>
            </w:pPr>
            <w:r w:rsidRPr="000733E9">
              <w:t>-13.8</w:t>
            </w:r>
          </w:p>
        </w:tc>
        <w:tc>
          <w:tcPr>
            <w:tcW w:w="1587" w:type="dxa"/>
          </w:tcPr>
          <w:p w:rsidR="001003DC" w:rsidRPr="000733E9" w:rsidRDefault="001003DC" w:rsidP="00DE0A84">
            <w:pPr>
              <w:pStyle w:val="Tabletextcentred"/>
            </w:pPr>
            <w:r w:rsidRPr="000733E9">
              <w:t>-13.4</w:t>
            </w:r>
          </w:p>
        </w:tc>
        <w:tc>
          <w:tcPr>
            <w:tcW w:w="1588" w:type="dxa"/>
          </w:tcPr>
          <w:p w:rsidR="001003DC" w:rsidRPr="00375CEA" w:rsidRDefault="001003DC" w:rsidP="00036022">
            <w:pPr>
              <w:pStyle w:val="Tabletextcentreditalic"/>
            </w:pPr>
            <w:r w:rsidRPr="00375CEA">
              <w:t>-13.2</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665" w:type="dxa"/>
            <w:vMerge/>
          </w:tcPr>
          <w:p w:rsidR="001003DC" w:rsidRPr="00A579DA" w:rsidRDefault="001003DC" w:rsidP="00DE0A84">
            <w:pPr>
              <w:pStyle w:val="BodyText"/>
              <w:rPr>
                <w:rStyle w:val="Tabletitlebold"/>
              </w:rPr>
            </w:pPr>
          </w:p>
        </w:tc>
        <w:tc>
          <w:tcPr>
            <w:tcW w:w="1058" w:type="dxa"/>
          </w:tcPr>
          <w:p w:rsidR="001003DC" w:rsidRPr="000733E9" w:rsidRDefault="001003DC" w:rsidP="00DE0A84">
            <w:pPr>
              <w:pStyle w:val="Tabletextcentred"/>
            </w:pPr>
            <w:r w:rsidRPr="000733E9">
              <w:t>CMIP3</w:t>
            </w:r>
          </w:p>
        </w:tc>
        <w:tc>
          <w:tcPr>
            <w:tcW w:w="1587" w:type="dxa"/>
          </w:tcPr>
          <w:p w:rsidR="001003DC" w:rsidRPr="000733E9" w:rsidRDefault="001003DC" w:rsidP="00DE0A84">
            <w:pPr>
              <w:pStyle w:val="Tabletextcentred"/>
            </w:pPr>
            <w:r w:rsidRPr="000733E9">
              <w:t>-14.3</w:t>
            </w:r>
          </w:p>
        </w:tc>
        <w:tc>
          <w:tcPr>
            <w:tcW w:w="1587" w:type="dxa"/>
          </w:tcPr>
          <w:p w:rsidR="001003DC" w:rsidRPr="000733E9" w:rsidRDefault="001003DC" w:rsidP="00DE0A84">
            <w:pPr>
              <w:pStyle w:val="Tabletextcentred"/>
            </w:pPr>
            <w:r w:rsidRPr="000733E9">
              <w:t>-18.4</w:t>
            </w:r>
          </w:p>
        </w:tc>
        <w:tc>
          <w:tcPr>
            <w:tcW w:w="1587" w:type="dxa"/>
          </w:tcPr>
          <w:p w:rsidR="001003DC" w:rsidRPr="000733E9" w:rsidRDefault="001003DC" w:rsidP="00DE0A84">
            <w:pPr>
              <w:pStyle w:val="Tabletextcentred"/>
            </w:pPr>
            <w:r w:rsidRPr="000733E9">
              <w:t>-19.5</w:t>
            </w:r>
          </w:p>
        </w:tc>
        <w:tc>
          <w:tcPr>
            <w:tcW w:w="1588" w:type="dxa"/>
          </w:tcPr>
          <w:p w:rsidR="001003DC" w:rsidRPr="00375CEA" w:rsidRDefault="001003DC" w:rsidP="00036022">
            <w:pPr>
              <w:pStyle w:val="Tabletextcentreditalic"/>
            </w:pPr>
            <w:r w:rsidRPr="00375CEA">
              <w:t>-20.3</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665" w:type="dxa"/>
            <w:vMerge w:val="restart"/>
          </w:tcPr>
          <w:p w:rsidR="001003DC" w:rsidRPr="00A579DA" w:rsidRDefault="001003DC" w:rsidP="00DE0A84">
            <w:pPr>
              <w:pStyle w:val="BodyText"/>
              <w:rPr>
                <w:rStyle w:val="Tabletitlebold"/>
              </w:rPr>
            </w:pPr>
            <w:r w:rsidRPr="00A579DA">
              <w:rPr>
                <w:rStyle w:val="Tabletitlebold"/>
              </w:rPr>
              <w:t>Mean latitude of peak intensity</w:t>
            </w:r>
          </w:p>
          <w:p w:rsidR="001003DC" w:rsidRPr="00A579DA" w:rsidRDefault="001003DC" w:rsidP="00DE0A84">
            <w:pPr>
              <w:pStyle w:val="BodyText"/>
              <w:rPr>
                <w:rStyle w:val="Tabletitlebold"/>
              </w:rPr>
            </w:pPr>
            <w:r w:rsidRPr="00A579DA">
              <w:rPr>
                <w:rStyle w:val="Tabletitlebold"/>
              </w:rPr>
              <w:t>(degrees north)</w:t>
            </w:r>
          </w:p>
        </w:tc>
        <w:tc>
          <w:tcPr>
            <w:tcW w:w="1058" w:type="dxa"/>
          </w:tcPr>
          <w:p w:rsidR="001003DC" w:rsidRPr="000733E9" w:rsidRDefault="001003DC" w:rsidP="00DE0A84">
            <w:pPr>
              <w:pStyle w:val="Tabletextcentred"/>
            </w:pPr>
            <w:r w:rsidRPr="000733E9">
              <w:t>CMIP5</w:t>
            </w:r>
          </w:p>
        </w:tc>
        <w:tc>
          <w:tcPr>
            <w:tcW w:w="1587" w:type="dxa"/>
          </w:tcPr>
          <w:p w:rsidR="001003DC" w:rsidRPr="000733E9" w:rsidRDefault="001003DC" w:rsidP="00DE0A84">
            <w:pPr>
              <w:pStyle w:val="Tabletextcentred"/>
            </w:pPr>
            <w:r w:rsidRPr="000733E9">
              <w:t>-19.3</w:t>
            </w:r>
          </w:p>
        </w:tc>
        <w:tc>
          <w:tcPr>
            <w:tcW w:w="1587" w:type="dxa"/>
          </w:tcPr>
          <w:p w:rsidR="001003DC" w:rsidRPr="000733E9" w:rsidRDefault="001003DC" w:rsidP="00DE0A84">
            <w:pPr>
              <w:pStyle w:val="Tabletextcentred"/>
            </w:pPr>
            <w:r w:rsidRPr="000733E9">
              <w:t>-19.0</w:t>
            </w:r>
          </w:p>
        </w:tc>
        <w:tc>
          <w:tcPr>
            <w:tcW w:w="1587" w:type="dxa"/>
          </w:tcPr>
          <w:p w:rsidR="001003DC" w:rsidRPr="000733E9" w:rsidRDefault="001003DC" w:rsidP="00DE0A84">
            <w:pPr>
              <w:pStyle w:val="Tabletextcentred"/>
            </w:pPr>
            <w:r w:rsidRPr="000733E9">
              <w:t>-19.1</w:t>
            </w:r>
          </w:p>
        </w:tc>
        <w:tc>
          <w:tcPr>
            <w:tcW w:w="1588" w:type="dxa"/>
          </w:tcPr>
          <w:p w:rsidR="001003DC" w:rsidRPr="000733E9" w:rsidRDefault="001003DC" w:rsidP="00DE0A84">
            <w:pPr>
              <w:pStyle w:val="Tabletextcentred"/>
            </w:pPr>
            <w:r w:rsidRPr="000733E9">
              <w:t>-19.1</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665" w:type="dxa"/>
            <w:vMerge/>
          </w:tcPr>
          <w:p w:rsidR="001003DC" w:rsidRPr="00A579DA" w:rsidRDefault="001003DC" w:rsidP="00DE0A84">
            <w:pPr>
              <w:pStyle w:val="BodyText"/>
              <w:rPr>
                <w:rStyle w:val="Tabletitlebold"/>
              </w:rPr>
            </w:pPr>
          </w:p>
        </w:tc>
        <w:tc>
          <w:tcPr>
            <w:tcW w:w="1058" w:type="dxa"/>
          </w:tcPr>
          <w:p w:rsidR="001003DC" w:rsidRPr="000733E9" w:rsidRDefault="001003DC" w:rsidP="00DE0A84">
            <w:pPr>
              <w:pStyle w:val="Tabletextcentred"/>
            </w:pPr>
            <w:r w:rsidRPr="000733E9">
              <w:t>CMIP3</w:t>
            </w:r>
          </w:p>
        </w:tc>
        <w:tc>
          <w:tcPr>
            <w:tcW w:w="1587" w:type="dxa"/>
          </w:tcPr>
          <w:p w:rsidR="001003DC" w:rsidRPr="000733E9" w:rsidRDefault="001003DC" w:rsidP="00DE0A84">
            <w:pPr>
              <w:pStyle w:val="Tabletextcentred"/>
            </w:pPr>
            <w:r w:rsidRPr="000733E9">
              <w:t>-19.3</w:t>
            </w:r>
          </w:p>
        </w:tc>
        <w:tc>
          <w:tcPr>
            <w:tcW w:w="1587" w:type="dxa"/>
          </w:tcPr>
          <w:p w:rsidR="001003DC" w:rsidRPr="000733E9" w:rsidRDefault="001003DC" w:rsidP="00DE0A84">
            <w:pPr>
              <w:pStyle w:val="Tabletextcentred"/>
            </w:pPr>
            <w:r w:rsidRPr="000733E9">
              <w:t>-19.4</w:t>
            </w:r>
          </w:p>
        </w:tc>
        <w:tc>
          <w:tcPr>
            <w:tcW w:w="1587" w:type="dxa"/>
          </w:tcPr>
          <w:p w:rsidR="001003DC" w:rsidRPr="000733E9" w:rsidRDefault="001003DC" w:rsidP="00DE0A84">
            <w:pPr>
              <w:pStyle w:val="Tabletextcentred"/>
            </w:pPr>
            <w:r w:rsidRPr="000733E9">
              <w:t>-20.5</w:t>
            </w:r>
          </w:p>
        </w:tc>
        <w:tc>
          <w:tcPr>
            <w:tcW w:w="1588" w:type="dxa"/>
          </w:tcPr>
          <w:p w:rsidR="001003DC" w:rsidRPr="00370884" w:rsidRDefault="001003DC" w:rsidP="002C2ECE">
            <w:pPr>
              <w:pStyle w:val="Tabletextcentredbolditalic"/>
            </w:pPr>
            <w:r w:rsidRPr="00370884">
              <w:t>-21.3</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665" w:type="dxa"/>
            <w:vMerge w:val="restart"/>
          </w:tcPr>
          <w:p w:rsidR="001003DC" w:rsidRPr="00A579DA" w:rsidRDefault="001003DC" w:rsidP="00DE0A84">
            <w:pPr>
              <w:pStyle w:val="BodyText"/>
              <w:rPr>
                <w:rStyle w:val="Tabletitlebold"/>
              </w:rPr>
            </w:pPr>
            <w:r w:rsidRPr="00A579DA">
              <w:rPr>
                <w:rStyle w:val="Tabletitlebold"/>
              </w:rPr>
              <w:t>Mean maximum sustained wind speed (m/s)</w:t>
            </w:r>
          </w:p>
        </w:tc>
        <w:tc>
          <w:tcPr>
            <w:tcW w:w="1058" w:type="dxa"/>
          </w:tcPr>
          <w:p w:rsidR="001003DC" w:rsidRPr="000733E9" w:rsidRDefault="001003DC" w:rsidP="00DE0A84">
            <w:pPr>
              <w:pStyle w:val="Tabletextcentred"/>
            </w:pPr>
            <w:r w:rsidRPr="000733E9">
              <w:t>CMIP5</w:t>
            </w:r>
          </w:p>
        </w:tc>
        <w:tc>
          <w:tcPr>
            <w:tcW w:w="1587" w:type="dxa"/>
          </w:tcPr>
          <w:p w:rsidR="001003DC" w:rsidRPr="000733E9" w:rsidRDefault="001003DC" w:rsidP="00DE0A84">
            <w:pPr>
              <w:pStyle w:val="Tabletextcentred"/>
            </w:pPr>
            <w:r w:rsidRPr="000733E9">
              <w:t>37.0</w:t>
            </w:r>
          </w:p>
        </w:tc>
        <w:tc>
          <w:tcPr>
            <w:tcW w:w="1587" w:type="dxa"/>
          </w:tcPr>
          <w:p w:rsidR="001003DC" w:rsidRPr="000733E9" w:rsidRDefault="001003DC" w:rsidP="00DE0A84">
            <w:pPr>
              <w:pStyle w:val="Tabletextcentred"/>
            </w:pPr>
            <w:r w:rsidRPr="000733E9">
              <w:t>38.5</w:t>
            </w:r>
          </w:p>
        </w:tc>
        <w:tc>
          <w:tcPr>
            <w:tcW w:w="1587" w:type="dxa"/>
          </w:tcPr>
          <w:p w:rsidR="001003DC" w:rsidRPr="000733E9" w:rsidRDefault="001003DC" w:rsidP="00DE0A84">
            <w:pPr>
              <w:pStyle w:val="Tabletextcentred"/>
            </w:pPr>
            <w:r w:rsidRPr="000733E9">
              <w:t>37.9</w:t>
            </w:r>
          </w:p>
        </w:tc>
        <w:tc>
          <w:tcPr>
            <w:tcW w:w="1588" w:type="dxa"/>
          </w:tcPr>
          <w:p w:rsidR="001003DC" w:rsidRPr="00375CEA" w:rsidRDefault="001003DC" w:rsidP="00036022">
            <w:pPr>
              <w:pStyle w:val="Tabletextcentreditalic"/>
            </w:pPr>
            <w:r w:rsidRPr="00375CEA">
              <w:t>37.4</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665" w:type="dxa"/>
            <w:vMerge/>
          </w:tcPr>
          <w:p w:rsidR="001003DC" w:rsidRPr="00A579DA" w:rsidRDefault="001003DC" w:rsidP="00DE0A84">
            <w:pPr>
              <w:pStyle w:val="BodyText"/>
              <w:rPr>
                <w:rStyle w:val="Tabletitlebold"/>
              </w:rPr>
            </w:pPr>
          </w:p>
        </w:tc>
        <w:tc>
          <w:tcPr>
            <w:tcW w:w="1058" w:type="dxa"/>
          </w:tcPr>
          <w:p w:rsidR="001003DC" w:rsidRPr="000733E9" w:rsidRDefault="001003DC" w:rsidP="00DE0A84">
            <w:pPr>
              <w:pStyle w:val="Tabletextcentred"/>
            </w:pPr>
            <w:r w:rsidRPr="000733E9">
              <w:t>CMIP3</w:t>
            </w:r>
          </w:p>
        </w:tc>
        <w:tc>
          <w:tcPr>
            <w:tcW w:w="1587" w:type="dxa"/>
          </w:tcPr>
          <w:p w:rsidR="001003DC" w:rsidRPr="000733E9" w:rsidRDefault="001003DC" w:rsidP="00DE0A84">
            <w:pPr>
              <w:pStyle w:val="Tabletextcentred"/>
            </w:pPr>
            <w:r w:rsidRPr="000733E9">
              <w:t>37.0</w:t>
            </w:r>
          </w:p>
        </w:tc>
        <w:tc>
          <w:tcPr>
            <w:tcW w:w="1587" w:type="dxa"/>
          </w:tcPr>
          <w:p w:rsidR="001003DC" w:rsidRPr="000733E9" w:rsidRDefault="001003DC" w:rsidP="00DE0A84">
            <w:pPr>
              <w:pStyle w:val="Tabletextcentred"/>
            </w:pPr>
            <w:r w:rsidRPr="000733E9">
              <w:t>35.0</w:t>
            </w:r>
          </w:p>
        </w:tc>
        <w:tc>
          <w:tcPr>
            <w:tcW w:w="1587" w:type="dxa"/>
          </w:tcPr>
          <w:p w:rsidR="001003DC" w:rsidRPr="000733E9" w:rsidRDefault="001003DC" w:rsidP="00DE0A84">
            <w:pPr>
              <w:pStyle w:val="Tabletextcentred"/>
            </w:pPr>
            <w:r w:rsidRPr="000733E9">
              <w:t>34.0</w:t>
            </w:r>
          </w:p>
        </w:tc>
        <w:tc>
          <w:tcPr>
            <w:tcW w:w="1588" w:type="dxa"/>
          </w:tcPr>
          <w:p w:rsidR="001003DC" w:rsidRPr="00375CEA" w:rsidRDefault="001003DC" w:rsidP="00036022">
            <w:pPr>
              <w:pStyle w:val="Tabletextcentreditalic"/>
            </w:pPr>
            <w:r w:rsidRPr="00375CEA">
              <w:t>33.3</w:t>
            </w:r>
          </w:p>
        </w:tc>
      </w:tr>
      <w:tr w:rsidR="001003DC" w:rsidTr="001003DC">
        <w:trPr>
          <w:cnfStyle w:val="000000100000" w:firstRow="0" w:lastRow="0" w:firstColumn="0" w:lastColumn="0" w:oddVBand="0" w:evenVBand="0" w:oddHBand="1" w:evenHBand="0" w:firstRowFirstColumn="0" w:firstRowLastColumn="0" w:lastRowFirstColumn="0" w:lastRowLastColumn="0"/>
          <w:trHeight w:val="357"/>
        </w:trPr>
        <w:tc>
          <w:tcPr>
            <w:tcW w:w="1665" w:type="dxa"/>
            <w:vMerge w:val="restart"/>
          </w:tcPr>
          <w:p w:rsidR="001003DC" w:rsidRPr="00A579DA" w:rsidRDefault="001003DC" w:rsidP="00DE0A84">
            <w:pPr>
              <w:pStyle w:val="BodyText"/>
              <w:rPr>
                <w:rStyle w:val="Tabletitlebold"/>
              </w:rPr>
            </w:pPr>
            <w:r w:rsidRPr="00A579DA">
              <w:rPr>
                <w:rStyle w:val="Tabletitlebold"/>
              </w:rPr>
              <w:t>Mean minimum central pressure (</w:t>
            </w:r>
            <w:proofErr w:type="spellStart"/>
            <w:r w:rsidRPr="00A579DA">
              <w:rPr>
                <w:rStyle w:val="Tabletitlebold"/>
              </w:rPr>
              <w:t>hPa</w:t>
            </w:r>
            <w:proofErr w:type="spellEnd"/>
            <w:r w:rsidRPr="00A579DA">
              <w:rPr>
                <w:rStyle w:val="Tabletitlebold"/>
              </w:rPr>
              <w:t>)</w:t>
            </w:r>
          </w:p>
        </w:tc>
        <w:tc>
          <w:tcPr>
            <w:tcW w:w="1058" w:type="dxa"/>
          </w:tcPr>
          <w:p w:rsidR="001003DC" w:rsidRPr="000733E9" w:rsidRDefault="001003DC" w:rsidP="00DE0A84">
            <w:pPr>
              <w:pStyle w:val="Tabletextcentred"/>
            </w:pPr>
            <w:r w:rsidRPr="000733E9">
              <w:t>CMIP5</w:t>
            </w:r>
          </w:p>
        </w:tc>
        <w:tc>
          <w:tcPr>
            <w:tcW w:w="1587" w:type="dxa"/>
          </w:tcPr>
          <w:p w:rsidR="001003DC" w:rsidRPr="000733E9" w:rsidRDefault="001003DC" w:rsidP="00DE0A84">
            <w:pPr>
              <w:pStyle w:val="Tabletextcentred"/>
            </w:pPr>
            <w:r w:rsidRPr="000733E9">
              <w:t>976.4</w:t>
            </w:r>
          </w:p>
        </w:tc>
        <w:tc>
          <w:tcPr>
            <w:tcW w:w="1587" w:type="dxa"/>
          </w:tcPr>
          <w:p w:rsidR="001003DC" w:rsidRPr="000733E9" w:rsidRDefault="001003DC" w:rsidP="00DE0A84">
            <w:pPr>
              <w:pStyle w:val="Tabletextcentred"/>
            </w:pPr>
            <w:r w:rsidRPr="000733E9">
              <w:t>968.5</w:t>
            </w:r>
          </w:p>
        </w:tc>
        <w:tc>
          <w:tcPr>
            <w:tcW w:w="1587" w:type="dxa"/>
          </w:tcPr>
          <w:p w:rsidR="001003DC" w:rsidRPr="000733E9" w:rsidRDefault="001003DC" w:rsidP="00DE0A84">
            <w:pPr>
              <w:pStyle w:val="Tabletextcentred"/>
            </w:pPr>
            <w:r w:rsidRPr="000733E9">
              <w:t>969.1</w:t>
            </w:r>
          </w:p>
        </w:tc>
        <w:tc>
          <w:tcPr>
            <w:tcW w:w="1588" w:type="dxa"/>
          </w:tcPr>
          <w:p w:rsidR="001003DC" w:rsidRPr="00375CEA" w:rsidRDefault="001003DC" w:rsidP="00036022">
            <w:pPr>
              <w:pStyle w:val="Tabletextcentreditalic"/>
            </w:pPr>
            <w:r w:rsidRPr="00375CEA">
              <w:t>969.5</w:t>
            </w:r>
          </w:p>
        </w:tc>
      </w:tr>
      <w:tr w:rsidR="001003DC" w:rsidTr="001003DC">
        <w:trPr>
          <w:cnfStyle w:val="000000010000" w:firstRow="0" w:lastRow="0" w:firstColumn="0" w:lastColumn="0" w:oddVBand="0" w:evenVBand="0" w:oddHBand="0" w:evenHBand="1" w:firstRowFirstColumn="0" w:firstRowLastColumn="0" w:lastRowFirstColumn="0" w:lastRowLastColumn="0"/>
          <w:trHeight w:val="357"/>
        </w:trPr>
        <w:tc>
          <w:tcPr>
            <w:tcW w:w="1665" w:type="dxa"/>
            <w:vMerge/>
          </w:tcPr>
          <w:p w:rsidR="001003DC" w:rsidRPr="000733E9" w:rsidRDefault="001003DC" w:rsidP="00DE0A84">
            <w:pPr>
              <w:pStyle w:val="BodyText"/>
              <w:rPr>
                <w:szCs w:val="18"/>
              </w:rPr>
            </w:pPr>
          </w:p>
        </w:tc>
        <w:tc>
          <w:tcPr>
            <w:tcW w:w="1058" w:type="dxa"/>
          </w:tcPr>
          <w:p w:rsidR="001003DC" w:rsidRPr="000733E9" w:rsidRDefault="001003DC" w:rsidP="00DE0A84">
            <w:pPr>
              <w:pStyle w:val="Tabletextcentred"/>
            </w:pPr>
            <w:r w:rsidRPr="000733E9">
              <w:t>CMIP3</w:t>
            </w:r>
          </w:p>
        </w:tc>
        <w:tc>
          <w:tcPr>
            <w:tcW w:w="1587" w:type="dxa"/>
          </w:tcPr>
          <w:p w:rsidR="001003DC" w:rsidRPr="000733E9" w:rsidRDefault="001003DC" w:rsidP="00DE0A84">
            <w:pPr>
              <w:pStyle w:val="Tabletextcentred"/>
            </w:pPr>
            <w:r w:rsidRPr="000733E9">
              <w:t>976.4</w:t>
            </w:r>
          </w:p>
        </w:tc>
        <w:tc>
          <w:tcPr>
            <w:tcW w:w="1587" w:type="dxa"/>
          </w:tcPr>
          <w:p w:rsidR="001003DC" w:rsidRPr="000733E9" w:rsidRDefault="001003DC" w:rsidP="00DE0A84">
            <w:pPr>
              <w:pStyle w:val="Tabletextcentred"/>
            </w:pPr>
            <w:r w:rsidRPr="000733E9">
              <w:t>975.9</w:t>
            </w:r>
          </w:p>
        </w:tc>
        <w:tc>
          <w:tcPr>
            <w:tcW w:w="1587" w:type="dxa"/>
          </w:tcPr>
          <w:p w:rsidR="001003DC" w:rsidRPr="000733E9" w:rsidRDefault="001003DC" w:rsidP="00DE0A84">
            <w:pPr>
              <w:pStyle w:val="Tabletextcentred"/>
            </w:pPr>
            <w:r w:rsidRPr="000733E9">
              <w:t>976.7</w:t>
            </w:r>
          </w:p>
        </w:tc>
        <w:tc>
          <w:tcPr>
            <w:tcW w:w="1588" w:type="dxa"/>
          </w:tcPr>
          <w:p w:rsidR="001003DC" w:rsidRPr="00375CEA" w:rsidRDefault="001003DC" w:rsidP="00036022">
            <w:pPr>
              <w:pStyle w:val="Tabletextcentreditalic"/>
            </w:pPr>
            <w:r w:rsidRPr="00375CEA">
              <w:t>977.2</w:t>
            </w:r>
          </w:p>
        </w:tc>
      </w:tr>
    </w:tbl>
    <w:p w:rsidR="001003DC" w:rsidRDefault="001003DC" w:rsidP="00BC127B">
      <w:pPr>
        <w:pStyle w:val="BodyText"/>
      </w:pPr>
    </w:p>
    <w:p w:rsidR="00BC127B" w:rsidRDefault="00BC127B" w:rsidP="00BC127B">
      <w:pPr>
        <w:pStyle w:val="BodyText"/>
      </w:pPr>
      <w:r>
        <w:t xml:space="preserve">Changes in the genesis latitude across the CMIP5 ensemble indicate an </w:t>
      </w:r>
      <w:proofErr w:type="spellStart"/>
      <w:r>
        <w:t>equatorward</w:t>
      </w:r>
      <w:proofErr w:type="spellEnd"/>
      <w:r>
        <w:t xml:space="preserve"> shift in TC genesis, which would increase the threat of TC impacts to those nations close to the equator (e.g. Nauru and Kiribati) compared with the historical records. The CMIP5 ensemble also shows no significant change to the latitude of peak intensity of TCs in either hemisphere. Only in the southern hemisphere is there a large change in the latitude of formation and peak intensity in the CMIP3 ensemble – for both parameters the change </w:t>
      </w:r>
      <w:r w:rsidR="00491481">
        <w:t xml:space="preserve">is in the order of 2° </w:t>
      </w:r>
      <w:proofErr w:type="spellStart"/>
      <w:r w:rsidR="00491481">
        <w:t>poleward</w:t>
      </w:r>
      <w:proofErr w:type="spellEnd"/>
      <w:r w:rsidR="00491481">
        <w:t>.</w:t>
      </w:r>
    </w:p>
    <w:p w:rsidR="00BC127B" w:rsidRDefault="00BC127B" w:rsidP="00BC127B">
      <w:pPr>
        <w:pStyle w:val="BodyText"/>
      </w:pPr>
      <w:r>
        <w:t xml:space="preserve">Across both ensembles and both hemispheres, mean TC maximum intensity (measured both by minimum central pressure and maximum sustained </w:t>
      </w:r>
      <w:r w:rsidR="00491481">
        <w:t>winds) is projected to decline.</w:t>
      </w:r>
    </w:p>
    <w:p w:rsidR="00BC127B" w:rsidRDefault="00BC127B" w:rsidP="00BC127B">
      <w:pPr>
        <w:pStyle w:val="BodyText"/>
      </w:pPr>
      <w:r>
        <w:t>Ensemble mean changes in the relative proportions of different TC categories are presented in</w:t>
      </w:r>
      <w:r w:rsidR="00375CEA">
        <w:t xml:space="preserve"> </w:t>
      </w:r>
      <w:r w:rsidR="00375CEA">
        <w:fldChar w:fldCharType="begin"/>
      </w:r>
      <w:r w:rsidR="00375CEA">
        <w:instrText xml:space="preserve"> REF _Ref361728776 \h </w:instrText>
      </w:r>
      <w:r w:rsidR="00375CEA">
        <w:fldChar w:fldCharType="separate"/>
      </w:r>
      <w:r w:rsidR="00E57C2A" w:rsidRPr="00491481">
        <w:t xml:space="preserve">Figure </w:t>
      </w:r>
      <w:r w:rsidR="00E57C2A">
        <w:rPr>
          <w:noProof/>
        </w:rPr>
        <w:t>5</w:t>
      </w:r>
      <w:r w:rsidR="00E57C2A">
        <w:t>.</w:t>
      </w:r>
      <w:r w:rsidR="00E57C2A">
        <w:rPr>
          <w:noProof/>
        </w:rPr>
        <w:t>1</w:t>
      </w:r>
      <w:r w:rsidR="00375CEA">
        <w:fldChar w:fldCharType="end"/>
      </w:r>
      <w:r>
        <w:t>. Note it is l</w:t>
      </w:r>
      <w:r w:rsidRPr="007407E9">
        <w:t xml:space="preserve">ikely that </w:t>
      </w:r>
      <w:r>
        <w:t xml:space="preserve">the </w:t>
      </w:r>
      <w:r w:rsidRPr="007407E9">
        <w:t>proportion</w:t>
      </w:r>
      <w:r>
        <w:t>s</w:t>
      </w:r>
      <w:r w:rsidRPr="007407E9">
        <w:t xml:space="preserve"> of lower intensity storms </w:t>
      </w:r>
      <w:r>
        <w:t>could</w:t>
      </w:r>
      <w:r w:rsidRPr="007407E9">
        <w:t xml:space="preserve"> be influenced by the choice of </w:t>
      </w:r>
      <w:proofErr w:type="spellStart"/>
      <w:r w:rsidRPr="007407E9">
        <w:t>quantile</w:t>
      </w:r>
      <w:proofErr w:type="spellEnd"/>
      <w:r w:rsidRPr="007407E9">
        <w:t xml:space="preserve"> scaling</w:t>
      </w:r>
      <w:r>
        <w:t xml:space="preserve"> applied to the TCLVs</w:t>
      </w:r>
      <w:r w:rsidRPr="007407E9">
        <w:t xml:space="preserve">, but this is ignored due to </w:t>
      </w:r>
      <w:r>
        <w:t>the</w:t>
      </w:r>
      <w:r w:rsidRPr="007407E9">
        <w:t xml:space="preserve"> low imp</w:t>
      </w:r>
      <w:r>
        <w:t>acts associated with tropical depressions and tropical storms compared to intense TCs (category 3-5). As such, the discussion focusses on the changes to the proportions of these intense events.</w:t>
      </w:r>
    </w:p>
    <w:p w:rsidR="00BC127B" w:rsidRDefault="00BC127B" w:rsidP="00BC127B">
      <w:pPr>
        <w:pStyle w:val="BodyText"/>
      </w:pPr>
      <w:r>
        <w:t>In both the northern and southern hemispheres, there is a weak increasing trend in the proportion of category 5 events. For the CMIP3 models, both the northern and southern hemispheres indicate a slight increase in the proportion of category 1 and 2 TCs, and no change or slight decline in the proportion</w:t>
      </w:r>
      <w:r w:rsidR="00491481">
        <w:t xml:space="preserve"> of intense TCs (category 3-5).</w:t>
      </w:r>
    </w:p>
    <w:p w:rsidR="00BC127B" w:rsidRDefault="00BC127B" w:rsidP="00BC127B">
      <w:pPr>
        <w:pStyle w:val="BodyText"/>
        <w:rPr>
          <w:noProof/>
        </w:rPr>
      </w:pPr>
      <w:r>
        <w:lastRenderedPageBreak/>
        <w:t>The CMIP5 ensemble indicates an increase in the proportion of tropical storms, balanced by a decline in the proportion of category 1 TCs. There is an increase in the proportion of category 5 TCs in both hemispheres, balanced by declines in cat</w:t>
      </w:r>
      <w:r w:rsidR="001C6ED5">
        <w:t xml:space="preserve">egory 3 and/or category 4 TCs. </w:t>
      </w:r>
      <w:r>
        <w:t xml:space="preserve">These CMIP5 results are consistent with those reported by other researchers (e.g. Holland and </w:t>
      </w:r>
      <w:proofErr w:type="spellStart"/>
      <w:r>
        <w:t>Bruyère</w:t>
      </w:r>
      <w:proofErr w:type="spellEnd"/>
      <w:r>
        <w:t xml:space="preserve">, 2013) – a flattening of the relative distribution of TC intensity. Distributions for each individual model are presented in the Appendix – </w:t>
      </w:r>
      <w:r>
        <w:fldChar w:fldCharType="begin"/>
      </w:r>
      <w:r>
        <w:instrText xml:space="preserve"> REF _Ref356291267 \h </w:instrText>
      </w:r>
      <w:r>
        <w:fldChar w:fldCharType="separate"/>
      </w:r>
      <w:r w:rsidR="00E57C2A" w:rsidRPr="00491481">
        <w:t xml:space="preserve">Table </w:t>
      </w:r>
      <w:r>
        <w:fldChar w:fldCharType="end"/>
      </w:r>
      <w:r>
        <w:t xml:space="preserve"> – </w:t>
      </w:r>
      <w:r>
        <w:fldChar w:fldCharType="begin"/>
      </w:r>
      <w:r>
        <w:instrText xml:space="preserve"> REF _Ref356291252 \h </w:instrText>
      </w:r>
      <w:r>
        <w:fldChar w:fldCharType="separate"/>
      </w:r>
      <w:proofErr w:type="gramStart"/>
      <w:r w:rsidR="00E57C2A" w:rsidRPr="007609A5">
        <w:t xml:space="preserve">Table </w:t>
      </w:r>
      <w:proofErr w:type="gramEnd"/>
      <w:r>
        <w:fldChar w:fldCharType="end"/>
      </w:r>
      <w:r>
        <w:t>.</w:t>
      </w:r>
    </w:p>
    <w:p w:rsidR="00960903" w:rsidRDefault="00607314" w:rsidP="006F3804">
      <w:pPr>
        <w:pStyle w:val="Figuresandimagescentred"/>
      </w:pPr>
      <w:r>
        <w:rPr>
          <w:noProof/>
        </w:rPr>
        <w:drawing>
          <wp:inline distT="0" distB="0" distL="0" distR="0" wp14:anchorId="431FA925" wp14:editId="30A8CEC7">
            <wp:extent cx="5760000" cy="4543200"/>
            <wp:effectExtent l="0" t="0" r="0" b="0"/>
            <wp:docPr id="13" name="Picture 13" descr="This figure presents the relative distribution of TC intensity across the CMIP3 and CMIP5 ensembles, in the northern and southern hemisphere, for current climate simulations, 2050 estimate and 2090 projections. In both the northern and southern hemispheres, there is a weak increasing trend in the proportion of category 5 events. For the CMIP3 models, both the northern and southern hemispheres indicate a slight increase in the proportion of category 1 and 2 TCs, and no change or slight decline in the proportion of intense TCs (category 3-5). The CMIP5 ensemble indicates an increase in the proportion of tropical storms, balanced by a decline in the proportion of category 1 TCs. There is an increase in the proportion of category 5 TCs in both hemispheres, balanced by declines in category 3 and/or category 4 TCs. These CMIP5 results are consistent with those reported by other researchers (e.g. Holland and Bruyère, 2013) – a flattening of the relative distribution of TC intensity." title="Relative proportion of TC inten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limate_change\CHARS\B_Wind\Projects\PCRAFI\Reporting\Figures\Figure-1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793" t="7493" r="7273"/>
                    <a:stretch/>
                  </pic:blipFill>
                  <pic:spPr bwMode="auto">
                    <a:xfrm>
                      <a:off x="0" y="0"/>
                      <a:ext cx="5760000" cy="4543200"/>
                    </a:xfrm>
                    <a:prstGeom prst="rect">
                      <a:avLst/>
                    </a:prstGeom>
                    <a:noFill/>
                    <a:ln>
                      <a:noFill/>
                    </a:ln>
                    <a:extLst>
                      <a:ext uri="{53640926-AAD7-44D8-BBD7-CCE9431645EC}">
                        <a14:shadowObscured xmlns:a14="http://schemas.microsoft.com/office/drawing/2010/main"/>
                      </a:ext>
                    </a:extLst>
                  </pic:spPr>
                </pic:pic>
              </a:graphicData>
            </a:graphic>
          </wp:inline>
        </w:drawing>
      </w:r>
    </w:p>
    <w:p w:rsidR="00960903" w:rsidRPr="00491481" w:rsidRDefault="00960903" w:rsidP="00491481">
      <w:pPr>
        <w:pStyle w:val="Caption"/>
      </w:pPr>
      <w:bookmarkStart w:id="65" w:name="_Ref361728776"/>
      <w:r w:rsidRPr="00491481">
        <w:t xml:space="preserve">Figure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Figure \* ARABIC \s 1 </w:instrText>
      </w:r>
      <w:r w:rsidR="006A5281">
        <w:fldChar w:fldCharType="separate"/>
      </w:r>
      <w:r w:rsidR="00E57C2A">
        <w:rPr>
          <w:noProof/>
        </w:rPr>
        <w:t>1</w:t>
      </w:r>
      <w:r w:rsidR="006A5281">
        <w:rPr>
          <w:noProof/>
        </w:rPr>
        <w:fldChar w:fldCharType="end"/>
      </w:r>
      <w:bookmarkEnd w:id="65"/>
      <w:r w:rsidRPr="00491481">
        <w:t xml:space="preserve"> Relative proportion of TC inten</w:t>
      </w:r>
      <w:r w:rsidR="001C6ED5">
        <w:t>sity – multi model ensemble for</w:t>
      </w:r>
      <w:r w:rsidRPr="00491481">
        <w:t xml:space="preserve"> (clockwise from top left): CMIP3 models in the southern hemisphere, CMIP5 models in the southern hemisphere, CMIP5 models in t</w:t>
      </w:r>
      <w:r w:rsidR="001C6ED5">
        <w:t xml:space="preserve">he northern hemisphere and </w:t>
      </w:r>
      <w:r w:rsidRPr="00491481">
        <w:t xml:space="preserve">CMIP3 models in the northern hemisphere. Classification is based on central pressure, using the </w:t>
      </w:r>
      <w:proofErr w:type="spellStart"/>
      <w:r w:rsidRPr="00491481">
        <w:t>Saffir</w:t>
      </w:r>
      <w:proofErr w:type="spellEnd"/>
      <w:r w:rsidRPr="00491481">
        <w:t>-Simpson Hurricane Intensity Scale (</w:t>
      </w:r>
      <w:r w:rsidRPr="00491481">
        <w:fldChar w:fldCharType="begin"/>
      </w:r>
      <w:r w:rsidRPr="00491481">
        <w:instrText xml:space="preserve"> REF _Ref356203072 \h </w:instrText>
      </w:r>
      <w:r w:rsidR="00491481">
        <w:instrText xml:space="preserve"> \* MERGEFORMAT </w:instrText>
      </w:r>
      <w:r w:rsidRPr="00491481">
        <w:fldChar w:fldCharType="separate"/>
      </w:r>
      <w:r w:rsidR="00E57C2A">
        <w:rPr>
          <w:b/>
          <w:bCs/>
          <w:lang w:val="en-US"/>
        </w:rPr>
        <w:t>Error! Reference source not found.</w:t>
      </w:r>
      <w:r w:rsidRPr="00491481">
        <w:fldChar w:fldCharType="end"/>
      </w:r>
      <w:r w:rsidRPr="00491481">
        <w:t>).</w:t>
      </w:r>
    </w:p>
    <w:p w:rsidR="00BC127B" w:rsidRDefault="00BC127B" w:rsidP="00BC127B">
      <w:pPr>
        <w:pStyle w:val="BodyText"/>
      </w:pPr>
      <w:r>
        <w:t xml:space="preserve">While the mean changes in the relative distributions are only moderate, some individual models display large changes in the proportion of TC intensities. In some cases, there are increases of over 100% within one category. The low numbers of events on which these relative distributions are based means that a small shift in the distribution can produce dramatic changes in the relative distribution. Part of this variability may be attributable to </w:t>
      </w:r>
      <w:proofErr w:type="spellStart"/>
      <w:r>
        <w:t>interannual</w:t>
      </w:r>
      <w:proofErr w:type="spellEnd"/>
      <w:r>
        <w:t xml:space="preserve"> variability in the simulated TCLV events, where the sampled time period for both the current and future climates represents only a small part of the true distribution of the future climate (note that significance testing was not performed on</w:t>
      </w:r>
      <w:r w:rsidR="00491481">
        <w:t xml:space="preserve"> these relative distributions).</w:t>
      </w:r>
    </w:p>
    <w:p w:rsidR="00BC127B" w:rsidRDefault="00BC127B" w:rsidP="00BC127B">
      <w:pPr>
        <w:pStyle w:val="BodyText"/>
      </w:pPr>
      <w:r>
        <w:lastRenderedPageBreak/>
        <w:t>The analysis here indicates that the CMIP3 models project a modest decrease in the proportion of category 5 TCs in the southern hemisphere and little change in the northern hemisphere. The CMIP5 ensemble projects the proportion of category 5 TCs to be 39% higher by 2081-2100 in the southern hemisphere domain, but only 7% grea</w:t>
      </w:r>
      <w:r w:rsidR="00491481">
        <w:t>ter in the northern hemisphere.</w:t>
      </w:r>
    </w:p>
    <w:p w:rsidR="00BC127B" w:rsidRDefault="00BC127B" w:rsidP="00BC127B">
      <w:pPr>
        <w:pStyle w:val="BodyText"/>
      </w:pPr>
      <w:r>
        <w:t>While these results indicate a greater likelihood of occurrence of intense TCs, the actual number of intense TCs is also strongly dependent on the mean frequency of TCs. Of greatest significance is the combination of an increase in the proportion of intense TCs and marginal increase in mean frequency indicated by the CMIP5 ensemble for the southern hemisphere. Further increasing the threat of impacts is the ensemble trend for the formation region of TCs to shift closer to the equator. Such an outcome could result in increases in the impacts of TCs on nations in this region (Palau, Federated States of Micronesia and Republi</w:t>
      </w:r>
      <w:r w:rsidR="00491481">
        <w:t>c of the Marshall Islands).</w:t>
      </w:r>
    </w:p>
    <w:p w:rsidR="00BC127B" w:rsidRPr="00491481" w:rsidRDefault="00BC127B" w:rsidP="00DE0A84">
      <w:pPr>
        <w:pStyle w:val="Tabletitle"/>
      </w:pPr>
      <w:r>
        <w:br w:type="page"/>
      </w:r>
      <w:r w:rsidRPr="00491481">
        <w:lastRenderedPageBreak/>
        <w:t xml:space="preserve">Table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9</w:t>
      </w:r>
      <w:r w:rsidR="006A5281">
        <w:rPr>
          <w:noProof/>
        </w:rPr>
        <w:fldChar w:fldCharType="end"/>
      </w:r>
      <w:r w:rsidRPr="00491481">
        <w:t xml:space="preserve"> Southern hemisphere ensemble relative distribution of intensity. Values in italics indicate where the majority of members have the same sign and are in the same direction as the mean, indicating a more likely outcome; bold values indicate the ensemble mean change exceeds the inter-model standard deviation.</w:t>
      </w:r>
    </w:p>
    <w:tbl>
      <w:tblPr>
        <w:tblStyle w:val="TableGAHeaderRowColumn"/>
        <w:tblW w:w="8867" w:type="dxa"/>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242"/>
        <w:gridCol w:w="822"/>
        <w:gridCol w:w="1161"/>
        <w:gridCol w:w="1136"/>
        <w:gridCol w:w="1186"/>
        <w:gridCol w:w="1161"/>
        <w:gridCol w:w="1055"/>
        <w:gridCol w:w="1104"/>
      </w:tblGrid>
      <w:tr w:rsidR="00BC127B" w:rsidTr="003954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42" w:type="dxa"/>
            <w:shd w:val="clear" w:color="auto" w:fill="404040" w:themeFill="text1" w:themeFillTint="BF"/>
          </w:tcPr>
          <w:p w:rsidR="00BC127B" w:rsidRPr="00375CEA" w:rsidRDefault="00BC127B" w:rsidP="00375CEA">
            <w:pPr>
              <w:pStyle w:val="Tableheadingcentred"/>
            </w:pPr>
            <w:r w:rsidRPr="00375CEA">
              <w:t>Category</w:t>
            </w:r>
          </w:p>
        </w:tc>
        <w:tc>
          <w:tcPr>
            <w:tcW w:w="3119" w:type="dxa"/>
            <w:gridSpan w:val="3"/>
          </w:tcPr>
          <w:p w:rsidR="00BC127B" w:rsidRPr="00375CEA" w:rsidRDefault="00BC127B" w:rsidP="00375CEA">
            <w:pPr>
              <w:pStyle w:val="Tableheadingcentred"/>
              <w:cnfStyle w:val="100000000000" w:firstRow="1" w:lastRow="0" w:firstColumn="0" w:lastColumn="0" w:oddVBand="0" w:evenVBand="0" w:oddHBand="0" w:evenHBand="0" w:firstRowFirstColumn="0" w:firstRowLastColumn="0" w:lastRowFirstColumn="0" w:lastRowLastColumn="0"/>
            </w:pPr>
            <w:r w:rsidRPr="00375CEA">
              <w:t>CMIP5</w:t>
            </w:r>
          </w:p>
        </w:tc>
        <w:tc>
          <w:tcPr>
            <w:tcW w:w="3402" w:type="dxa"/>
            <w:gridSpan w:val="3"/>
          </w:tcPr>
          <w:p w:rsidR="00BC127B" w:rsidRPr="00375CEA" w:rsidRDefault="00BC127B" w:rsidP="00375CEA">
            <w:pPr>
              <w:pStyle w:val="Tableheadingcentred"/>
              <w:cnfStyle w:val="100000000000" w:firstRow="1" w:lastRow="0" w:firstColumn="0" w:lastColumn="0" w:oddVBand="0" w:evenVBand="0" w:oddHBand="0" w:evenHBand="0" w:firstRowFirstColumn="0" w:firstRowLastColumn="0" w:lastRowFirstColumn="0" w:lastRowLastColumn="0"/>
            </w:pPr>
            <w:r w:rsidRPr="00375CEA">
              <w:t>CMIP3</w:t>
            </w:r>
          </w:p>
        </w:tc>
        <w:tc>
          <w:tcPr>
            <w:tcW w:w="1104" w:type="dxa"/>
          </w:tcPr>
          <w:p w:rsidR="00BC127B" w:rsidRPr="00375CEA" w:rsidRDefault="00BC127B" w:rsidP="00375CEA">
            <w:pPr>
              <w:pStyle w:val="Tableheadingcentred"/>
              <w:cnfStyle w:val="100000000000" w:firstRow="1" w:lastRow="0" w:firstColumn="0" w:lastColumn="0" w:oddVBand="0" w:evenVBand="0" w:oddHBand="0" w:evenHBand="0" w:firstRowFirstColumn="0" w:firstRowLastColumn="0" w:lastRowFirstColumn="0" w:lastRowLastColumn="0"/>
            </w:pPr>
            <w:r w:rsidRPr="00375CEA">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D44AC2" w:rsidRDefault="00BC127B" w:rsidP="00A579DA">
            <w:pPr>
              <w:pStyle w:val="Tableheadingcentred"/>
              <w:rPr>
                <w:color w:val="F8F8F8"/>
              </w:rPr>
            </w:pPr>
          </w:p>
        </w:tc>
        <w:tc>
          <w:tcPr>
            <w:tcW w:w="822"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1981-</w:t>
            </w:r>
          </w:p>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2000</w:t>
            </w:r>
          </w:p>
        </w:tc>
        <w:tc>
          <w:tcPr>
            <w:tcW w:w="1161"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2050</w:t>
            </w:r>
          </w:p>
        </w:tc>
        <w:tc>
          <w:tcPr>
            <w:tcW w:w="1136"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2081-2100</w:t>
            </w:r>
          </w:p>
        </w:tc>
        <w:tc>
          <w:tcPr>
            <w:tcW w:w="1186"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1981-2000</w:t>
            </w:r>
          </w:p>
        </w:tc>
        <w:tc>
          <w:tcPr>
            <w:tcW w:w="1161"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2050</w:t>
            </w:r>
          </w:p>
        </w:tc>
        <w:tc>
          <w:tcPr>
            <w:tcW w:w="1055"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2081-2100</w:t>
            </w:r>
          </w:p>
        </w:tc>
        <w:tc>
          <w:tcPr>
            <w:tcW w:w="1104"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1981-2011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375CEA" w:rsidRDefault="00BC127B" w:rsidP="00375CEA">
            <w:pPr>
              <w:pStyle w:val="Tableheadingcentred"/>
            </w:pPr>
            <w:r w:rsidRPr="00375CEA">
              <w:t>TC5</w:t>
            </w:r>
          </w:p>
        </w:tc>
        <w:tc>
          <w:tcPr>
            <w:tcW w:w="822" w:type="dxa"/>
          </w:tcPr>
          <w:p w:rsidR="00BC127B" w:rsidRPr="0048689A" w:rsidRDefault="00BC127B" w:rsidP="003954B6">
            <w:pPr>
              <w:pStyle w:val="Tabletextcentred"/>
              <w:cnfStyle w:val="000000010000" w:firstRow="0" w:lastRow="0" w:firstColumn="0" w:lastColumn="0" w:oddVBand="0" w:evenVBand="0" w:oddHBand="0" w:evenHBand="1" w:firstRowFirstColumn="0" w:firstRowLastColumn="0" w:lastRowFirstColumn="0" w:lastRowLastColumn="0"/>
            </w:pPr>
            <w:r w:rsidRPr="0048689A">
              <w:t>0.039</w:t>
            </w:r>
          </w:p>
        </w:tc>
        <w:tc>
          <w:tcPr>
            <w:tcW w:w="1161"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0.048</w:t>
            </w:r>
            <w:r w:rsidRPr="00375CEA">
              <w:br/>
              <w:t>(23.6%)</w:t>
            </w:r>
          </w:p>
        </w:tc>
        <w:tc>
          <w:tcPr>
            <w:tcW w:w="1136" w:type="dxa"/>
          </w:tcPr>
          <w:p w:rsidR="00BC127B" w:rsidRPr="00E3490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E3490A">
              <w:t>0.054</w:t>
            </w:r>
            <w:r w:rsidRPr="00E3490A">
              <w:br/>
              <w:t>(39.0%)</w:t>
            </w:r>
          </w:p>
        </w:tc>
        <w:tc>
          <w:tcPr>
            <w:tcW w:w="1186"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0.047</w:t>
            </w:r>
          </w:p>
        </w:tc>
        <w:tc>
          <w:tcPr>
            <w:tcW w:w="1161"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0.043</w:t>
            </w:r>
            <w:r w:rsidRPr="00375CEA">
              <w:br/>
              <w:t>(-8.5%)</w:t>
            </w:r>
          </w:p>
        </w:tc>
        <w:tc>
          <w:tcPr>
            <w:tcW w:w="1055" w:type="dxa"/>
          </w:tcPr>
          <w:p w:rsidR="00BC127B" w:rsidRPr="00E3490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E3490A">
              <w:t>0.041</w:t>
            </w:r>
            <w:r w:rsidRPr="00E3490A">
              <w:br/>
              <w:t>(-13.8%)</w:t>
            </w:r>
          </w:p>
        </w:tc>
        <w:tc>
          <w:tcPr>
            <w:tcW w:w="11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0.025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375CEA" w:rsidRDefault="00BC127B" w:rsidP="00375CEA">
            <w:pPr>
              <w:pStyle w:val="Tableheadingcentred"/>
            </w:pPr>
            <w:r w:rsidRPr="00375CEA">
              <w:t>TC4</w:t>
            </w:r>
          </w:p>
        </w:tc>
        <w:tc>
          <w:tcPr>
            <w:tcW w:w="822"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0.174</w:t>
            </w:r>
          </w:p>
        </w:tc>
        <w:tc>
          <w:tcPr>
            <w:tcW w:w="1161"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0.162</w:t>
            </w:r>
            <w:r w:rsidRPr="00375CEA">
              <w:br/>
              <w:t>(-7.1%)</w:t>
            </w:r>
          </w:p>
        </w:tc>
        <w:tc>
          <w:tcPr>
            <w:tcW w:w="1136" w:type="dxa"/>
          </w:tcPr>
          <w:p w:rsidR="00BC127B" w:rsidRPr="00E3490A" w:rsidRDefault="00BC127B" w:rsidP="00036022">
            <w:pPr>
              <w:pStyle w:val="Tabletextcentreditalic"/>
              <w:cnfStyle w:val="000000100000" w:firstRow="0" w:lastRow="0" w:firstColumn="0" w:lastColumn="0" w:oddVBand="0" w:evenVBand="0" w:oddHBand="1" w:evenHBand="0" w:firstRowFirstColumn="0" w:firstRowLastColumn="0" w:lastRowFirstColumn="0" w:lastRowLastColumn="0"/>
            </w:pPr>
            <w:r w:rsidRPr="00E3490A">
              <w:t>0.153</w:t>
            </w:r>
            <w:r w:rsidRPr="00E3490A">
              <w:br/>
              <w:t>(-11.9%)</w:t>
            </w:r>
          </w:p>
        </w:tc>
        <w:tc>
          <w:tcPr>
            <w:tcW w:w="1186"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0.112</w:t>
            </w:r>
          </w:p>
        </w:tc>
        <w:tc>
          <w:tcPr>
            <w:tcW w:w="1161"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0.105</w:t>
            </w:r>
            <w:r w:rsidRPr="00375CEA">
              <w:br/>
              <w:t>(-5.7%)</w:t>
            </w:r>
          </w:p>
        </w:tc>
        <w:tc>
          <w:tcPr>
            <w:tcW w:w="1055"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0.101</w:t>
            </w:r>
            <w:r w:rsidRPr="0048689A">
              <w:br/>
              <w:t>(-9.7%)</w:t>
            </w:r>
          </w:p>
        </w:tc>
        <w:tc>
          <w:tcPr>
            <w:tcW w:w="11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0.085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375CEA" w:rsidRDefault="00BC127B" w:rsidP="00375CEA">
            <w:pPr>
              <w:pStyle w:val="Tableheadingcentred"/>
            </w:pPr>
            <w:r w:rsidRPr="00375CEA">
              <w:t>TC3</w:t>
            </w:r>
          </w:p>
        </w:tc>
        <w:tc>
          <w:tcPr>
            <w:tcW w:w="822" w:type="dxa"/>
          </w:tcPr>
          <w:p w:rsidR="00BC127B" w:rsidRPr="0048689A" w:rsidRDefault="00BC127B" w:rsidP="003954B6">
            <w:pPr>
              <w:pStyle w:val="Tabletextcentred"/>
              <w:cnfStyle w:val="000000010000" w:firstRow="0" w:lastRow="0" w:firstColumn="0" w:lastColumn="0" w:oddVBand="0" w:evenVBand="0" w:oddHBand="0" w:evenHBand="1" w:firstRowFirstColumn="0" w:firstRowLastColumn="0" w:lastRowFirstColumn="0" w:lastRowLastColumn="0"/>
            </w:pPr>
            <w:r w:rsidRPr="0048689A">
              <w:t>0.194</w:t>
            </w:r>
          </w:p>
        </w:tc>
        <w:tc>
          <w:tcPr>
            <w:tcW w:w="1161"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0.203</w:t>
            </w:r>
            <w:r w:rsidRPr="00375CEA">
              <w:br/>
              <w:t>(4.2%)</w:t>
            </w:r>
          </w:p>
        </w:tc>
        <w:tc>
          <w:tcPr>
            <w:tcW w:w="1136" w:type="dxa"/>
          </w:tcPr>
          <w:p w:rsidR="00BC127B" w:rsidRPr="0048689A" w:rsidRDefault="00BC127B" w:rsidP="003954B6">
            <w:pPr>
              <w:pStyle w:val="Tabletextcentred"/>
              <w:cnfStyle w:val="000000010000" w:firstRow="0" w:lastRow="0" w:firstColumn="0" w:lastColumn="0" w:oddVBand="0" w:evenVBand="0" w:oddHBand="0" w:evenHBand="1" w:firstRowFirstColumn="0" w:firstRowLastColumn="0" w:lastRowFirstColumn="0" w:lastRowLastColumn="0"/>
            </w:pPr>
            <w:r w:rsidRPr="0048689A">
              <w:t>0.209</w:t>
            </w:r>
            <w:r w:rsidRPr="0048689A">
              <w:br/>
              <w:t>(7.3%)</w:t>
            </w:r>
          </w:p>
        </w:tc>
        <w:tc>
          <w:tcPr>
            <w:tcW w:w="1186"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0.166</w:t>
            </w:r>
          </w:p>
        </w:tc>
        <w:tc>
          <w:tcPr>
            <w:tcW w:w="1161"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0.156</w:t>
            </w:r>
            <w:r w:rsidRPr="00375CEA">
              <w:br/>
              <w:t>(-6.4%)</w:t>
            </w:r>
          </w:p>
        </w:tc>
        <w:tc>
          <w:tcPr>
            <w:tcW w:w="1055" w:type="dxa"/>
          </w:tcPr>
          <w:p w:rsidR="00BC127B" w:rsidRPr="00E3490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E3490A">
              <w:t>0.149</w:t>
            </w:r>
            <w:r w:rsidRPr="00E3490A">
              <w:br/>
              <w:t>(-10.7%)</w:t>
            </w:r>
          </w:p>
        </w:tc>
        <w:tc>
          <w:tcPr>
            <w:tcW w:w="11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0.128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375CEA" w:rsidRDefault="00BC127B" w:rsidP="00375CEA">
            <w:pPr>
              <w:pStyle w:val="Tableheadingcentred"/>
            </w:pPr>
            <w:r w:rsidRPr="00375CEA">
              <w:t>TC2</w:t>
            </w:r>
          </w:p>
        </w:tc>
        <w:tc>
          <w:tcPr>
            <w:tcW w:w="822"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0.193</w:t>
            </w:r>
          </w:p>
        </w:tc>
        <w:tc>
          <w:tcPr>
            <w:tcW w:w="1161"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0.169</w:t>
            </w:r>
            <w:r w:rsidRPr="00375CEA">
              <w:br/>
              <w:t>(-12.6%)</w:t>
            </w:r>
          </w:p>
        </w:tc>
        <w:tc>
          <w:tcPr>
            <w:tcW w:w="1136" w:type="dxa"/>
          </w:tcPr>
          <w:p w:rsidR="00BC127B" w:rsidRPr="00E3490A" w:rsidRDefault="00BC127B" w:rsidP="00195F5B">
            <w:pPr>
              <w:pStyle w:val="Tabletextcentreditalic"/>
              <w:cnfStyle w:val="000000100000" w:firstRow="0" w:lastRow="0" w:firstColumn="0" w:lastColumn="0" w:oddVBand="0" w:evenVBand="0" w:oddHBand="1" w:evenHBand="0" w:firstRowFirstColumn="0" w:firstRowLastColumn="0" w:lastRowFirstColumn="0" w:lastRowLastColumn="0"/>
            </w:pPr>
            <w:r w:rsidRPr="00E3490A">
              <w:t>0.153</w:t>
            </w:r>
            <w:r w:rsidRPr="00E3490A">
              <w:br/>
              <w:t>(-21.0%)</w:t>
            </w:r>
          </w:p>
        </w:tc>
        <w:tc>
          <w:tcPr>
            <w:tcW w:w="1186"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0.185</w:t>
            </w:r>
          </w:p>
        </w:tc>
        <w:tc>
          <w:tcPr>
            <w:tcW w:w="1161"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0.191</w:t>
            </w:r>
            <w:r w:rsidRPr="00375CEA">
              <w:br/>
              <w:t>(3.1%)</w:t>
            </w:r>
          </w:p>
        </w:tc>
        <w:tc>
          <w:tcPr>
            <w:tcW w:w="1055"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0.195</w:t>
            </w:r>
            <w:r w:rsidRPr="0048689A">
              <w:br/>
              <w:t>(5.0%)</w:t>
            </w:r>
          </w:p>
        </w:tc>
        <w:tc>
          <w:tcPr>
            <w:tcW w:w="11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0.172</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375CEA" w:rsidRDefault="00BC127B" w:rsidP="00375CEA">
            <w:pPr>
              <w:pStyle w:val="Tableheadingcentred"/>
            </w:pPr>
            <w:r w:rsidRPr="00375CEA">
              <w:t>TC1</w:t>
            </w:r>
          </w:p>
        </w:tc>
        <w:tc>
          <w:tcPr>
            <w:tcW w:w="822" w:type="dxa"/>
          </w:tcPr>
          <w:p w:rsidR="00BC127B" w:rsidRPr="0048689A" w:rsidRDefault="00BC127B" w:rsidP="003954B6">
            <w:pPr>
              <w:pStyle w:val="Tabletextcentred"/>
              <w:cnfStyle w:val="000000010000" w:firstRow="0" w:lastRow="0" w:firstColumn="0" w:lastColumn="0" w:oddVBand="0" w:evenVBand="0" w:oddHBand="0" w:evenHBand="1" w:firstRowFirstColumn="0" w:firstRowLastColumn="0" w:lastRowFirstColumn="0" w:lastRowLastColumn="0"/>
            </w:pPr>
            <w:r w:rsidRPr="0048689A">
              <w:t>0.206</w:t>
            </w:r>
          </w:p>
        </w:tc>
        <w:tc>
          <w:tcPr>
            <w:tcW w:w="1161"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0.192</w:t>
            </w:r>
            <w:r w:rsidRPr="00375CEA">
              <w:br/>
              <w:t>(-6.8%)</w:t>
            </w:r>
          </w:p>
        </w:tc>
        <w:tc>
          <w:tcPr>
            <w:tcW w:w="1136" w:type="dxa"/>
          </w:tcPr>
          <w:p w:rsidR="00BC127B" w:rsidRPr="00E3490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E3490A">
              <w:t>0.183</w:t>
            </w:r>
            <w:r w:rsidRPr="00E3490A">
              <w:br/>
              <w:t>(-11.4%)</w:t>
            </w:r>
          </w:p>
        </w:tc>
        <w:tc>
          <w:tcPr>
            <w:tcW w:w="1186"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0.234</w:t>
            </w:r>
          </w:p>
        </w:tc>
        <w:tc>
          <w:tcPr>
            <w:tcW w:w="1161"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0.241</w:t>
            </w:r>
            <w:r w:rsidRPr="00375CEA">
              <w:br/>
              <w:t>(3.3%)</w:t>
            </w:r>
          </w:p>
        </w:tc>
        <w:tc>
          <w:tcPr>
            <w:tcW w:w="1055" w:type="dxa"/>
          </w:tcPr>
          <w:p w:rsidR="00BC127B" w:rsidRPr="0048689A" w:rsidRDefault="00BC127B" w:rsidP="003954B6">
            <w:pPr>
              <w:pStyle w:val="Tabletextcentred"/>
              <w:cnfStyle w:val="000000010000" w:firstRow="0" w:lastRow="0" w:firstColumn="0" w:lastColumn="0" w:oddVBand="0" w:evenVBand="0" w:oddHBand="0" w:evenHBand="1" w:firstRowFirstColumn="0" w:firstRowLastColumn="0" w:lastRowFirstColumn="0" w:lastRowLastColumn="0"/>
            </w:pPr>
            <w:r w:rsidRPr="0048689A">
              <w:t>0.246</w:t>
            </w:r>
            <w:r w:rsidRPr="0048689A">
              <w:br/>
              <w:t>(5.5%)</w:t>
            </w:r>
          </w:p>
        </w:tc>
        <w:tc>
          <w:tcPr>
            <w:tcW w:w="11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0.403</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375CEA" w:rsidRDefault="00BC127B" w:rsidP="00375CEA">
            <w:pPr>
              <w:pStyle w:val="Tableheadingcentred"/>
            </w:pPr>
            <w:r w:rsidRPr="00375CEA">
              <w:t>TS</w:t>
            </w:r>
          </w:p>
        </w:tc>
        <w:tc>
          <w:tcPr>
            <w:tcW w:w="822"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0.165</w:t>
            </w:r>
          </w:p>
        </w:tc>
        <w:tc>
          <w:tcPr>
            <w:tcW w:w="1161"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0.189</w:t>
            </w:r>
            <w:r w:rsidRPr="00375CEA">
              <w:br/>
              <w:t>(14.5%)</w:t>
            </w:r>
          </w:p>
        </w:tc>
        <w:tc>
          <w:tcPr>
            <w:tcW w:w="1136" w:type="dxa"/>
          </w:tcPr>
          <w:p w:rsidR="00BC127B" w:rsidRPr="00E3490A" w:rsidRDefault="00BC127B" w:rsidP="00036022">
            <w:pPr>
              <w:pStyle w:val="Tabletextcentreditalic"/>
              <w:cnfStyle w:val="000000100000" w:firstRow="0" w:lastRow="0" w:firstColumn="0" w:lastColumn="0" w:oddVBand="0" w:evenVBand="0" w:oddHBand="1" w:evenHBand="0" w:firstRowFirstColumn="0" w:firstRowLastColumn="0" w:lastRowFirstColumn="0" w:lastRowLastColumn="0"/>
            </w:pPr>
            <w:r w:rsidRPr="00E3490A">
              <w:t>0.205</w:t>
            </w:r>
            <w:r w:rsidRPr="00E3490A">
              <w:br/>
              <w:t>(24.4%)</w:t>
            </w:r>
          </w:p>
        </w:tc>
        <w:tc>
          <w:tcPr>
            <w:tcW w:w="1186"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0.128</w:t>
            </w:r>
          </w:p>
        </w:tc>
        <w:tc>
          <w:tcPr>
            <w:tcW w:w="1161"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0.122</w:t>
            </w:r>
            <w:r w:rsidRPr="00375CEA">
              <w:br/>
              <w:t>(-4.2%)</w:t>
            </w:r>
          </w:p>
        </w:tc>
        <w:tc>
          <w:tcPr>
            <w:tcW w:w="1055" w:type="dxa"/>
          </w:tcPr>
          <w:p w:rsidR="00BC127B" w:rsidRPr="0048689A" w:rsidRDefault="00BC127B" w:rsidP="003954B6">
            <w:pPr>
              <w:pStyle w:val="Tabletextcentred"/>
              <w:cnfStyle w:val="000000100000" w:firstRow="0" w:lastRow="0" w:firstColumn="0" w:lastColumn="0" w:oddVBand="0" w:evenVBand="0" w:oddHBand="1" w:evenHBand="0" w:firstRowFirstColumn="0" w:firstRowLastColumn="0" w:lastRowFirstColumn="0" w:lastRowLastColumn="0"/>
            </w:pPr>
            <w:r w:rsidRPr="0048689A">
              <w:t>0.119</w:t>
            </w:r>
            <w:r w:rsidRPr="0048689A">
              <w:br/>
              <w:t>(-6.9%)</w:t>
            </w:r>
          </w:p>
        </w:tc>
        <w:tc>
          <w:tcPr>
            <w:tcW w:w="110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0.145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375CEA" w:rsidRDefault="00BC127B" w:rsidP="00375CEA">
            <w:pPr>
              <w:pStyle w:val="Tableheadingcentred"/>
            </w:pPr>
            <w:r w:rsidRPr="00375CEA">
              <w:t>TD</w:t>
            </w:r>
          </w:p>
        </w:tc>
        <w:tc>
          <w:tcPr>
            <w:tcW w:w="822" w:type="dxa"/>
          </w:tcPr>
          <w:p w:rsidR="00BC127B" w:rsidRPr="0048689A" w:rsidRDefault="00BC127B" w:rsidP="003954B6">
            <w:pPr>
              <w:pStyle w:val="Tabletextcentred"/>
              <w:cnfStyle w:val="000000010000" w:firstRow="0" w:lastRow="0" w:firstColumn="0" w:lastColumn="0" w:oddVBand="0" w:evenVBand="0" w:oddHBand="0" w:evenHBand="1" w:firstRowFirstColumn="0" w:firstRowLastColumn="0" w:lastRowFirstColumn="0" w:lastRowLastColumn="0"/>
            </w:pPr>
            <w:r w:rsidRPr="0048689A">
              <w:t>0.028</w:t>
            </w:r>
          </w:p>
        </w:tc>
        <w:tc>
          <w:tcPr>
            <w:tcW w:w="1161"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0.038</w:t>
            </w:r>
            <w:r w:rsidRPr="00375CEA">
              <w:br/>
              <w:t>(34.3%)</w:t>
            </w:r>
          </w:p>
        </w:tc>
        <w:tc>
          <w:tcPr>
            <w:tcW w:w="1136" w:type="dxa"/>
          </w:tcPr>
          <w:p w:rsidR="00BC127B" w:rsidRPr="00E3490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E3490A">
              <w:t>0.044</w:t>
            </w:r>
            <w:r w:rsidRPr="00E3490A">
              <w:br/>
              <w:t>(56.4%)</w:t>
            </w:r>
          </w:p>
        </w:tc>
        <w:tc>
          <w:tcPr>
            <w:tcW w:w="1186"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0.129</w:t>
            </w:r>
          </w:p>
        </w:tc>
        <w:tc>
          <w:tcPr>
            <w:tcW w:w="1161"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0.142</w:t>
            </w:r>
            <w:r w:rsidRPr="00375CEA">
              <w:br/>
              <w:t>(10.2%)</w:t>
            </w:r>
          </w:p>
        </w:tc>
        <w:tc>
          <w:tcPr>
            <w:tcW w:w="1055" w:type="dxa"/>
          </w:tcPr>
          <w:p w:rsidR="00BC127B" w:rsidRPr="00E3490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E3490A">
              <w:t>0.151</w:t>
            </w:r>
            <w:r w:rsidRPr="00E3490A">
              <w:br/>
              <w:t>(17.0%)</w:t>
            </w:r>
          </w:p>
        </w:tc>
        <w:tc>
          <w:tcPr>
            <w:tcW w:w="110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0.043</w:t>
            </w:r>
          </w:p>
        </w:tc>
      </w:tr>
    </w:tbl>
    <w:p w:rsidR="00BC127B" w:rsidRPr="00491481" w:rsidRDefault="00BC127B" w:rsidP="00DE0A84">
      <w:pPr>
        <w:pStyle w:val="Tabletitle"/>
      </w:pPr>
      <w:r w:rsidRPr="00491481">
        <w:t xml:space="preserve">Table </w:t>
      </w:r>
      <w:r w:rsidR="006A5281">
        <w:fldChar w:fldCharType="begin"/>
      </w:r>
      <w:r w:rsidR="006A5281">
        <w:instrText xml:space="preserve"> STYLEREF 1 \s </w:instrText>
      </w:r>
      <w:r w:rsidR="006A5281">
        <w:fldChar w:fldCharType="separate"/>
      </w:r>
      <w:r w:rsidR="00E57C2A">
        <w:rPr>
          <w:noProof/>
        </w:rPr>
        <w:t>5</w:t>
      </w:r>
      <w:r w:rsidR="006A5281">
        <w:rPr>
          <w:noProof/>
        </w:rPr>
        <w:fldChar w:fldCharType="end"/>
      </w:r>
      <w:r w:rsidR="00E57C2A">
        <w:t>.</w:t>
      </w:r>
      <w:r w:rsidR="006A5281">
        <w:fldChar w:fldCharType="begin"/>
      </w:r>
      <w:r w:rsidR="006A5281">
        <w:instrText xml:space="preserve"> SEQ Table \* ARABIC \s 1 </w:instrText>
      </w:r>
      <w:r w:rsidR="006A5281">
        <w:fldChar w:fldCharType="separate"/>
      </w:r>
      <w:r w:rsidR="00E57C2A">
        <w:rPr>
          <w:noProof/>
        </w:rPr>
        <w:t>10</w:t>
      </w:r>
      <w:r w:rsidR="006A5281">
        <w:rPr>
          <w:noProof/>
        </w:rPr>
        <w:fldChar w:fldCharType="end"/>
      </w:r>
      <w:r w:rsidRPr="00491481">
        <w:t xml:space="preserve"> Northern hemisphere ensemble relative distribution of intensity. Values in italics indicate where the majority of members have the same sign and are in the same direction as the mean, indicating a more likely outcome; bold values indicate the ensemble mean change exceeds the inter-model standard deviation.</w:t>
      </w:r>
    </w:p>
    <w:tbl>
      <w:tblPr>
        <w:tblStyle w:val="TableGAHeaderRowColumn"/>
        <w:tblW w:w="8897" w:type="dxa"/>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242"/>
        <w:gridCol w:w="842"/>
        <w:gridCol w:w="1160"/>
        <w:gridCol w:w="1117"/>
        <w:gridCol w:w="968"/>
        <w:gridCol w:w="1165"/>
        <w:gridCol w:w="1269"/>
        <w:gridCol w:w="1134"/>
      </w:tblGrid>
      <w:tr w:rsidR="00BC127B" w:rsidRPr="00A01A35" w:rsidTr="00105CA2">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242" w:type="dxa"/>
            <w:shd w:val="clear" w:color="auto" w:fill="404040" w:themeFill="text1" w:themeFillTint="BF"/>
          </w:tcPr>
          <w:p w:rsidR="00BC127B" w:rsidRPr="006F3804" w:rsidRDefault="00BC127B" w:rsidP="006F3804">
            <w:pPr>
              <w:pStyle w:val="Tableheadingcentred"/>
            </w:pPr>
            <w:r w:rsidRPr="006F3804">
              <w:t>Category</w:t>
            </w:r>
          </w:p>
        </w:tc>
        <w:tc>
          <w:tcPr>
            <w:tcW w:w="3119" w:type="dxa"/>
            <w:gridSpan w:val="3"/>
          </w:tcPr>
          <w:p w:rsidR="00BC127B" w:rsidRPr="006F3804" w:rsidRDefault="00BC127B" w:rsidP="006F3804">
            <w:pPr>
              <w:pStyle w:val="Tableheadingcentred"/>
              <w:cnfStyle w:val="100000000000" w:firstRow="1" w:lastRow="0" w:firstColumn="0" w:lastColumn="0" w:oddVBand="0" w:evenVBand="0" w:oddHBand="0" w:evenHBand="0" w:firstRowFirstColumn="0" w:firstRowLastColumn="0" w:lastRowFirstColumn="0" w:lastRowLastColumn="0"/>
            </w:pPr>
            <w:r w:rsidRPr="006F3804">
              <w:t>CMIP5</w:t>
            </w:r>
          </w:p>
        </w:tc>
        <w:tc>
          <w:tcPr>
            <w:tcW w:w="3402" w:type="dxa"/>
            <w:gridSpan w:val="3"/>
          </w:tcPr>
          <w:p w:rsidR="00BC127B" w:rsidRPr="006F3804" w:rsidRDefault="00BC127B" w:rsidP="006F3804">
            <w:pPr>
              <w:pStyle w:val="Tableheadingcentred"/>
              <w:cnfStyle w:val="100000000000" w:firstRow="1" w:lastRow="0" w:firstColumn="0" w:lastColumn="0" w:oddVBand="0" w:evenVBand="0" w:oddHBand="0" w:evenHBand="0" w:firstRowFirstColumn="0" w:firstRowLastColumn="0" w:lastRowFirstColumn="0" w:lastRowLastColumn="0"/>
            </w:pPr>
            <w:r w:rsidRPr="006F3804">
              <w:t>CMIP3</w:t>
            </w:r>
          </w:p>
        </w:tc>
        <w:tc>
          <w:tcPr>
            <w:tcW w:w="1134" w:type="dxa"/>
          </w:tcPr>
          <w:p w:rsidR="00BC127B" w:rsidRPr="006F3804" w:rsidRDefault="00BC127B" w:rsidP="006F3804">
            <w:pPr>
              <w:pStyle w:val="Tableheadingcentred"/>
              <w:cnfStyle w:val="100000000000" w:firstRow="1" w:lastRow="0" w:firstColumn="0" w:lastColumn="0" w:oddVBand="0" w:evenVBand="0" w:oddHBand="0" w:evenHBand="0" w:firstRowFirstColumn="0" w:firstRowLastColumn="0" w:lastRowFirstColumn="0" w:lastRowLastColumn="0"/>
            </w:pPr>
            <w:r w:rsidRPr="006F3804">
              <w:t>Baseline</w:t>
            </w:r>
          </w:p>
        </w:tc>
      </w:tr>
      <w:tr w:rsidR="00BC127B" w:rsidTr="00105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653FD5" w:rsidRDefault="00BC127B" w:rsidP="00653FD5">
            <w:pPr>
              <w:pStyle w:val="Tableheadingcentred"/>
              <w:rPr>
                <w:rStyle w:val="Tabletitlebold"/>
              </w:rPr>
            </w:pPr>
          </w:p>
        </w:tc>
        <w:tc>
          <w:tcPr>
            <w:tcW w:w="842"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1981-</w:t>
            </w:r>
          </w:p>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2000</w:t>
            </w:r>
          </w:p>
        </w:tc>
        <w:tc>
          <w:tcPr>
            <w:tcW w:w="1160"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2050</w:t>
            </w:r>
          </w:p>
        </w:tc>
        <w:tc>
          <w:tcPr>
            <w:tcW w:w="1117"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2081-2100</w:t>
            </w:r>
          </w:p>
        </w:tc>
        <w:tc>
          <w:tcPr>
            <w:tcW w:w="96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1981-</w:t>
            </w:r>
          </w:p>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2000</w:t>
            </w:r>
          </w:p>
        </w:tc>
        <w:tc>
          <w:tcPr>
            <w:tcW w:w="1165"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2050</w:t>
            </w:r>
          </w:p>
        </w:tc>
        <w:tc>
          <w:tcPr>
            <w:tcW w:w="1269"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2081-2100</w:t>
            </w:r>
          </w:p>
        </w:tc>
        <w:tc>
          <w:tcPr>
            <w:tcW w:w="113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1981-2011</w:t>
            </w:r>
          </w:p>
        </w:tc>
      </w:tr>
      <w:tr w:rsidR="00BC127B" w:rsidTr="00105CA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242" w:type="dxa"/>
          </w:tcPr>
          <w:p w:rsidR="00BC127B" w:rsidRPr="006F3804" w:rsidRDefault="00BC127B" w:rsidP="006F3804">
            <w:pPr>
              <w:pStyle w:val="Tableheadingcentred"/>
            </w:pPr>
            <w:r w:rsidRPr="006F3804">
              <w:t>TC5</w:t>
            </w:r>
          </w:p>
        </w:tc>
        <w:tc>
          <w:tcPr>
            <w:tcW w:w="842"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0.118</w:t>
            </w:r>
          </w:p>
        </w:tc>
        <w:tc>
          <w:tcPr>
            <w:tcW w:w="1160"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0.123</w:t>
            </w:r>
            <w:r w:rsidRPr="00375CEA">
              <w:br/>
              <w:t>(4.2%)</w:t>
            </w:r>
          </w:p>
        </w:tc>
        <w:tc>
          <w:tcPr>
            <w:tcW w:w="1117" w:type="dxa"/>
          </w:tcPr>
          <w:p w:rsidR="00BC127B" w:rsidRPr="00375CE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375CEA">
              <w:t>0.127</w:t>
            </w:r>
            <w:r w:rsidRPr="00375CEA">
              <w:br/>
              <w:t>(7.3%)</w:t>
            </w:r>
          </w:p>
        </w:tc>
        <w:tc>
          <w:tcPr>
            <w:tcW w:w="96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0.092</w:t>
            </w:r>
          </w:p>
        </w:tc>
        <w:tc>
          <w:tcPr>
            <w:tcW w:w="1165"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0.092</w:t>
            </w:r>
            <w:r w:rsidRPr="00375CEA">
              <w:br/>
              <w:t>(-0.2%)</w:t>
            </w:r>
          </w:p>
        </w:tc>
        <w:tc>
          <w:tcPr>
            <w:tcW w:w="1269" w:type="dxa"/>
          </w:tcPr>
          <w:p w:rsidR="00BC127B" w:rsidRPr="00375CE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375CEA">
              <w:t>0.092</w:t>
            </w:r>
            <w:r w:rsidRPr="00375CEA">
              <w:br/>
              <w:t>(-0.4%)</w:t>
            </w:r>
          </w:p>
        </w:tc>
        <w:tc>
          <w:tcPr>
            <w:tcW w:w="113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0.074</w:t>
            </w:r>
          </w:p>
        </w:tc>
      </w:tr>
      <w:tr w:rsidR="00BC127B" w:rsidTr="00105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6F3804" w:rsidRDefault="00BC127B" w:rsidP="006F3804">
            <w:pPr>
              <w:pStyle w:val="Tableheadingcentred"/>
            </w:pPr>
            <w:r w:rsidRPr="006F3804">
              <w:t>TC4</w:t>
            </w:r>
          </w:p>
        </w:tc>
        <w:tc>
          <w:tcPr>
            <w:tcW w:w="842"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0.178</w:t>
            </w:r>
          </w:p>
        </w:tc>
        <w:tc>
          <w:tcPr>
            <w:tcW w:w="1160"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0.171</w:t>
            </w:r>
            <w:r w:rsidRPr="00375CEA">
              <w:br/>
              <w:t>(-3.7%)</w:t>
            </w:r>
          </w:p>
        </w:tc>
        <w:tc>
          <w:tcPr>
            <w:tcW w:w="1117" w:type="dxa"/>
          </w:tcPr>
          <w:p w:rsidR="00BC127B" w:rsidRPr="00375CEA" w:rsidRDefault="00BC127B" w:rsidP="00036022">
            <w:pPr>
              <w:pStyle w:val="Tabletextcentreditalic"/>
              <w:cnfStyle w:val="000000100000" w:firstRow="0" w:lastRow="0" w:firstColumn="0" w:lastColumn="0" w:oddVBand="0" w:evenVBand="0" w:oddHBand="1" w:evenHBand="0" w:firstRowFirstColumn="0" w:firstRowLastColumn="0" w:lastRowFirstColumn="0" w:lastRowLastColumn="0"/>
            </w:pPr>
            <w:r w:rsidRPr="00375CEA">
              <w:t>0.167</w:t>
            </w:r>
            <w:r w:rsidRPr="00375CEA">
              <w:br/>
              <w:t>(-6.0%)</w:t>
            </w:r>
          </w:p>
        </w:tc>
        <w:tc>
          <w:tcPr>
            <w:tcW w:w="96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0.147</w:t>
            </w:r>
          </w:p>
        </w:tc>
        <w:tc>
          <w:tcPr>
            <w:tcW w:w="1165"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0.135</w:t>
            </w:r>
            <w:r w:rsidRPr="00375CEA">
              <w:br/>
              <w:t>(-8.2%)</w:t>
            </w:r>
          </w:p>
        </w:tc>
        <w:tc>
          <w:tcPr>
            <w:tcW w:w="1269" w:type="dxa"/>
          </w:tcPr>
          <w:p w:rsidR="00BC127B" w:rsidRPr="00375CEA" w:rsidRDefault="00BC127B" w:rsidP="00036022">
            <w:pPr>
              <w:pStyle w:val="Tabletextcentreditalic"/>
              <w:cnfStyle w:val="000000100000" w:firstRow="0" w:lastRow="0" w:firstColumn="0" w:lastColumn="0" w:oddVBand="0" w:evenVBand="0" w:oddHBand="1" w:evenHBand="0" w:firstRowFirstColumn="0" w:firstRowLastColumn="0" w:lastRowFirstColumn="0" w:lastRowLastColumn="0"/>
            </w:pPr>
            <w:r w:rsidRPr="00375CEA">
              <w:t>0.126</w:t>
            </w:r>
            <w:r w:rsidRPr="00375CEA">
              <w:br/>
              <w:t>(-14.0%)</w:t>
            </w:r>
          </w:p>
        </w:tc>
        <w:tc>
          <w:tcPr>
            <w:tcW w:w="113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0.142</w:t>
            </w:r>
          </w:p>
        </w:tc>
      </w:tr>
      <w:tr w:rsidR="00BC127B" w:rsidTr="00105CA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242" w:type="dxa"/>
          </w:tcPr>
          <w:p w:rsidR="00BC127B" w:rsidRPr="006F3804" w:rsidRDefault="00BC127B" w:rsidP="006F3804">
            <w:pPr>
              <w:pStyle w:val="Tableheadingcentred"/>
            </w:pPr>
            <w:r w:rsidRPr="006F3804">
              <w:t>TC3</w:t>
            </w:r>
          </w:p>
        </w:tc>
        <w:tc>
          <w:tcPr>
            <w:tcW w:w="842"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0.174</w:t>
            </w:r>
          </w:p>
        </w:tc>
        <w:tc>
          <w:tcPr>
            <w:tcW w:w="1160"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0.147</w:t>
            </w:r>
            <w:r w:rsidRPr="00375CEA">
              <w:br/>
              <w:t>(-15.1%)</w:t>
            </w:r>
          </w:p>
        </w:tc>
        <w:tc>
          <w:tcPr>
            <w:tcW w:w="1117" w:type="dxa"/>
          </w:tcPr>
          <w:p w:rsidR="00BC127B" w:rsidRPr="00E3490A" w:rsidRDefault="00BC127B" w:rsidP="00195F5B">
            <w:pPr>
              <w:pStyle w:val="Tabletextcentreditalic"/>
              <w:cnfStyle w:val="000000010000" w:firstRow="0" w:lastRow="0" w:firstColumn="0" w:lastColumn="0" w:oddVBand="0" w:evenVBand="0" w:oddHBand="0" w:evenHBand="1" w:firstRowFirstColumn="0" w:firstRowLastColumn="0" w:lastRowFirstColumn="0" w:lastRowLastColumn="0"/>
            </w:pPr>
            <w:r w:rsidRPr="00E3490A">
              <w:t>0.130</w:t>
            </w:r>
            <w:r w:rsidRPr="00E3490A">
              <w:br/>
              <w:t>(-25.2%)</w:t>
            </w:r>
          </w:p>
        </w:tc>
        <w:tc>
          <w:tcPr>
            <w:tcW w:w="96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0.165</w:t>
            </w:r>
          </w:p>
        </w:tc>
        <w:tc>
          <w:tcPr>
            <w:tcW w:w="1165"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0.166</w:t>
            </w:r>
            <w:r w:rsidRPr="00375CEA">
              <w:br/>
              <w:t>(0.7%)</w:t>
            </w:r>
          </w:p>
        </w:tc>
        <w:tc>
          <w:tcPr>
            <w:tcW w:w="1269" w:type="dxa"/>
          </w:tcPr>
          <w:p w:rsidR="00BC127B" w:rsidRPr="0048689A" w:rsidRDefault="00BC127B" w:rsidP="003954B6">
            <w:pPr>
              <w:pStyle w:val="Tabletextcentred"/>
              <w:cnfStyle w:val="000000010000" w:firstRow="0" w:lastRow="0" w:firstColumn="0" w:lastColumn="0" w:oddVBand="0" w:evenVBand="0" w:oddHBand="0" w:evenHBand="1" w:firstRowFirstColumn="0" w:firstRowLastColumn="0" w:lastRowFirstColumn="0" w:lastRowLastColumn="0"/>
            </w:pPr>
            <w:r w:rsidRPr="0048689A">
              <w:t>0.167</w:t>
            </w:r>
            <w:r w:rsidRPr="0048689A">
              <w:br/>
              <w:t>(0.9%)</w:t>
            </w:r>
          </w:p>
        </w:tc>
        <w:tc>
          <w:tcPr>
            <w:tcW w:w="113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0.151</w:t>
            </w:r>
          </w:p>
        </w:tc>
      </w:tr>
      <w:tr w:rsidR="00BC127B" w:rsidTr="00105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6F3804" w:rsidRDefault="00BC127B" w:rsidP="006F3804">
            <w:pPr>
              <w:pStyle w:val="Tableheadingcentred"/>
            </w:pPr>
            <w:r w:rsidRPr="006F3804">
              <w:t>TC2</w:t>
            </w:r>
          </w:p>
        </w:tc>
        <w:tc>
          <w:tcPr>
            <w:tcW w:w="842"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0.142</w:t>
            </w:r>
          </w:p>
        </w:tc>
        <w:tc>
          <w:tcPr>
            <w:tcW w:w="1160"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0.126</w:t>
            </w:r>
            <w:r w:rsidRPr="00375CEA">
              <w:br/>
              <w:t>(-11.8%)</w:t>
            </w:r>
          </w:p>
        </w:tc>
        <w:tc>
          <w:tcPr>
            <w:tcW w:w="1117" w:type="dxa"/>
          </w:tcPr>
          <w:p w:rsidR="00BC127B" w:rsidRPr="00375CEA" w:rsidRDefault="00BC127B" w:rsidP="00036022">
            <w:pPr>
              <w:pStyle w:val="Tabletextcentreditalic"/>
              <w:cnfStyle w:val="000000100000" w:firstRow="0" w:lastRow="0" w:firstColumn="0" w:lastColumn="0" w:oddVBand="0" w:evenVBand="0" w:oddHBand="1" w:evenHBand="0" w:firstRowFirstColumn="0" w:firstRowLastColumn="0" w:lastRowFirstColumn="0" w:lastRowLastColumn="0"/>
            </w:pPr>
            <w:r w:rsidRPr="00375CEA">
              <w:t>0.114</w:t>
            </w:r>
            <w:r w:rsidRPr="00375CEA">
              <w:br/>
              <w:t>(-19.7%)</w:t>
            </w:r>
          </w:p>
        </w:tc>
        <w:tc>
          <w:tcPr>
            <w:tcW w:w="96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0.139</w:t>
            </w:r>
          </w:p>
        </w:tc>
        <w:tc>
          <w:tcPr>
            <w:tcW w:w="1165"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0.158</w:t>
            </w:r>
            <w:r w:rsidRPr="00375CEA">
              <w:br/>
              <w:t>(13.3%)</w:t>
            </w:r>
          </w:p>
        </w:tc>
        <w:tc>
          <w:tcPr>
            <w:tcW w:w="1269" w:type="dxa"/>
          </w:tcPr>
          <w:p w:rsidR="00BC127B" w:rsidRPr="00E3490A" w:rsidRDefault="00BC127B" w:rsidP="00195F5B">
            <w:pPr>
              <w:pStyle w:val="Tabletextcentreditalic"/>
              <w:cnfStyle w:val="000000100000" w:firstRow="0" w:lastRow="0" w:firstColumn="0" w:lastColumn="0" w:oddVBand="0" w:evenVBand="0" w:oddHBand="1" w:evenHBand="0" w:firstRowFirstColumn="0" w:firstRowLastColumn="0" w:lastRowFirstColumn="0" w:lastRowLastColumn="0"/>
            </w:pPr>
            <w:r w:rsidRPr="00E3490A">
              <w:t>0.170</w:t>
            </w:r>
            <w:r w:rsidRPr="00E3490A">
              <w:br/>
              <w:t>(22.1%)</w:t>
            </w:r>
          </w:p>
        </w:tc>
        <w:tc>
          <w:tcPr>
            <w:tcW w:w="113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0.138</w:t>
            </w:r>
          </w:p>
        </w:tc>
      </w:tr>
      <w:tr w:rsidR="00BC127B" w:rsidTr="00105CA2">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242" w:type="dxa"/>
          </w:tcPr>
          <w:p w:rsidR="00BC127B" w:rsidRPr="006F3804" w:rsidRDefault="00BC127B" w:rsidP="006F3804">
            <w:pPr>
              <w:pStyle w:val="Tableheadingcentred"/>
            </w:pPr>
            <w:r w:rsidRPr="006F3804">
              <w:t>TC1</w:t>
            </w:r>
          </w:p>
        </w:tc>
        <w:tc>
          <w:tcPr>
            <w:tcW w:w="842"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0.191</w:t>
            </w:r>
          </w:p>
        </w:tc>
        <w:tc>
          <w:tcPr>
            <w:tcW w:w="1160"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0.184</w:t>
            </w:r>
            <w:r w:rsidRPr="00375CEA">
              <w:br/>
              <w:t>(-3.3%)</w:t>
            </w:r>
          </w:p>
        </w:tc>
        <w:tc>
          <w:tcPr>
            <w:tcW w:w="1117" w:type="dxa"/>
          </w:tcPr>
          <w:p w:rsidR="00BC127B" w:rsidRPr="00375CE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375CEA">
              <w:t>0.180</w:t>
            </w:r>
            <w:r w:rsidRPr="00375CEA">
              <w:br/>
              <w:t>(-5.5%)</w:t>
            </w:r>
          </w:p>
        </w:tc>
        <w:tc>
          <w:tcPr>
            <w:tcW w:w="96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0.195</w:t>
            </w:r>
          </w:p>
        </w:tc>
        <w:tc>
          <w:tcPr>
            <w:tcW w:w="1165"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0.200</w:t>
            </w:r>
            <w:r w:rsidRPr="00375CEA">
              <w:br/>
              <w:t>(2.8%)</w:t>
            </w:r>
          </w:p>
        </w:tc>
        <w:tc>
          <w:tcPr>
            <w:tcW w:w="1269" w:type="dxa"/>
          </w:tcPr>
          <w:p w:rsidR="00BC127B" w:rsidRPr="00375CE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375CEA">
              <w:t>0.204</w:t>
            </w:r>
            <w:r w:rsidRPr="00375CEA">
              <w:br/>
              <w:t>(4.8%)</w:t>
            </w:r>
          </w:p>
        </w:tc>
        <w:tc>
          <w:tcPr>
            <w:tcW w:w="113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0.253</w:t>
            </w:r>
          </w:p>
        </w:tc>
      </w:tr>
      <w:tr w:rsidR="00BC127B" w:rsidTr="00105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6F3804" w:rsidRDefault="00BC127B" w:rsidP="006F3804">
            <w:pPr>
              <w:pStyle w:val="Tableheadingcentred"/>
            </w:pPr>
            <w:r w:rsidRPr="006F3804">
              <w:t>TS</w:t>
            </w:r>
          </w:p>
        </w:tc>
        <w:tc>
          <w:tcPr>
            <w:tcW w:w="842"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0.178</w:t>
            </w:r>
          </w:p>
        </w:tc>
        <w:tc>
          <w:tcPr>
            <w:tcW w:w="1160"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0.205</w:t>
            </w:r>
            <w:r w:rsidRPr="00375CEA">
              <w:br/>
              <w:t>(15.1%)</w:t>
            </w:r>
          </w:p>
        </w:tc>
        <w:tc>
          <w:tcPr>
            <w:tcW w:w="1117" w:type="dxa"/>
          </w:tcPr>
          <w:p w:rsidR="00BC127B" w:rsidRPr="00E3490A" w:rsidRDefault="00BC127B" w:rsidP="00195F5B">
            <w:pPr>
              <w:pStyle w:val="Tabletextcentreditalic"/>
              <w:cnfStyle w:val="000000100000" w:firstRow="0" w:lastRow="0" w:firstColumn="0" w:lastColumn="0" w:oddVBand="0" w:evenVBand="0" w:oddHBand="1" w:evenHBand="0" w:firstRowFirstColumn="0" w:firstRowLastColumn="0" w:lastRowFirstColumn="0" w:lastRowLastColumn="0"/>
            </w:pPr>
            <w:r w:rsidRPr="00E3490A">
              <w:t>0.223</w:t>
            </w:r>
            <w:r w:rsidRPr="00E3490A">
              <w:br/>
              <w:t>(25.2%)</w:t>
            </w:r>
          </w:p>
        </w:tc>
        <w:tc>
          <w:tcPr>
            <w:tcW w:w="968"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0.189</w:t>
            </w:r>
          </w:p>
        </w:tc>
        <w:tc>
          <w:tcPr>
            <w:tcW w:w="1165"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0.181</w:t>
            </w:r>
            <w:r w:rsidRPr="00375CEA">
              <w:br/>
              <w:t>(-4.5%)</w:t>
            </w:r>
          </w:p>
        </w:tc>
        <w:tc>
          <w:tcPr>
            <w:tcW w:w="1269" w:type="dxa"/>
          </w:tcPr>
          <w:p w:rsidR="00BC127B" w:rsidRPr="00375CEA" w:rsidRDefault="00BC127B" w:rsidP="00036022">
            <w:pPr>
              <w:pStyle w:val="Tabletextcentreditalic"/>
              <w:cnfStyle w:val="000000100000" w:firstRow="0" w:lastRow="0" w:firstColumn="0" w:lastColumn="0" w:oddVBand="0" w:evenVBand="0" w:oddHBand="1" w:evenHBand="0" w:firstRowFirstColumn="0" w:firstRowLastColumn="0" w:lastRowFirstColumn="0" w:lastRowLastColumn="0"/>
            </w:pPr>
            <w:r w:rsidRPr="00375CEA">
              <w:t>0.175</w:t>
            </w:r>
            <w:r w:rsidRPr="00375CEA">
              <w:br/>
              <w:t>(-7.6%)</w:t>
            </w:r>
          </w:p>
        </w:tc>
        <w:tc>
          <w:tcPr>
            <w:tcW w:w="1134" w:type="dxa"/>
          </w:tcPr>
          <w:p w:rsidR="00BC127B" w:rsidRPr="00375CEA" w:rsidRDefault="00BC127B" w:rsidP="00375CEA">
            <w:pPr>
              <w:pStyle w:val="Tabletextcentred"/>
              <w:cnfStyle w:val="000000100000" w:firstRow="0" w:lastRow="0" w:firstColumn="0" w:lastColumn="0" w:oddVBand="0" w:evenVBand="0" w:oddHBand="1" w:evenHBand="0" w:firstRowFirstColumn="0" w:firstRowLastColumn="0" w:lastRowFirstColumn="0" w:lastRowLastColumn="0"/>
            </w:pPr>
            <w:r w:rsidRPr="00375CEA">
              <w:t>0.154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C127B" w:rsidRPr="006F3804" w:rsidRDefault="00BC127B" w:rsidP="006F3804">
            <w:pPr>
              <w:pStyle w:val="Tableheadingcentred"/>
            </w:pPr>
            <w:r w:rsidRPr="006F3804">
              <w:t>TD</w:t>
            </w:r>
          </w:p>
        </w:tc>
        <w:tc>
          <w:tcPr>
            <w:tcW w:w="842"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0.020</w:t>
            </w:r>
          </w:p>
        </w:tc>
        <w:tc>
          <w:tcPr>
            <w:tcW w:w="1160"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0.043</w:t>
            </w:r>
            <w:r w:rsidRPr="00375CEA">
              <w:br/>
              <w:t>(116.0%)</w:t>
            </w:r>
          </w:p>
        </w:tc>
        <w:tc>
          <w:tcPr>
            <w:tcW w:w="1117" w:type="dxa"/>
          </w:tcPr>
          <w:p w:rsidR="00BC127B" w:rsidRPr="00375CE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375CEA">
              <w:t>0.059</w:t>
            </w:r>
            <w:r w:rsidRPr="00375CEA">
              <w:br/>
              <w:t>(194.0%)</w:t>
            </w:r>
          </w:p>
        </w:tc>
        <w:tc>
          <w:tcPr>
            <w:tcW w:w="968"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0.073</w:t>
            </w:r>
          </w:p>
        </w:tc>
        <w:tc>
          <w:tcPr>
            <w:tcW w:w="1165"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0.069</w:t>
            </w:r>
            <w:r w:rsidRPr="00375CEA">
              <w:br/>
              <w:t>(-5.9%)</w:t>
            </w:r>
          </w:p>
        </w:tc>
        <w:tc>
          <w:tcPr>
            <w:tcW w:w="1269" w:type="dxa"/>
          </w:tcPr>
          <w:p w:rsidR="00BC127B" w:rsidRPr="00375CEA" w:rsidRDefault="00BC127B" w:rsidP="00036022">
            <w:pPr>
              <w:pStyle w:val="Tabletextcentreditalic"/>
              <w:cnfStyle w:val="000000010000" w:firstRow="0" w:lastRow="0" w:firstColumn="0" w:lastColumn="0" w:oddVBand="0" w:evenVBand="0" w:oddHBand="0" w:evenHBand="1" w:firstRowFirstColumn="0" w:firstRowLastColumn="0" w:lastRowFirstColumn="0" w:lastRowLastColumn="0"/>
            </w:pPr>
            <w:r w:rsidRPr="00375CEA">
              <w:t>0.066</w:t>
            </w:r>
            <w:r w:rsidRPr="00375CEA">
              <w:br/>
              <w:t>(-9.8%)</w:t>
            </w:r>
          </w:p>
        </w:tc>
        <w:tc>
          <w:tcPr>
            <w:tcW w:w="1134" w:type="dxa"/>
          </w:tcPr>
          <w:p w:rsidR="00BC127B" w:rsidRPr="00375CEA" w:rsidRDefault="00BC127B" w:rsidP="00375CEA">
            <w:pPr>
              <w:pStyle w:val="Tabletextcentred"/>
              <w:cnfStyle w:val="000000010000" w:firstRow="0" w:lastRow="0" w:firstColumn="0" w:lastColumn="0" w:oddVBand="0" w:evenVBand="0" w:oddHBand="0" w:evenHBand="1" w:firstRowFirstColumn="0" w:firstRowLastColumn="0" w:lastRowFirstColumn="0" w:lastRowLastColumn="0"/>
            </w:pPr>
            <w:r w:rsidRPr="00375CEA">
              <w:t>0.089</w:t>
            </w:r>
          </w:p>
        </w:tc>
      </w:tr>
    </w:tbl>
    <w:p w:rsidR="00BC127B" w:rsidRDefault="00BC127B" w:rsidP="00BC127B">
      <w:pPr>
        <w:pStyle w:val="Heading1"/>
      </w:pPr>
      <w:bookmarkStart w:id="66" w:name="_Toc356827204"/>
      <w:bookmarkStart w:id="67" w:name="_Toc357065182"/>
      <w:bookmarkStart w:id="68" w:name="_Toc361914694"/>
      <w:r>
        <w:lastRenderedPageBreak/>
        <w:t>Summary</w:t>
      </w:r>
      <w:bookmarkEnd w:id="66"/>
      <w:bookmarkEnd w:id="67"/>
      <w:bookmarkEnd w:id="68"/>
    </w:p>
    <w:p w:rsidR="00BC127B" w:rsidRDefault="00BC127B" w:rsidP="00BC127B">
      <w:pPr>
        <w:pStyle w:val="BodyText"/>
      </w:pPr>
      <w:r>
        <w:t>This project has examined changes in key parameters associated with TC activity in the Pacific region, with a view to informing risk modelling of current and future climate scenarios. By examining a number of sources of climate-conditioned TC information, changes in parameters describing TC activity in the current and future climate have been quantified. The range of projected changes, especially those derived from the latest generation of GCMs, generally provide only moderate confidence in the mean changes</w:t>
      </w:r>
      <w:r w:rsidR="00491481">
        <w:t>.</w:t>
      </w:r>
    </w:p>
    <w:p w:rsidR="00BC127B" w:rsidRDefault="00BC127B" w:rsidP="00BC127B">
      <w:pPr>
        <w:pStyle w:val="BodyText"/>
      </w:pPr>
      <w:r>
        <w:t>The CMIP3 models all indicate major decreases in TC annual frequency, especially for the southern hemisphere where the decrease ranges between -55% and -78%. Changes in the northern hemisphere are less consistent, ranging from +6.5% to -33%. The CMIP5 simulations indicate a wider range of changes: in the southern hemisphere frequency ranges from a decline of -25% to a doubling of frequency. The northern hemisphere ranges between declines of 16%, to an increase of over 60%, with the mean change an increas</w:t>
      </w:r>
      <w:r w:rsidR="00491481">
        <w:t>e of 18%.</w:t>
      </w:r>
    </w:p>
    <w:p w:rsidR="00BC127B" w:rsidRDefault="00BC127B" w:rsidP="00BC127B">
      <w:pPr>
        <w:pStyle w:val="BodyText"/>
      </w:pPr>
      <w:r>
        <w:t>There is little change in mean maximum intensity across the ensemble. The majority of CMIP3 models indicate slight decline (on the order of 5%) in the southern hemisphere, but this change is not statistically significant. There is a slight increase in the northern hemisphere, but again it is not statistically significant. The CMIP5 models display a similar spread of results to the CMIP3 models. Of more significance are the changes in the proportion of intense TCs (category 5), especially for the CMIP5 ensemble where a robust increase is projec</w:t>
      </w:r>
      <w:r w:rsidR="00491481">
        <w:t>ted in the southern hemisphere.</w:t>
      </w:r>
    </w:p>
    <w:p w:rsidR="00BC127B" w:rsidRDefault="00BC127B" w:rsidP="00BC127B">
      <w:pPr>
        <w:pStyle w:val="BodyText"/>
      </w:pPr>
      <w:r>
        <w:t xml:space="preserve">The majority of CMIP5 indicate an </w:t>
      </w:r>
      <w:proofErr w:type="spellStart"/>
      <w:r>
        <w:t>equatorward</w:t>
      </w:r>
      <w:proofErr w:type="spellEnd"/>
      <w:r>
        <w:t xml:space="preserve"> shift in genesis latitude in both hemispheres. The CMIP3 models indicate a slight </w:t>
      </w:r>
      <w:proofErr w:type="spellStart"/>
      <w:r>
        <w:t>equatorward</w:t>
      </w:r>
      <w:proofErr w:type="spellEnd"/>
      <w:r>
        <w:t xml:space="preserve"> shift in the northern hemisphere and a </w:t>
      </w:r>
      <w:proofErr w:type="spellStart"/>
      <w:r>
        <w:t>poleward</w:t>
      </w:r>
      <w:proofErr w:type="spellEnd"/>
      <w:r>
        <w:t xml:space="preserve"> shift in the so</w:t>
      </w:r>
      <w:r w:rsidR="00491481">
        <w:t>uthern hemisphere of nearly 2°.</w:t>
      </w:r>
    </w:p>
    <w:p w:rsidR="00BC127B" w:rsidRDefault="00BC127B" w:rsidP="00BC127B">
      <w:pPr>
        <w:pStyle w:val="BodyText"/>
      </w:pPr>
      <w:r>
        <w:t xml:space="preserve">In terms of the latitude of peak intensity, the CMIP5 models are spread evenly with both </w:t>
      </w:r>
      <w:proofErr w:type="spellStart"/>
      <w:r>
        <w:t>equatorward</w:t>
      </w:r>
      <w:proofErr w:type="spellEnd"/>
      <w:r>
        <w:t xml:space="preserve"> and </w:t>
      </w:r>
      <w:proofErr w:type="spellStart"/>
      <w:r>
        <w:t>poleward</w:t>
      </w:r>
      <w:proofErr w:type="spellEnd"/>
      <w:r>
        <w:t xml:space="preserve"> changes indicated in both hemispheres. There is a strong signal of a </w:t>
      </w:r>
      <w:proofErr w:type="spellStart"/>
      <w:r>
        <w:t>poleward</w:t>
      </w:r>
      <w:proofErr w:type="spellEnd"/>
      <w:r>
        <w:t xml:space="preserve"> shift across the CMIP3 models for the southern hemisphere, with an average shift of 2° </w:t>
      </w:r>
      <w:r w:rsidR="00491481">
        <w:t>indicated amongst these models.</w:t>
      </w:r>
    </w:p>
    <w:p w:rsidR="00BC127B" w:rsidRDefault="00BC127B" w:rsidP="00BC127B">
      <w:pPr>
        <w:pStyle w:val="BodyText"/>
      </w:pPr>
      <w:r>
        <w:t xml:space="preserve">A key difference between the CMIP3 and CMIP5 simulations is the dynamical downscaling performed on the CMIP3 simulations. For these models, the forcing process (bias-corrected sea surface temperatures) has resulted in a consistent signal in the changes for many of the parameters especially in the southern hemisphere domain. This may in fact be masking the true nature of the changes to the climate system </w:t>
      </w:r>
      <w:r w:rsidR="00491481">
        <w:t>as simulated by the parent GCM.</w:t>
      </w:r>
    </w:p>
    <w:p w:rsidR="00BC127B" w:rsidRDefault="00BC127B" w:rsidP="00BC127B">
      <w:pPr>
        <w:pStyle w:val="BodyText"/>
      </w:pPr>
      <w:r>
        <w:t>The results from the CMIP5 models (for which no dynamical downscaling was required) indicate that the CMIP5 models generally have better skill in replicating the behaviour of TCs in the current climate for the southern hemisphere, especially in terms of annual frequency and genesis latitude. As such, more confidence can be placed on the latest generation of models without relying on intermediate processes such as downscaling. However, there may still be additional skill gained by downscaling TCLVs using regional-scale models, especially in terms of pro</w:t>
      </w:r>
      <w:r w:rsidR="00491481">
        <w:t>jected changes in TC intensity.</w:t>
      </w:r>
    </w:p>
    <w:p w:rsidR="00BC127B" w:rsidRDefault="00BC127B" w:rsidP="00BC127B">
      <w:pPr>
        <w:pStyle w:val="BodyText"/>
      </w:pPr>
      <w:r>
        <w:lastRenderedPageBreak/>
        <w:t>The effects of the analysed changes in TC behaviour on the frequency and intensity of TCs impacting individual nations in the Pacific cannot be directly quantified from these results alone. A more thorough examination of the hazard posed by TCs will bear this out, and is being completed as part of the PACCSAP Science Program in collaboration with CSIRO.</w:t>
      </w:r>
    </w:p>
    <w:p w:rsidR="00BC127B" w:rsidRPr="00CC2CFA" w:rsidRDefault="00E57C2A" w:rsidP="00E57C2A">
      <w:pPr>
        <w:pStyle w:val="Heading9"/>
      </w:pPr>
      <w:bookmarkStart w:id="69" w:name="_Toc361914695"/>
      <w:bookmarkStart w:id="70" w:name="_Ref361914738"/>
      <w:r>
        <w:lastRenderedPageBreak/>
        <w:t>Climate modelling groups</w:t>
      </w:r>
      <w:bookmarkEnd w:id="69"/>
      <w:bookmarkEnd w:id="70"/>
    </w:p>
    <w:p w:rsidR="00BC127B" w:rsidRPr="00491481" w:rsidRDefault="00BC127B" w:rsidP="00DE0A84">
      <w:pPr>
        <w:pStyle w:val="Tabletitle"/>
      </w:pPr>
      <w:bookmarkStart w:id="71" w:name="_Ref351981469"/>
      <w:bookmarkStart w:id="72" w:name="_Ref351981464"/>
      <w:r w:rsidRPr="00491481">
        <w:t xml:space="preserve">Table </w:t>
      </w:r>
      <w:bookmarkEnd w:id="71"/>
      <w:r w:rsidR="00E57C2A">
        <w:t>A.1</w:t>
      </w:r>
      <w:r w:rsidRPr="00491481">
        <w:t xml:space="preserve"> Modelling groups performing general circulation model simulations as part of the CMIP3 and CMIP5 programs, and Model Name used in this project.</w:t>
      </w:r>
      <w:bookmarkEnd w:id="72"/>
    </w:p>
    <w:tbl>
      <w:tblPr>
        <w:tblStyle w:val="TableStyleGAHeaderRow"/>
        <w:tblW w:w="0" w:type="auto"/>
        <w:tblLook w:val="01E0" w:firstRow="1" w:lastRow="1" w:firstColumn="1" w:lastColumn="1" w:noHBand="0" w:noVBand="0"/>
        <w:tblDescription w:val="Commonwealth Scientific and Industrial Research Organization (CSIRO) and Bureau of Meteorology (BoM), Australia: Institute - CSIRO-BOM; Model Name - ACCESS1.0&#10;Canadian Centre for Climate Modelling and Analysis: Institute - CCCMA; Model Name - CanESM2&#10;Commonwealth Scientific and Industrial Research Organization in collaboration with Queensland Climate Change Centre of Excellence: Institute - CSIRO-QCCCE; Model Name - CSIRO-Mk3.6.0&#10;Institut Pierre-Simon Laplace : Institute - IPSL; Model Name - IPSL-CM5A-LR&#10;Norwegian Climate Centre: Institute - NCC; Model Name - NorESM1-M&#10;Commonwealth Scientific and Industrial Research Organization Atmospheric Research: Institute - CSIRO; Model Name -CSIRO-Mk3.5&#10;Hadley Centre for Climate Prediction and Research / Met Office: Institute - UKMO; Model Name - UKMO-HadCM3&#10;Max Planck Institute for Meteorology: Institute - MPI; Model Name - ECHAM5/MPI-OM&#10;US Dept. of Commerce / NOAA / Geophysical Fluid Dynamics Laboratory: Institute - GFDL; Model Name - GFDL-CM2.0, GFDL-CM2.1&#10;Center for Climate System Research (The University of Tokyo), National Institute for Environmental Studies, and Frontier Research Center for Global Change (JAMSTEC) : Institute - JAMSTEC; Model Name - MIROC3.2 (medres)&#10;"/>
      </w:tblPr>
      <w:tblGrid>
        <w:gridCol w:w="5669"/>
        <w:gridCol w:w="1560"/>
        <w:gridCol w:w="1899"/>
      </w:tblGrid>
      <w:tr w:rsidR="00BC127B" w:rsidRPr="00A01A35" w:rsidTr="003954B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5670" w:type="dxa"/>
          </w:tcPr>
          <w:p w:rsidR="00BC127B" w:rsidRPr="006F3804" w:rsidRDefault="00BC127B" w:rsidP="006F3804">
            <w:pPr>
              <w:pStyle w:val="Tableheadingcentred"/>
            </w:pPr>
            <w:r w:rsidRPr="006F3804">
              <w:t>Modelling centre</w:t>
            </w:r>
          </w:p>
        </w:tc>
        <w:tc>
          <w:tcPr>
            <w:tcW w:w="1560" w:type="dxa"/>
          </w:tcPr>
          <w:p w:rsidR="00BC127B" w:rsidRPr="006F3804" w:rsidRDefault="00BC127B" w:rsidP="006F3804">
            <w:pPr>
              <w:pStyle w:val="Tableheadingcentred"/>
              <w:cnfStyle w:val="100000000000" w:firstRow="1" w:lastRow="0" w:firstColumn="0" w:lastColumn="0" w:oddVBand="0" w:evenVBand="0" w:oddHBand="0" w:evenHBand="0" w:firstRowFirstColumn="0" w:firstRowLastColumn="0" w:lastRowFirstColumn="0" w:lastRowLastColumn="0"/>
            </w:pPr>
            <w:r w:rsidRPr="006F3804">
              <w:t>Institute ID</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6F3804" w:rsidRDefault="00BC127B" w:rsidP="006F3804">
            <w:pPr>
              <w:pStyle w:val="Tableheadingcentred"/>
            </w:pPr>
            <w:r w:rsidRPr="006F3804">
              <w:t>Mode</w:t>
            </w:r>
            <w:r w:rsidR="00A579DA" w:rsidRPr="006F3804">
              <w:t>l</w:t>
            </w:r>
            <w:r w:rsidRPr="006F3804">
              <w:t xml:space="preserve"> Name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r w:rsidRPr="00375CEA">
              <w:t>Commonwealth Scientific and Industrial Research Organization (CSIRO) and Bureau of Meteorology (BoM), Australia</w:t>
            </w:r>
          </w:p>
        </w:tc>
        <w:tc>
          <w:tcPr>
            <w:tcW w:w="1560" w:type="dxa"/>
          </w:tcPr>
          <w:p w:rsidR="00BC127B" w:rsidRPr="00375CEA" w:rsidRDefault="00BC127B" w:rsidP="00375CEA">
            <w:pPr>
              <w:pStyle w:val="Tabletextleft"/>
              <w:cnfStyle w:val="000000100000" w:firstRow="0" w:lastRow="0" w:firstColumn="0" w:lastColumn="0" w:oddVBand="0" w:evenVBand="0" w:oddHBand="1" w:evenHBand="0" w:firstRowFirstColumn="0" w:firstRowLastColumn="0" w:lastRowFirstColumn="0" w:lastRowLastColumn="0"/>
            </w:pPr>
            <w:r w:rsidRPr="00375CEA">
              <w:t>CSIRO-BOM</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ACCESS1.0</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r w:rsidRPr="00375CEA">
              <w:t>Canadian Centre for Climate Modelling and Analysis</w:t>
            </w:r>
          </w:p>
        </w:tc>
        <w:tc>
          <w:tcPr>
            <w:tcW w:w="1560" w:type="dxa"/>
          </w:tcPr>
          <w:p w:rsidR="00BC127B" w:rsidRPr="00375CEA" w:rsidRDefault="00BC127B" w:rsidP="00375CEA">
            <w:pPr>
              <w:pStyle w:val="Tabletextleft"/>
              <w:cnfStyle w:val="000000010000" w:firstRow="0" w:lastRow="0" w:firstColumn="0" w:lastColumn="0" w:oddVBand="0" w:evenVBand="0" w:oddHBand="0" w:evenHBand="1" w:firstRowFirstColumn="0" w:firstRowLastColumn="0" w:lastRowFirstColumn="0" w:lastRowLastColumn="0"/>
            </w:pPr>
            <w:r w:rsidRPr="00375CEA">
              <w:t>CCCMA</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CanESM2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r w:rsidRPr="00375CEA">
              <w:t>Commonwealth Scientific and Industrial Research Organization in collaboration with Queensland Climate Change Centre of Excellence</w:t>
            </w:r>
          </w:p>
        </w:tc>
        <w:tc>
          <w:tcPr>
            <w:tcW w:w="1560" w:type="dxa"/>
          </w:tcPr>
          <w:p w:rsidR="00BC127B" w:rsidRPr="00375CEA" w:rsidRDefault="00BC127B" w:rsidP="00375CEA">
            <w:pPr>
              <w:pStyle w:val="Tabletextleft"/>
              <w:cnfStyle w:val="000000100000" w:firstRow="0" w:lastRow="0" w:firstColumn="0" w:lastColumn="0" w:oddVBand="0" w:evenVBand="0" w:oddHBand="1" w:evenHBand="0" w:firstRowFirstColumn="0" w:firstRowLastColumn="0" w:lastRowFirstColumn="0" w:lastRowLastColumn="0"/>
            </w:pPr>
            <w:r w:rsidRPr="00375CEA">
              <w:t>CSIRO-QCCCE</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CSIRO-Mk3.6.0</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proofErr w:type="spellStart"/>
            <w:r w:rsidRPr="00375CEA">
              <w:t>Institut</w:t>
            </w:r>
            <w:proofErr w:type="spellEnd"/>
            <w:r w:rsidRPr="00375CEA">
              <w:t xml:space="preserve"> Pierre-Simon Laplace</w:t>
            </w:r>
          </w:p>
        </w:tc>
        <w:tc>
          <w:tcPr>
            <w:tcW w:w="1560" w:type="dxa"/>
          </w:tcPr>
          <w:p w:rsidR="00BC127B" w:rsidRPr="00375CEA" w:rsidRDefault="00BC127B" w:rsidP="00375CEA">
            <w:pPr>
              <w:pStyle w:val="Tabletextleft"/>
              <w:cnfStyle w:val="000000010000" w:firstRow="0" w:lastRow="0" w:firstColumn="0" w:lastColumn="0" w:oddVBand="0" w:evenVBand="0" w:oddHBand="0" w:evenHBand="1" w:firstRowFirstColumn="0" w:firstRowLastColumn="0" w:lastRowFirstColumn="0" w:lastRowLastColumn="0"/>
            </w:pPr>
            <w:r w:rsidRPr="00375CEA">
              <w:t>IPSL</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IPSL-CM5A-LR</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r w:rsidRPr="00375CEA">
              <w:t>Norwegian Climate Centre</w:t>
            </w:r>
          </w:p>
        </w:tc>
        <w:tc>
          <w:tcPr>
            <w:tcW w:w="1560" w:type="dxa"/>
          </w:tcPr>
          <w:p w:rsidR="00BC127B" w:rsidRPr="00375CEA" w:rsidRDefault="00BC127B" w:rsidP="00375CEA">
            <w:pPr>
              <w:pStyle w:val="Tabletextleft"/>
              <w:cnfStyle w:val="000000100000" w:firstRow="0" w:lastRow="0" w:firstColumn="0" w:lastColumn="0" w:oddVBand="0" w:evenVBand="0" w:oddHBand="1" w:evenHBand="0" w:firstRowFirstColumn="0" w:firstRowLastColumn="0" w:lastRowFirstColumn="0" w:lastRowLastColumn="0"/>
            </w:pPr>
            <w:r w:rsidRPr="00375CEA">
              <w:t>NCC</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NorESM1-M</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r w:rsidRPr="00375CEA">
              <w:t>Commonwealth Scientific and Industrial Research Organization Atmospheric Research</w:t>
            </w:r>
          </w:p>
        </w:tc>
        <w:tc>
          <w:tcPr>
            <w:tcW w:w="1560" w:type="dxa"/>
          </w:tcPr>
          <w:p w:rsidR="00BC127B" w:rsidRPr="00375CEA" w:rsidRDefault="00BC127B" w:rsidP="00375CEA">
            <w:pPr>
              <w:pStyle w:val="Tabletextleft"/>
              <w:cnfStyle w:val="000000010000" w:firstRow="0" w:lastRow="0" w:firstColumn="0" w:lastColumn="0" w:oddVBand="0" w:evenVBand="0" w:oddHBand="0" w:evenHBand="1" w:firstRowFirstColumn="0" w:firstRowLastColumn="0" w:lastRowFirstColumn="0" w:lastRowLastColumn="0"/>
            </w:pPr>
            <w:r w:rsidRPr="00375CEA">
              <w:t>CSIRO</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CSIRO-Mk3.5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r w:rsidRPr="00375CEA">
              <w:t>Hadley Centre for Climate Prediction and Research / Met Office</w:t>
            </w:r>
          </w:p>
        </w:tc>
        <w:tc>
          <w:tcPr>
            <w:tcW w:w="1560" w:type="dxa"/>
          </w:tcPr>
          <w:p w:rsidR="00BC127B" w:rsidRPr="00375CEA" w:rsidRDefault="00BC127B" w:rsidP="00375CEA">
            <w:pPr>
              <w:pStyle w:val="Tabletextleft"/>
              <w:cnfStyle w:val="000000100000" w:firstRow="0" w:lastRow="0" w:firstColumn="0" w:lastColumn="0" w:oddVBand="0" w:evenVBand="0" w:oddHBand="1" w:evenHBand="0" w:firstRowFirstColumn="0" w:firstRowLastColumn="0" w:lastRowFirstColumn="0" w:lastRowLastColumn="0"/>
            </w:pPr>
            <w:r w:rsidRPr="00375CEA">
              <w:t>UKMO</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UKMO-HadCM3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r w:rsidRPr="00375CEA">
              <w:t>Max Planck Institute for Meteorology</w:t>
            </w:r>
          </w:p>
        </w:tc>
        <w:tc>
          <w:tcPr>
            <w:tcW w:w="1560" w:type="dxa"/>
          </w:tcPr>
          <w:p w:rsidR="00BC127B" w:rsidRPr="00375CEA" w:rsidRDefault="00BC127B" w:rsidP="00375CEA">
            <w:pPr>
              <w:pStyle w:val="Tabletextleft"/>
              <w:cnfStyle w:val="000000010000" w:firstRow="0" w:lastRow="0" w:firstColumn="0" w:lastColumn="0" w:oddVBand="0" w:evenVBand="0" w:oddHBand="0" w:evenHBand="1" w:firstRowFirstColumn="0" w:firstRowLastColumn="0" w:lastRowFirstColumn="0" w:lastRowLastColumn="0"/>
            </w:pPr>
            <w:r w:rsidRPr="00375CEA">
              <w:t>MPI</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ECHAM5/MPI-OM</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r w:rsidRPr="00375CEA">
              <w:t>US Dept. of Commerce / NOAA / Geophysical Fluid Dynamics Laboratory</w:t>
            </w:r>
          </w:p>
        </w:tc>
        <w:tc>
          <w:tcPr>
            <w:tcW w:w="1560" w:type="dxa"/>
          </w:tcPr>
          <w:p w:rsidR="00BC127B" w:rsidRPr="00375CEA" w:rsidRDefault="00BC127B" w:rsidP="00375CEA">
            <w:pPr>
              <w:pStyle w:val="Tabletextleft"/>
              <w:cnfStyle w:val="000000100000" w:firstRow="0" w:lastRow="0" w:firstColumn="0" w:lastColumn="0" w:oddVBand="0" w:evenVBand="0" w:oddHBand="1" w:evenHBand="0" w:firstRowFirstColumn="0" w:firstRowLastColumn="0" w:lastRowFirstColumn="0" w:lastRowLastColumn="0"/>
            </w:pPr>
            <w:r w:rsidRPr="00375CEA">
              <w:t>GFDL</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GFDL-CM2.0</w:t>
            </w:r>
          </w:p>
          <w:p w:rsidR="00BC127B" w:rsidRPr="00375CEA" w:rsidRDefault="00BC127B" w:rsidP="00375CEA">
            <w:pPr>
              <w:pStyle w:val="Tabletextleft"/>
            </w:pPr>
            <w:r w:rsidRPr="00375CEA">
              <w:t>GFDL-CM2.1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tcPr>
          <w:p w:rsidR="00BC127B" w:rsidRPr="00375CEA" w:rsidRDefault="00BC127B" w:rsidP="00375CEA">
            <w:pPr>
              <w:pStyle w:val="Tabletextleft"/>
            </w:pPr>
            <w:proofErr w:type="spellStart"/>
            <w:r w:rsidRPr="00375CEA">
              <w:t>Center</w:t>
            </w:r>
            <w:proofErr w:type="spellEnd"/>
            <w:r w:rsidRPr="00375CEA">
              <w:t xml:space="preserve"> for Climate System Research (The University of Tokyo), National Institute for Environmental Studies, and Frontier Research </w:t>
            </w:r>
            <w:proofErr w:type="spellStart"/>
            <w:r w:rsidRPr="00375CEA">
              <w:t>Center</w:t>
            </w:r>
            <w:proofErr w:type="spellEnd"/>
            <w:r w:rsidRPr="00375CEA">
              <w:t xml:space="preserve"> for Global Change (JAMSTEC)</w:t>
            </w:r>
          </w:p>
        </w:tc>
        <w:tc>
          <w:tcPr>
            <w:tcW w:w="1560" w:type="dxa"/>
          </w:tcPr>
          <w:p w:rsidR="00BC127B" w:rsidRPr="00375CEA" w:rsidRDefault="00BC127B" w:rsidP="00375CEA">
            <w:pPr>
              <w:pStyle w:val="Tabletextleft"/>
              <w:cnfStyle w:val="000000010000" w:firstRow="0" w:lastRow="0" w:firstColumn="0" w:lastColumn="0" w:oddVBand="0" w:evenVBand="0" w:oddHBand="0" w:evenHBand="1" w:firstRowFirstColumn="0" w:firstRowLastColumn="0" w:lastRowFirstColumn="0" w:lastRowLastColumn="0"/>
            </w:pPr>
            <w:r w:rsidRPr="00375CEA">
              <w:t>JAMSTEC</w:t>
            </w:r>
          </w:p>
        </w:tc>
        <w:tc>
          <w:tcPr>
            <w:cnfStyle w:val="000010000000" w:firstRow="0" w:lastRow="0" w:firstColumn="0" w:lastColumn="0" w:oddVBand="1" w:evenVBand="0" w:oddHBand="0" w:evenHBand="0" w:firstRowFirstColumn="0" w:firstRowLastColumn="0" w:lastRowFirstColumn="0" w:lastRowLastColumn="0"/>
            <w:tcW w:w="1899" w:type="dxa"/>
          </w:tcPr>
          <w:p w:rsidR="00BC127B" w:rsidRPr="00375CEA" w:rsidRDefault="00BC127B" w:rsidP="00375CEA">
            <w:pPr>
              <w:pStyle w:val="Tabletextleft"/>
            </w:pPr>
            <w:r w:rsidRPr="00375CEA">
              <w:t>MIROC3.2 (</w:t>
            </w:r>
            <w:proofErr w:type="spellStart"/>
            <w:r w:rsidRPr="00375CEA">
              <w:t>medres</w:t>
            </w:r>
            <w:proofErr w:type="spellEnd"/>
            <w:r w:rsidRPr="00375CEA">
              <w:t>)</w:t>
            </w:r>
          </w:p>
        </w:tc>
      </w:tr>
    </w:tbl>
    <w:p w:rsidR="00BC127B" w:rsidRDefault="00BC127B" w:rsidP="00E57C2A">
      <w:pPr>
        <w:pStyle w:val="Heading9"/>
      </w:pPr>
      <w:bookmarkStart w:id="73" w:name="_Toc356827207"/>
      <w:bookmarkStart w:id="74" w:name="_Toc357065185"/>
      <w:bookmarkStart w:id="75" w:name="_Toc361914696"/>
      <w:bookmarkStart w:id="76" w:name="_Ref361914724"/>
      <w:r>
        <w:lastRenderedPageBreak/>
        <w:t>Relative distribution of TC intensity</w:t>
      </w:r>
      <w:bookmarkEnd w:id="73"/>
      <w:bookmarkEnd w:id="74"/>
      <w:bookmarkEnd w:id="75"/>
      <w:bookmarkEnd w:id="76"/>
    </w:p>
    <w:p w:rsidR="00BC127B" w:rsidRDefault="00BC127B" w:rsidP="00BC127B">
      <w:pPr>
        <w:pStyle w:val="BodyText"/>
      </w:pPr>
      <w:r>
        <w:t xml:space="preserve">These tables present the relative distribution of intensity for current and future climate simulations. Also included are the current baseline relative distributions for reference. Categorisations are based on the minimum central pressure, using the </w:t>
      </w:r>
      <w:proofErr w:type="spellStart"/>
      <w:r>
        <w:t>Saffir</w:t>
      </w:r>
      <w:proofErr w:type="spellEnd"/>
      <w:r>
        <w:t xml:space="preserve">-Simpson Hurricane Intensity Scale. </w:t>
      </w:r>
    </w:p>
    <w:p w:rsidR="00BC127B" w:rsidRDefault="00BC127B" w:rsidP="00E57C2A">
      <w:pPr>
        <w:pStyle w:val="Headingappendix2"/>
      </w:pPr>
      <w:bookmarkStart w:id="77" w:name="_Toc356827208"/>
      <w:bookmarkStart w:id="78" w:name="_Toc357065186"/>
      <w:bookmarkStart w:id="79" w:name="_Toc361914697"/>
      <w:r>
        <w:lastRenderedPageBreak/>
        <w:t>Southern hemisphere domain</w:t>
      </w:r>
      <w:bookmarkEnd w:id="77"/>
      <w:bookmarkEnd w:id="78"/>
      <w:bookmarkEnd w:id="79"/>
    </w:p>
    <w:p w:rsidR="00BC127B" w:rsidRPr="00491481" w:rsidRDefault="00BC127B" w:rsidP="00CD4095">
      <w:pPr>
        <w:pStyle w:val="Tabletitle"/>
        <w:keepLines/>
      </w:pPr>
      <w:bookmarkStart w:id="80" w:name="_Ref356291267"/>
      <w:r w:rsidRPr="00491481">
        <w:t xml:space="preserve">Table </w:t>
      </w:r>
      <w:bookmarkEnd w:id="80"/>
      <w:r w:rsidR="00E57C2A">
        <w:t>B.1</w:t>
      </w:r>
      <w:r w:rsidRPr="00491481">
        <w:t xml:space="preserve"> ACCESS 1.0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375CEA"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CD4095">
            <w:pPr>
              <w:pStyle w:val="Tableheadingcentred"/>
              <w:keepNext/>
              <w:keepLines/>
            </w:pPr>
            <w:r w:rsidRPr="006F3804">
              <w:t>Category</w:t>
            </w:r>
          </w:p>
        </w:tc>
        <w:tc>
          <w:tcPr>
            <w:tcW w:w="1293" w:type="dxa"/>
          </w:tcPr>
          <w:p w:rsidR="00BC127B" w:rsidRPr="006F3804" w:rsidRDefault="00BC127B" w:rsidP="00CD4095">
            <w:pPr>
              <w:pStyle w:val="Tableheadingcentred"/>
              <w:keepNext/>
              <w:keepLines/>
            </w:pPr>
            <w:r w:rsidRPr="006F3804">
              <w:t>1981-2000</w:t>
            </w:r>
          </w:p>
        </w:tc>
        <w:tc>
          <w:tcPr>
            <w:tcW w:w="1134" w:type="dxa"/>
          </w:tcPr>
          <w:p w:rsidR="00BC127B" w:rsidRPr="006F3804" w:rsidRDefault="00BC127B" w:rsidP="00CD4095">
            <w:pPr>
              <w:pStyle w:val="Tableheadingcentred"/>
              <w:keepNext/>
              <w:keepLines/>
            </w:pPr>
            <w:r w:rsidRPr="006F3804">
              <w:t>2050</w:t>
            </w:r>
          </w:p>
        </w:tc>
        <w:tc>
          <w:tcPr>
            <w:tcW w:w="1418" w:type="dxa"/>
          </w:tcPr>
          <w:p w:rsidR="00BC127B" w:rsidRPr="006F3804" w:rsidRDefault="00BC127B" w:rsidP="00CD4095">
            <w:pPr>
              <w:pStyle w:val="Tableheadingcentred"/>
              <w:keepNext/>
              <w:keepLines/>
            </w:pPr>
            <w:r w:rsidRPr="006F3804">
              <w:t>2081-2100</w:t>
            </w:r>
          </w:p>
        </w:tc>
        <w:tc>
          <w:tcPr>
            <w:tcW w:w="1134" w:type="dxa"/>
          </w:tcPr>
          <w:p w:rsidR="00BC127B" w:rsidRPr="006F3804" w:rsidRDefault="00BC127B" w:rsidP="00CD4095">
            <w:pPr>
              <w:pStyle w:val="Tableheadingcentred"/>
              <w:keepNext/>
              <w:keepLines/>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375CEA" w:rsidRDefault="00BC127B" w:rsidP="00CD4095">
            <w:pPr>
              <w:pStyle w:val="Tabletextcentred"/>
              <w:keepNext/>
              <w:keepLines/>
            </w:pPr>
            <w:r w:rsidRPr="00375CEA">
              <w:t>TC5</w:t>
            </w:r>
          </w:p>
        </w:tc>
        <w:tc>
          <w:tcPr>
            <w:tcW w:w="1293" w:type="dxa"/>
          </w:tcPr>
          <w:p w:rsidR="00BC127B" w:rsidRPr="00375CEA" w:rsidRDefault="00BC127B" w:rsidP="00CD4095">
            <w:pPr>
              <w:pStyle w:val="Tabletextcentred"/>
              <w:keepNext/>
              <w:keepLines/>
            </w:pPr>
            <w:r w:rsidRPr="00375CEA">
              <w:t>0.07</w:t>
            </w:r>
          </w:p>
        </w:tc>
        <w:tc>
          <w:tcPr>
            <w:tcW w:w="1134" w:type="dxa"/>
          </w:tcPr>
          <w:p w:rsidR="00BC127B" w:rsidRPr="00375CEA" w:rsidRDefault="00BC127B" w:rsidP="00CD4095">
            <w:pPr>
              <w:pStyle w:val="Tabletextcentred"/>
              <w:keepNext/>
              <w:keepLines/>
            </w:pPr>
            <w:r w:rsidRPr="00375CEA">
              <w:t>0.055</w:t>
            </w:r>
            <w:r w:rsidRPr="00375CEA">
              <w:br/>
              <w:t>(-21.5%)</w:t>
            </w:r>
          </w:p>
        </w:tc>
        <w:tc>
          <w:tcPr>
            <w:tcW w:w="1418" w:type="dxa"/>
          </w:tcPr>
          <w:p w:rsidR="00BC127B" w:rsidRPr="00375CEA" w:rsidRDefault="00BC127B" w:rsidP="00CD4095">
            <w:pPr>
              <w:pStyle w:val="Tabletextcentred"/>
              <w:keepNext/>
              <w:keepLines/>
            </w:pPr>
            <w:r w:rsidRPr="00375CEA">
              <w:t>0.045</w:t>
            </w:r>
            <w:r w:rsidRPr="00375CEA">
              <w:br/>
              <w:t>(-35.8%)</w:t>
            </w:r>
          </w:p>
        </w:tc>
        <w:tc>
          <w:tcPr>
            <w:tcW w:w="1134" w:type="dxa"/>
          </w:tcPr>
          <w:p w:rsidR="00BC127B" w:rsidRPr="00375CEA" w:rsidRDefault="00BC127B" w:rsidP="00CD4095">
            <w:pPr>
              <w:pStyle w:val="Tabletextcentred"/>
              <w:keepNext/>
              <w:keepLines/>
            </w:pPr>
            <w:r w:rsidRPr="00375CEA">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375CEA" w:rsidRDefault="00BC127B" w:rsidP="00CD4095">
            <w:pPr>
              <w:pStyle w:val="Tabletextcentred"/>
              <w:keepNext/>
              <w:keepLines/>
            </w:pPr>
            <w:r w:rsidRPr="00375CEA">
              <w:t>TC4</w:t>
            </w:r>
          </w:p>
        </w:tc>
        <w:tc>
          <w:tcPr>
            <w:tcW w:w="1293" w:type="dxa"/>
          </w:tcPr>
          <w:p w:rsidR="00BC127B" w:rsidRPr="00375CEA" w:rsidRDefault="00BC127B" w:rsidP="00CD4095">
            <w:pPr>
              <w:pStyle w:val="Tabletextcentred"/>
              <w:keepNext/>
              <w:keepLines/>
            </w:pPr>
            <w:r w:rsidRPr="00375CEA">
              <w:t>0.112</w:t>
            </w:r>
          </w:p>
        </w:tc>
        <w:tc>
          <w:tcPr>
            <w:tcW w:w="1134" w:type="dxa"/>
          </w:tcPr>
          <w:p w:rsidR="00BC127B" w:rsidRPr="00375CEA" w:rsidRDefault="00BC127B" w:rsidP="00CD4095">
            <w:pPr>
              <w:pStyle w:val="Tabletextcentred"/>
              <w:keepNext/>
              <w:keepLines/>
            </w:pPr>
            <w:r w:rsidRPr="00375CEA">
              <w:t>0.114</w:t>
            </w:r>
            <w:r w:rsidRPr="00375CEA">
              <w:br/>
              <w:t>(+1.3%)</w:t>
            </w:r>
          </w:p>
        </w:tc>
        <w:tc>
          <w:tcPr>
            <w:tcW w:w="1418" w:type="dxa"/>
          </w:tcPr>
          <w:p w:rsidR="00BC127B" w:rsidRPr="00375CEA" w:rsidRDefault="00BC127B" w:rsidP="00CD4095">
            <w:pPr>
              <w:pStyle w:val="Tabletextcentred"/>
              <w:keepNext/>
              <w:keepLines/>
            </w:pPr>
            <w:r w:rsidRPr="00375CEA">
              <w:t>0.115</w:t>
            </w:r>
            <w:r w:rsidRPr="00375CEA">
              <w:br/>
              <w:t>(+2.2%)</w:t>
            </w:r>
          </w:p>
        </w:tc>
        <w:tc>
          <w:tcPr>
            <w:tcW w:w="1134" w:type="dxa"/>
          </w:tcPr>
          <w:p w:rsidR="00BC127B" w:rsidRPr="00375CEA" w:rsidRDefault="00BC127B" w:rsidP="00CD4095">
            <w:pPr>
              <w:pStyle w:val="Tabletextcentred"/>
              <w:keepNext/>
              <w:keepLines/>
            </w:pPr>
            <w:r w:rsidRPr="00375CEA">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375CEA" w:rsidRDefault="00BC127B" w:rsidP="00CD4095">
            <w:pPr>
              <w:pStyle w:val="Tabletextcentred"/>
              <w:keepNext/>
              <w:keepLines/>
            </w:pPr>
            <w:r w:rsidRPr="00375CEA">
              <w:t>TC3</w:t>
            </w:r>
          </w:p>
        </w:tc>
        <w:tc>
          <w:tcPr>
            <w:tcW w:w="1293" w:type="dxa"/>
          </w:tcPr>
          <w:p w:rsidR="00BC127B" w:rsidRPr="00375CEA" w:rsidRDefault="00BC127B" w:rsidP="00CD4095">
            <w:pPr>
              <w:pStyle w:val="Tabletextcentred"/>
              <w:keepNext/>
              <w:keepLines/>
            </w:pPr>
            <w:r w:rsidRPr="00375CEA">
              <w:t>0.225</w:t>
            </w:r>
          </w:p>
        </w:tc>
        <w:tc>
          <w:tcPr>
            <w:tcW w:w="1134" w:type="dxa"/>
          </w:tcPr>
          <w:p w:rsidR="00BC127B" w:rsidRPr="00375CEA" w:rsidRDefault="00BC127B" w:rsidP="00CD4095">
            <w:pPr>
              <w:pStyle w:val="Tabletextcentred"/>
              <w:keepNext/>
              <w:keepLines/>
            </w:pPr>
            <w:r w:rsidRPr="00375CEA">
              <w:t>0.232</w:t>
            </w:r>
            <w:r w:rsidRPr="00375CEA">
              <w:br/>
              <w:t>(+3.5%)</w:t>
            </w:r>
          </w:p>
        </w:tc>
        <w:tc>
          <w:tcPr>
            <w:tcW w:w="1418" w:type="dxa"/>
          </w:tcPr>
          <w:p w:rsidR="00BC127B" w:rsidRPr="00375CEA" w:rsidRDefault="00BC127B" w:rsidP="00CD4095">
            <w:pPr>
              <w:pStyle w:val="Tabletextcentred"/>
              <w:keepNext/>
              <w:keepLines/>
            </w:pPr>
            <w:r w:rsidRPr="00375CEA">
              <w:t>0.238</w:t>
            </w:r>
            <w:r w:rsidRPr="00375CEA">
              <w:br/>
              <w:t>(+5.9%)</w:t>
            </w:r>
          </w:p>
        </w:tc>
        <w:tc>
          <w:tcPr>
            <w:tcW w:w="1134" w:type="dxa"/>
          </w:tcPr>
          <w:p w:rsidR="00BC127B" w:rsidRPr="00375CEA" w:rsidRDefault="00BC127B" w:rsidP="00CD4095">
            <w:pPr>
              <w:pStyle w:val="Tabletextcentred"/>
              <w:keepNext/>
              <w:keepLines/>
            </w:pPr>
            <w:r w:rsidRPr="00375CEA">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375CEA" w:rsidRDefault="00BC127B" w:rsidP="00CD4095">
            <w:pPr>
              <w:pStyle w:val="Tabletextcentred"/>
              <w:keepNext/>
              <w:keepLines/>
            </w:pPr>
            <w:r w:rsidRPr="00375CEA">
              <w:t>TC2</w:t>
            </w:r>
          </w:p>
        </w:tc>
        <w:tc>
          <w:tcPr>
            <w:tcW w:w="1293" w:type="dxa"/>
          </w:tcPr>
          <w:p w:rsidR="00BC127B" w:rsidRPr="00375CEA" w:rsidRDefault="00BC127B" w:rsidP="00CD4095">
            <w:pPr>
              <w:pStyle w:val="Tabletextcentred"/>
              <w:keepNext/>
              <w:keepLines/>
            </w:pPr>
            <w:r w:rsidRPr="00375CEA">
              <w:t>0.207</w:t>
            </w:r>
          </w:p>
        </w:tc>
        <w:tc>
          <w:tcPr>
            <w:tcW w:w="1134" w:type="dxa"/>
          </w:tcPr>
          <w:p w:rsidR="00BC127B" w:rsidRPr="00375CEA" w:rsidRDefault="00BC127B" w:rsidP="00CD4095">
            <w:pPr>
              <w:pStyle w:val="Tabletextcentred"/>
              <w:keepNext/>
              <w:keepLines/>
            </w:pPr>
            <w:r w:rsidRPr="00375CEA">
              <w:t>0.176</w:t>
            </w:r>
            <w:r w:rsidRPr="00375CEA">
              <w:br/>
              <w:t>(-14.9%)</w:t>
            </w:r>
          </w:p>
        </w:tc>
        <w:tc>
          <w:tcPr>
            <w:tcW w:w="1418" w:type="dxa"/>
          </w:tcPr>
          <w:p w:rsidR="00BC127B" w:rsidRPr="00375CEA" w:rsidRDefault="00BC127B" w:rsidP="00CD4095">
            <w:pPr>
              <w:pStyle w:val="Tabletextcentred"/>
              <w:keepNext/>
              <w:keepLines/>
            </w:pPr>
            <w:r w:rsidRPr="00375CEA">
              <w:t>0.156</w:t>
            </w:r>
            <w:r w:rsidRPr="00375CEA">
              <w:br/>
              <w:t>(-24.8%)</w:t>
            </w:r>
          </w:p>
        </w:tc>
        <w:tc>
          <w:tcPr>
            <w:tcW w:w="1134" w:type="dxa"/>
          </w:tcPr>
          <w:p w:rsidR="00BC127B" w:rsidRPr="00375CEA" w:rsidRDefault="00BC127B" w:rsidP="00CD4095">
            <w:pPr>
              <w:pStyle w:val="Tabletextcentred"/>
              <w:keepNext/>
              <w:keepLines/>
            </w:pPr>
            <w:r w:rsidRPr="00375CEA">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375CEA" w:rsidRDefault="00BC127B" w:rsidP="00CD4095">
            <w:pPr>
              <w:pStyle w:val="Tabletextcentred"/>
              <w:keepNext/>
              <w:keepLines/>
            </w:pPr>
            <w:r w:rsidRPr="00375CEA">
              <w:t>TC1</w:t>
            </w:r>
          </w:p>
        </w:tc>
        <w:tc>
          <w:tcPr>
            <w:tcW w:w="1293" w:type="dxa"/>
          </w:tcPr>
          <w:p w:rsidR="00BC127B" w:rsidRPr="00375CEA" w:rsidRDefault="00BC127B" w:rsidP="00CD4095">
            <w:pPr>
              <w:pStyle w:val="Tabletextcentred"/>
              <w:keepNext/>
              <w:keepLines/>
            </w:pPr>
            <w:r w:rsidRPr="00375CEA">
              <w:t>0.165</w:t>
            </w:r>
          </w:p>
        </w:tc>
        <w:tc>
          <w:tcPr>
            <w:tcW w:w="1134" w:type="dxa"/>
          </w:tcPr>
          <w:p w:rsidR="00BC127B" w:rsidRPr="00375CEA" w:rsidRDefault="00BC127B" w:rsidP="00CD4095">
            <w:pPr>
              <w:pStyle w:val="Tabletextcentred"/>
              <w:keepNext/>
              <w:keepLines/>
            </w:pPr>
            <w:r w:rsidRPr="00375CEA">
              <w:t>0.169</w:t>
            </w:r>
            <w:r w:rsidRPr="00375CEA">
              <w:br/>
              <w:t>(+2.6%)</w:t>
            </w:r>
          </w:p>
        </w:tc>
        <w:tc>
          <w:tcPr>
            <w:tcW w:w="1418" w:type="dxa"/>
          </w:tcPr>
          <w:p w:rsidR="00BC127B" w:rsidRPr="00375CEA" w:rsidRDefault="00BC127B" w:rsidP="00CD4095">
            <w:pPr>
              <w:pStyle w:val="Tabletextcentred"/>
              <w:keepNext/>
              <w:keepLines/>
            </w:pPr>
            <w:r w:rsidRPr="00375CEA">
              <w:t>0.172</w:t>
            </w:r>
            <w:r w:rsidRPr="00375CEA">
              <w:br/>
              <w:t>(+4.4%)</w:t>
            </w:r>
          </w:p>
        </w:tc>
        <w:tc>
          <w:tcPr>
            <w:tcW w:w="1134" w:type="dxa"/>
          </w:tcPr>
          <w:p w:rsidR="00BC127B" w:rsidRPr="00375CEA" w:rsidRDefault="00BC127B" w:rsidP="00CD4095">
            <w:pPr>
              <w:pStyle w:val="Tabletextcentred"/>
              <w:keepNext/>
              <w:keepLines/>
            </w:pPr>
            <w:r w:rsidRPr="00375CEA">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375CEA" w:rsidRDefault="00BC127B" w:rsidP="00CD4095">
            <w:pPr>
              <w:pStyle w:val="Tabletextcentred"/>
              <w:keepNext/>
              <w:keepLines/>
            </w:pPr>
            <w:r w:rsidRPr="00375CEA">
              <w:t>TS</w:t>
            </w:r>
          </w:p>
        </w:tc>
        <w:tc>
          <w:tcPr>
            <w:tcW w:w="1293" w:type="dxa"/>
          </w:tcPr>
          <w:p w:rsidR="00BC127B" w:rsidRPr="00375CEA" w:rsidRDefault="00BC127B" w:rsidP="00CD4095">
            <w:pPr>
              <w:pStyle w:val="Tabletextcentred"/>
              <w:keepNext/>
              <w:keepLines/>
            </w:pPr>
            <w:r w:rsidRPr="00375CEA">
              <w:t>0.168</w:t>
            </w:r>
          </w:p>
        </w:tc>
        <w:tc>
          <w:tcPr>
            <w:tcW w:w="1134" w:type="dxa"/>
          </w:tcPr>
          <w:p w:rsidR="00BC127B" w:rsidRPr="00375CEA" w:rsidRDefault="00BC127B" w:rsidP="00CD4095">
            <w:pPr>
              <w:pStyle w:val="Tabletextcentred"/>
              <w:keepNext/>
              <w:keepLines/>
            </w:pPr>
            <w:r w:rsidRPr="00375CEA">
              <w:t>0.183</w:t>
            </w:r>
            <w:r w:rsidRPr="00375CEA">
              <w:br/>
              <w:t>(+8.6%)</w:t>
            </w:r>
          </w:p>
        </w:tc>
        <w:tc>
          <w:tcPr>
            <w:tcW w:w="1418" w:type="dxa"/>
          </w:tcPr>
          <w:p w:rsidR="00BC127B" w:rsidRPr="00375CEA" w:rsidRDefault="00BC127B" w:rsidP="00CD4095">
            <w:pPr>
              <w:pStyle w:val="Tabletextcentred"/>
              <w:keepNext/>
              <w:keepLines/>
            </w:pPr>
            <w:r w:rsidRPr="00375CEA">
              <w:t>0.193</w:t>
            </w:r>
            <w:r w:rsidRPr="00375CEA">
              <w:br/>
              <w:t>(+14.4%)</w:t>
            </w:r>
          </w:p>
        </w:tc>
        <w:tc>
          <w:tcPr>
            <w:tcW w:w="1134" w:type="dxa"/>
          </w:tcPr>
          <w:p w:rsidR="00BC127B" w:rsidRPr="00375CEA" w:rsidRDefault="00BC127B" w:rsidP="00CD4095">
            <w:pPr>
              <w:pStyle w:val="Tabletextcentred"/>
              <w:keepNext/>
              <w:keepLines/>
            </w:pPr>
            <w:r w:rsidRPr="00375CEA">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375CEA" w:rsidRDefault="00BC127B" w:rsidP="00CD4095">
            <w:pPr>
              <w:pStyle w:val="Tabletextcentred"/>
              <w:keepNext/>
              <w:keepLines/>
            </w:pPr>
            <w:r w:rsidRPr="00375CEA">
              <w:t>TD</w:t>
            </w:r>
          </w:p>
        </w:tc>
        <w:tc>
          <w:tcPr>
            <w:tcW w:w="1293" w:type="dxa"/>
          </w:tcPr>
          <w:p w:rsidR="00BC127B" w:rsidRPr="00375CEA" w:rsidRDefault="00BC127B" w:rsidP="00CD4095">
            <w:pPr>
              <w:pStyle w:val="Tabletextcentred"/>
              <w:keepNext/>
              <w:keepLines/>
            </w:pPr>
            <w:r w:rsidRPr="00375CEA">
              <w:t>0.053</w:t>
            </w:r>
          </w:p>
        </w:tc>
        <w:tc>
          <w:tcPr>
            <w:tcW w:w="1134" w:type="dxa"/>
          </w:tcPr>
          <w:p w:rsidR="00BC127B" w:rsidRPr="00375CEA" w:rsidRDefault="00BC127B" w:rsidP="00CD4095">
            <w:pPr>
              <w:pStyle w:val="Tabletextcentred"/>
              <w:keepNext/>
              <w:keepLines/>
            </w:pPr>
            <w:r w:rsidRPr="00375CEA">
              <w:t>0.07</w:t>
            </w:r>
            <w:r w:rsidRPr="00375CEA">
              <w:br/>
              <w:t>(+33.4%)</w:t>
            </w:r>
          </w:p>
        </w:tc>
        <w:tc>
          <w:tcPr>
            <w:tcW w:w="1418" w:type="dxa"/>
          </w:tcPr>
          <w:p w:rsidR="00BC127B" w:rsidRPr="00375CEA" w:rsidRDefault="00BC127B" w:rsidP="00CD4095">
            <w:pPr>
              <w:pStyle w:val="Tabletextcentred"/>
              <w:keepNext/>
              <w:keepLines/>
            </w:pPr>
            <w:r w:rsidRPr="00375CEA">
              <w:t>0.082</w:t>
            </w:r>
            <w:r w:rsidRPr="00375CEA">
              <w:br/>
              <w:t>(+55.7%)</w:t>
            </w:r>
          </w:p>
        </w:tc>
        <w:tc>
          <w:tcPr>
            <w:tcW w:w="1134" w:type="dxa"/>
          </w:tcPr>
          <w:p w:rsidR="00BC127B" w:rsidRPr="00375CEA" w:rsidRDefault="00BC127B" w:rsidP="00CD4095">
            <w:pPr>
              <w:pStyle w:val="Tabletextcentred"/>
              <w:keepNext/>
              <w:keepLines/>
            </w:pPr>
            <w:r w:rsidRPr="00375CEA">
              <w:t>0.043</w:t>
            </w:r>
          </w:p>
        </w:tc>
      </w:tr>
    </w:tbl>
    <w:p w:rsidR="00BC127B" w:rsidRPr="00491481" w:rsidRDefault="00BC127B" w:rsidP="00E57C2A">
      <w:pPr>
        <w:pStyle w:val="Tabletitle"/>
        <w:keepLines/>
      </w:pPr>
      <w:r w:rsidRPr="00491481">
        <w:t xml:space="preserve">Table </w:t>
      </w:r>
      <w:r w:rsidR="00E57C2A">
        <w:t>B.2</w:t>
      </w:r>
      <w:r w:rsidRPr="00491481">
        <w:t xml:space="preserve"> </w:t>
      </w:r>
      <w:proofErr w:type="spellStart"/>
      <w:r w:rsidRPr="00491481">
        <w:t>CanESM</w:t>
      </w:r>
      <w:proofErr w:type="spellEnd"/>
      <w:r w:rsidRPr="00491481">
        <w:t xml:space="preserve"> 2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375CEA"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E57C2A">
            <w:pPr>
              <w:pStyle w:val="Tableheadingcentred"/>
              <w:keepNext/>
              <w:keepLines/>
            </w:pPr>
            <w:r w:rsidRPr="006F3804">
              <w:t>Category</w:t>
            </w:r>
          </w:p>
        </w:tc>
        <w:tc>
          <w:tcPr>
            <w:tcW w:w="1293" w:type="dxa"/>
          </w:tcPr>
          <w:p w:rsidR="00BC127B" w:rsidRPr="006F3804" w:rsidRDefault="00BC127B" w:rsidP="00E57C2A">
            <w:pPr>
              <w:pStyle w:val="Tableheadingcentred"/>
              <w:keepNext/>
              <w:keepLines/>
            </w:pPr>
            <w:r w:rsidRPr="006F3804">
              <w:t>1981-2000</w:t>
            </w:r>
          </w:p>
        </w:tc>
        <w:tc>
          <w:tcPr>
            <w:tcW w:w="1134" w:type="dxa"/>
          </w:tcPr>
          <w:p w:rsidR="00BC127B" w:rsidRPr="006F3804" w:rsidRDefault="00BC127B" w:rsidP="00E57C2A">
            <w:pPr>
              <w:pStyle w:val="Tableheadingcentred"/>
              <w:keepNext/>
              <w:keepLines/>
            </w:pPr>
            <w:r w:rsidRPr="006F3804">
              <w:t>2050</w:t>
            </w:r>
          </w:p>
        </w:tc>
        <w:tc>
          <w:tcPr>
            <w:tcW w:w="1418" w:type="dxa"/>
          </w:tcPr>
          <w:p w:rsidR="00BC127B" w:rsidRPr="006F3804" w:rsidRDefault="00BC127B" w:rsidP="00E57C2A">
            <w:pPr>
              <w:pStyle w:val="Tableheadingcentred"/>
              <w:keepNext/>
              <w:keepLines/>
            </w:pPr>
            <w:r w:rsidRPr="006F3804">
              <w:t>2081-2100</w:t>
            </w:r>
          </w:p>
        </w:tc>
        <w:tc>
          <w:tcPr>
            <w:tcW w:w="1134" w:type="dxa"/>
          </w:tcPr>
          <w:p w:rsidR="00BC127B" w:rsidRPr="006F3804" w:rsidRDefault="00BC127B" w:rsidP="00E57C2A">
            <w:pPr>
              <w:pStyle w:val="Tableheadingcentred"/>
              <w:keepNext/>
              <w:keepLines/>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E57C2A">
            <w:pPr>
              <w:pStyle w:val="Tabletextcentred"/>
              <w:keepNext/>
              <w:keepLines/>
            </w:pPr>
            <w:r w:rsidRPr="00573ED2">
              <w:t>TC5</w:t>
            </w:r>
          </w:p>
        </w:tc>
        <w:tc>
          <w:tcPr>
            <w:tcW w:w="1293" w:type="dxa"/>
          </w:tcPr>
          <w:p w:rsidR="00BC127B" w:rsidRPr="006F3804" w:rsidRDefault="00BC127B" w:rsidP="00E57C2A">
            <w:pPr>
              <w:pStyle w:val="Tabletextcentred"/>
              <w:keepNext/>
              <w:keepLines/>
            </w:pPr>
            <w:r w:rsidRPr="006F3804">
              <w:t>0.056</w:t>
            </w:r>
          </w:p>
        </w:tc>
        <w:tc>
          <w:tcPr>
            <w:tcW w:w="1134" w:type="dxa"/>
          </w:tcPr>
          <w:p w:rsidR="00BC127B" w:rsidRPr="006F3804" w:rsidRDefault="00BC127B" w:rsidP="00E57C2A">
            <w:pPr>
              <w:pStyle w:val="Tabletextcentred"/>
              <w:keepNext/>
              <w:keepLines/>
            </w:pPr>
            <w:r w:rsidRPr="006F3804">
              <w:t>0.105</w:t>
            </w:r>
            <w:r w:rsidRPr="006F3804">
              <w:br/>
              <w:t>(+89.6%)</w:t>
            </w:r>
          </w:p>
        </w:tc>
        <w:tc>
          <w:tcPr>
            <w:tcW w:w="1418" w:type="dxa"/>
          </w:tcPr>
          <w:p w:rsidR="00BC127B" w:rsidRPr="006F3804" w:rsidRDefault="00BC127B" w:rsidP="00E57C2A">
            <w:pPr>
              <w:pStyle w:val="Tabletextcentred"/>
              <w:keepNext/>
              <w:keepLines/>
            </w:pPr>
            <w:r w:rsidRPr="006F3804">
              <w:t>0.139</w:t>
            </w:r>
            <w:r w:rsidRPr="006F3804">
              <w:br/>
              <w:t>(+149.4%)</w:t>
            </w:r>
          </w:p>
        </w:tc>
        <w:tc>
          <w:tcPr>
            <w:tcW w:w="1134" w:type="dxa"/>
          </w:tcPr>
          <w:p w:rsidR="00BC127B" w:rsidRPr="006F3804" w:rsidRDefault="00BC127B" w:rsidP="00E57C2A">
            <w:pPr>
              <w:pStyle w:val="Tabletextcentred"/>
              <w:keepNext/>
              <w:keepLines/>
            </w:pPr>
            <w:r w:rsidRPr="006F3804">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E57C2A">
            <w:pPr>
              <w:pStyle w:val="Tabletextcentred"/>
              <w:keepNext/>
              <w:keepLines/>
            </w:pPr>
            <w:r w:rsidRPr="00573ED2">
              <w:t>TC4</w:t>
            </w:r>
          </w:p>
        </w:tc>
        <w:tc>
          <w:tcPr>
            <w:tcW w:w="1293" w:type="dxa"/>
          </w:tcPr>
          <w:p w:rsidR="00BC127B" w:rsidRPr="006F3804" w:rsidRDefault="00BC127B" w:rsidP="00E57C2A">
            <w:pPr>
              <w:pStyle w:val="Tabletextcentred"/>
              <w:keepNext/>
              <w:keepLines/>
            </w:pPr>
            <w:r w:rsidRPr="006F3804">
              <w:t>0.142</w:t>
            </w:r>
          </w:p>
        </w:tc>
        <w:tc>
          <w:tcPr>
            <w:tcW w:w="1134" w:type="dxa"/>
          </w:tcPr>
          <w:p w:rsidR="00BC127B" w:rsidRPr="006F3804" w:rsidRDefault="00BC127B" w:rsidP="00E57C2A">
            <w:pPr>
              <w:pStyle w:val="Tabletextcentred"/>
              <w:keepNext/>
              <w:keepLines/>
            </w:pPr>
            <w:r w:rsidRPr="006F3804">
              <w:t>0.136</w:t>
            </w:r>
            <w:r w:rsidRPr="006F3804">
              <w:br/>
              <w:t>(-4.1%)</w:t>
            </w:r>
          </w:p>
        </w:tc>
        <w:tc>
          <w:tcPr>
            <w:tcW w:w="1418" w:type="dxa"/>
          </w:tcPr>
          <w:p w:rsidR="00BC127B" w:rsidRPr="006F3804" w:rsidRDefault="00BC127B" w:rsidP="00E57C2A">
            <w:pPr>
              <w:pStyle w:val="Tabletextcentred"/>
              <w:keepNext/>
              <w:keepLines/>
            </w:pPr>
            <w:r w:rsidRPr="006F3804">
              <w:t>0.133</w:t>
            </w:r>
            <w:r w:rsidRPr="006F3804">
              <w:br/>
              <w:t>(-6.9%)</w:t>
            </w:r>
          </w:p>
        </w:tc>
        <w:tc>
          <w:tcPr>
            <w:tcW w:w="1134" w:type="dxa"/>
          </w:tcPr>
          <w:p w:rsidR="00BC127B" w:rsidRPr="006F3804" w:rsidRDefault="00BC127B" w:rsidP="00E57C2A">
            <w:pPr>
              <w:pStyle w:val="Tabletextcentred"/>
              <w:keepNext/>
              <w:keepLines/>
            </w:pPr>
            <w:r w:rsidRPr="006F3804">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E57C2A">
            <w:pPr>
              <w:pStyle w:val="Tabletextcentred"/>
              <w:keepNext/>
              <w:keepLines/>
            </w:pPr>
            <w:r w:rsidRPr="00573ED2">
              <w:t>TC3</w:t>
            </w:r>
          </w:p>
        </w:tc>
        <w:tc>
          <w:tcPr>
            <w:tcW w:w="1293" w:type="dxa"/>
          </w:tcPr>
          <w:p w:rsidR="00BC127B" w:rsidRPr="006F3804" w:rsidRDefault="00BC127B" w:rsidP="00E57C2A">
            <w:pPr>
              <w:pStyle w:val="Tabletextcentred"/>
              <w:keepNext/>
              <w:keepLines/>
            </w:pPr>
            <w:r w:rsidRPr="006F3804">
              <w:t>0.181</w:t>
            </w:r>
          </w:p>
        </w:tc>
        <w:tc>
          <w:tcPr>
            <w:tcW w:w="1134" w:type="dxa"/>
          </w:tcPr>
          <w:p w:rsidR="00BC127B" w:rsidRPr="006F3804" w:rsidRDefault="00BC127B" w:rsidP="00E57C2A">
            <w:pPr>
              <w:pStyle w:val="Tabletextcentred"/>
              <w:keepNext/>
              <w:keepLines/>
            </w:pPr>
            <w:r w:rsidRPr="006F3804">
              <w:t>0.164</w:t>
            </w:r>
            <w:r w:rsidRPr="006F3804">
              <w:br/>
              <w:t>(-9.0%)</w:t>
            </w:r>
          </w:p>
        </w:tc>
        <w:tc>
          <w:tcPr>
            <w:tcW w:w="1418" w:type="dxa"/>
          </w:tcPr>
          <w:p w:rsidR="00BC127B" w:rsidRPr="006F3804" w:rsidRDefault="00BC127B" w:rsidP="00E57C2A">
            <w:pPr>
              <w:pStyle w:val="Tabletextcentred"/>
              <w:keepNext/>
              <w:keepLines/>
            </w:pPr>
            <w:r w:rsidRPr="006F3804">
              <w:t>0.154</w:t>
            </w:r>
            <w:r w:rsidRPr="006F3804">
              <w:br/>
              <w:t>(-14.9%)</w:t>
            </w:r>
          </w:p>
        </w:tc>
        <w:tc>
          <w:tcPr>
            <w:tcW w:w="1134" w:type="dxa"/>
          </w:tcPr>
          <w:p w:rsidR="00BC127B" w:rsidRPr="006F3804" w:rsidRDefault="00BC127B" w:rsidP="00E57C2A">
            <w:pPr>
              <w:pStyle w:val="Tabletextcentred"/>
              <w:keepNext/>
              <w:keepLines/>
            </w:pPr>
            <w:r w:rsidRPr="006F3804">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E57C2A">
            <w:pPr>
              <w:pStyle w:val="Tabletextcentred"/>
              <w:keepNext/>
              <w:keepLines/>
            </w:pPr>
            <w:r w:rsidRPr="00573ED2">
              <w:t>TC2</w:t>
            </w:r>
          </w:p>
        </w:tc>
        <w:tc>
          <w:tcPr>
            <w:tcW w:w="1293" w:type="dxa"/>
          </w:tcPr>
          <w:p w:rsidR="00BC127B" w:rsidRPr="006F3804" w:rsidRDefault="00BC127B" w:rsidP="00E57C2A">
            <w:pPr>
              <w:pStyle w:val="Tabletextcentred"/>
              <w:keepNext/>
              <w:keepLines/>
            </w:pPr>
            <w:r w:rsidRPr="006F3804">
              <w:t>0.215</w:t>
            </w:r>
          </w:p>
        </w:tc>
        <w:tc>
          <w:tcPr>
            <w:tcW w:w="1134" w:type="dxa"/>
          </w:tcPr>
          <w:p w:rsidR="00BC127B" w:rsidRPr="006F3804" w:rsidRDefault="00BC127B" w:rsidP="00E57C2A">
            <w:pPr>
              <w:pStyle w:val="Tabletextcentred"/>
              <w:keepNext/>
              <w:keepLines/>
            </w:pPr>
            <w:r w:rsidRPr="006F3804">
              <w:t>0.162</w:t>
            </w:r>
            <w:r w:rsidRPr="006F3804">
              <w:br/>
              <w:t>(-24.7%)</w:t>
            </w:r>
          </w:p>
        </w:tc>
        <w:tc>
          <w:tcPr>
            <w:tcW w:w="1418" w:type="dxa"/>
          </w:tcPr>
          <w:p w:rsidR="00BC127B" w:rsidRPr="006F3804" w:rsidRDefault="00BC127B" w:rsidP="00E57C2A">
            <w:pPr>
              <w:pStyle w:val="Tabletextcentred"/>
              <w:keepNext/>
              <w:keepLines/>
            </w:pPr>
            <w:r w:rsidRPr="006F3804">
              <w:t>0.127</w:t>
            </w:r>
            <w:r w:rsidRPr="006F3804">
              <w:br/>
              <w:t>(-41.2%)</w:t>
            </w:r>
          </w:p>
        </w:tc>
        <w:tc>
          <w:tcPr>
            <w:tcW w:w="1134" w:type="dxa"/>
          </w:tcPr>
          <w:p w:rsidR="00BC127B" w:rsidRPr="006F3804" w:rsidRDefault="00BC127B" w:rsidP="00E57C2A">
            <w:pPr>
              <w:pStyle w:val="Tabletextcentred"/>
              <w:keepNext/>
              <w:keepLines/>
            </w:pPr>
            <w:r w:rsidRPr="006F3804">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E57C2A">
            <w:pPr>
              <w:pStyle w:val="Tabletextcentred"/>
              <w:keepNext/>
              <w:keepLines/>
            </w:pPr>
            <w:r w:rsidRPr="00573ED2">
              <w:t>TC1</w:t>
            </w:r>
          </w:p>
        </w:tc>
        <w:tc>
          <w:tcPr>
            <w:tcW w:w="1293" w:type="dxa"/>
          </w:tcPr>
          <w:p w:rsidR="00BC127B" w:rsidRPr="006F3804" w:rsidRDefault="00BC127B" w:rsidP="00E57C2A">
            <w:pPr>
              <w:pStyle w:val="Tabletextcentred"/>
              <w:keepNext/>
              <w:keepLines/>
            </w:pPr>
            <w:r w:rsidRPr="006F3804">
              <w:t>0.194</w:t>
            </w:r>
          </w:p>
        </w:tc>
        <w:tc>
          <w:tcPr>
            <w:tcW w:w="1134" w:type="dxa"/>
          </w:tcPr>
          <w:p w:rsidR="00BC127B" w:rsidRPr="006F3804" w:rsidRDefault="00BC127B" w:rsidP="00E57C2A">
            <w:pPr>
              <w:pStyle w:val="Tabletextcentred"/>
              <w:keepNext/>
              <w:keepLines/>
            </w:pPr>
            <w:r w:rsidRPr="006F3804">
              <w:t>0.219</w:t>
            </w:r>
            <w:r w:rsidRPr="006F3804">
              <w:br/>
              <w:t>(+12.5%)</w:t>
            </w:r>
          </w:p>
        </w:tc>
        <w:tc>
          <w:tcPr>
            <w:tcW w:w="1418" w:type="dxa"/>
          </w:tcPr>
          <w:p w:rsidR="00BC127B" w:rsidRPr="006F3804" w:rsidRDefault="00BC127B" w:rsidP="00E57C2A">
            <w:pPr>
              <w:pStyle w:val="Tabletextcentred"/>
              <w:keepNext/>
              <w:keepLines/>
            </w:pPr>
            <w:r w:rsidRPr="006F3804">
              <w:t>0.235</w:t>
            </w:r>
            <w:r w:rsidRPr="006F3804">
              <w:br/>
              <w:t>(+20.8%)</w:t>
            </w:r>
          </w:p>
        </w:tc>
        <w:tc>
          <w:tcPr>
            <w:tcW w:w="1134" w:type="dxa"/>
          </w:tcPr>
          <w:p w:rsidR="00BC127B" w:rsidRPr="006F3804" w:rsidRDefault="00BC127B" w:rsidP="00E57C2A">
            <w:pPr>
              <w:pStyle w:val="Tabletextcentred"/>
              <w:keepNext/>
              <w:keepLines/>
            </w:pPr>
            <w:r w:rsidRPr="006F3804">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E57C2A">
            <w:pPr>
              <w:pStyle w:val="Tabletextcentred"/>
              <w:keepNext/>
              <w:keepLines/>
            </w:pPr>
            <w:r w:rsidRPr="00573ED2">
              <w:t>TS</w:t>
            </w:r>
          </w:p>
        </w:tc>
        <w:tc>
          <w:tcPr>
            <w:tcW w:w="1293" w:type="dxa"/>
          </w:tcPr>
          <w:p w:rsidR="00BC127B" w:rsidRPr="006F3804" w:rsidRDefault="00BC127B" w:rsidP="00E57C2A">
            <w:pPr>
              <w:pStyle w:val="Tabletextcentred"/>
              <w:keepNext/>
              <w:keepLines/>
            </w:pPr>
            <w:r w:rsidRPr="006F3804">
              <w:t>0.177</w:t>
            </w:r>
          </w:p>
        </w:tc>
        <w:tc>
          <w:tcPr>
            <w:tcW w:w="1134" w:type="dxa"/>
          </w:tcPr>
          <w:p w:rsidR="00BC127B" w:rsidRPr="006F3804" w:rsidRDefault="00BC127B" w:rsidP="00E57C2A">
            <w:pPr>
              <w:pStyle w:val="Tabletextcentred"/>
              <w:keepNext/>
              <w:keepLines/>
            </w:pPr>
            <w:r w:rsidRPr="006F3804">
              <w:t>0.19</w:t>
            </w:r>
            <w:r w:rsidRPr="006F3804">
              <w:br/>
              <w:t>(+7.4%)</w:t>
            </w:r>
          </w:p>
        </w:tc>
        <w:tc>
          <w:tcPr>
            <w:tcW w:w="1418" w:type="dxa"/>
          </w:tcPr>
          <w:p w:rsidR="00BC127B" w:rsidRPr="006F3804" w:rsidRDefault="00BC127B" w:rsidP="00E57C2A">
            <w:pPr>
              <w:pStyle w:val="Tabletextcentred"/>
              <w:keepNext/>
              <w:keepLines/>
            </w:pPr>
            <w:r w:rsidRPr="006F3804">
              <w:t>0.199</w:t>
            </w:r>
            <w:r w:rsidRPr="006F3804">
              <w:br/>
              <w:t>(+12.3%)</w:t>
            </w:r>
          </w:p>
        </w:tc>
        <w:tc>
          <w:tcPr>
            <w:tcW w:w="1134" w:type="dxa"/>
          </w:tcPr>
          <w:p w:rsidR="00BC127B" w:rsidRPr="006F3804" w:rsidRDefault="00BC127B" w:rsidP="00E57C2A">
            <w:pPr>
              <w:pStyle w:val="Tabletextcentred"/>
              <w:keepNext/>
              <w:keepLines/>
            </w:pPr>
            <w:r w:rsidRPr="006F3804">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E57C2A">
            <w:pPr>
              <w:pStyle w:val="Tabletextcentred"/>
              <w:keepNext/>
              <w:keepLines/>
            </w:pPr>
            <w:r w:rsidRPr="00573ED2">
              <w:t>TD</w:t>
            </w:r>
          </w:p>
        </w:tc>
        <w:tc>
          <w:tcPr>
            <w:tcW w:w="1293" w:type="dxa"/>
          </w:tcPr>
          <w:p w:rsidR="00BC127B" w:rsidRPr="006F3804" w:rsidRDefault="00BC127B" w:rsidP="00E57C2A">
            <w:pPr>
              <w:pStyle w:val="Tabletextcentred"/>
              <w:keepNext/>
              <w:keepLines/>
            </w:pPr>
            <w:r w:rsidRPr="006F3804">
              <w:t>0.035</w:t>
            </w:r>
          </w:p>
        </w:tc>
        <w:tc>
          <w:tcPr>
            <w:tcW w:w="1134" w:type="dxa"/>
          </w:tcPr>
          <w:p w:rsidR="00BC127B" w:rsidRPr="006F3804" w:rsidRDefault="00BC127B" w:rsidP="00E57C2A">
            <w:pPr>
              <w:pStyle w:val="Tabletextcentred"/>
              <w:keepNext/>
              <w:keepLines/>
            </w:pPr>
            <w:r w:rsidRPr="006F3804">
              <w:t>0.023</w:t>
            </w:r>
            <w:r w:rsidRPr="006F3804">
              <w:br/>
              <w:t>(-34.0%)</w:t>
            </w:r>
          </w:p>
        </w:tc>
        <w:tc>
          <w:tcPr>
            <w:tcW w:w="1418" w:type="dxa"/>
          </w:tcPr>
          <w:p w:rsidR="00BC127B" w:rsidRPr="006F3804" w:rsidRDefault="00BC127B" w:rsidP="00E57C2A">
            <w:pPr>
              <w:pStyle w:val="Tabletextcentred"/>
              <w:keepNext/>
              <w:keepLines/>
            </w:pPr>
            <w:r w:rsidRPr="006F3804">
              <w:t>0.015</w:t>
            </w:r>
            <w:r w:rsidRPr="006F3804">
              <w:br/>
              <w:t>(-56.6%)</w:t>
            </w:r>
          </w:p>
        </w:tc>
        <w:tc>
          <w:tcPr>
            <w:tcW w:w="1134" w:type="dxa"/>
          </w:tcPr>
          <w:p w:rsidR="00BC127B" w:rsidRPr="006F3804" w:rsidRDefault="00BC127B" w:rsidP="00E57C2A">
            <w:pPr>
              <w:pStyle w:val="Tabletextcentred"/>
              <w:keepNext/>
              <w:keepLines/>
            </w:pPr>
            <w:r w:rsidRPr="006F3804">
              <w:t>0.043</w:t>
            </w:r>
          </w:p>
        </w:tc>
      </w:tr>
    </w:tbl>
    <w:p w:rsidR="00BC127B" w:rsidRPr="00491481" w:rsidRDefault="00BC127B" w:rsidP="00DE0A84">
      <w:pPr>
        <w:pStyle w:val="Tabletitle"/>
      </w:pPr>
      <w:r>
        <w:br w:type="page"/>
      </w:r>
      <w:r w:rsidRPr="00491481">
        <w:lastRenderedPageBreak/>
        <w:t xml:space="preserve">Table </w:t>
      </w:r>
      <w:r w:rsidR="00E57C2A">
        <w:t>B.3</w:t>
      </w:r>
      <w:r w:rsidRPr="00491481">
        <w:t xml:space="preserve"> CSIRO Mk 3.6.0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653FD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53FD5" w:rsidRDefault="00BC127B" w:rsidP="00653FD5">
            <w:pPr>
              <w:pStyle w:val="Tableheadingcentred"/>
            </w:pPr>
            <w:r w:rsidRPr="00653FD5">
              <w:t>Category</w:t>
            </w:r>
          </w:p>
        </w:tc>
        <w:tc>
          <w:tcPr>
            <w:tcW w:w="1293" w:type="dxa"/>
          </w:tcPr>
          <w:p w:rsidR="00BC127B" w:rsidRPr="00653FD5" w:rsidRDefault="00BC127B" w:rsidP="00653FD5">
            <w:pPr>
              <w:pStyle w:val="Tableheadingcentred"/>
            </w:pPr>
            <w:r w:rsidRPr="00653FD5">
              <w:t>1981-2000</w:t>
            </w:r>
          </w:p>
        </w:tc>
        <w:tc>
          <w:tcPr>
            <w:tcW w:w="1134" w:type="dxa"/>
          </w:tcPr>
          <w:p w:rsidR="00BC127B" w:rsidRPr="00653FD5" w:rsidRDefault="00BC127B" w:rsidP="00653FD5">
            <w:pPr>
              <w:pStyle w:val="Tableheadingcentred"/>
            </w:pPr>
            <w:r w:rsidRPr="00653FD5">
              <w:t>2050</w:t>
            </w:r>
          </w:p>
        </w:tc>
        <w:tc>
          <w:tcPr>
            <w:tcW w:w="1418" w:type="dxa"/>
          </w:tcPr>
          <w:p w:rsidR="00BC127B" w:rsidRPr="00653FD5" w:rsidRDefault="00BC127B" w:rsidP="00653FD5">
            <w:pPr>
              <w:pStyle w:val="Tableheadingcentred"/>
            </w:pPr>
            <w:r w:rsidRPr="00653FD5">
              <w:t>2081-2100</w:t>
            </w:r>
          </w:p>
        </w:tc>
        <w:tc>
          <w:tcPr>
            <w:tcW w:w="1134" w:type="dxa"/>
          </w:tcPr>
          <w:p w:rsidR="00BC127B" w:rsidRPr="00653FD5" w:rsidRDefault="00BC127B" w:rsidP="00653FD5">
            <w:pPr>
              <w:pStyle w:val="Tableheadingcentred"/>
            </w:pPr>
            <w:r w:rsidRPr="00653FD5">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TC5</w:t>
            </w:r>
          </w:p>
        </w:tc>
        <w:tc>
          <w:tcPr>
            <w:tcW w:w="1293" w:type="dxa"/>
          </w:tcPr>
          <w:p w:rsidR="00BC127B" w:rsidRPr="006F3804" w:rsidRDefault="00BC127B" w:rsidP="003954B6">
            <w:pPr>
              <w:pStyle w:val="Tabletextcentred"/>
            </w:pPr>
            <w:r w:rsidRPr="006F3804">
              <w:t>0.03</w:t>
            </w:r>
          </w:p>
        </w:tc>
        <w:tc>
          <w:tcPr>
            <w:tcW w:w="1134" w:type="dxa"/>
          </w:tcPr>
          <w:p w:rsidR="00BC127B" w:rsidRPr="006F3804" w:rsidRDefault="00BC127B" w:rsidP="003954B6">
            <w:pPr>
              <w:pStyle w:val="Tabletextcentred"/>
            </w:pPr>
            <w:r w:rsidRPr="006F3804">
              <w:t>0.031</w:t>
            </w:r>
            <w:r w:rsidRPr="006F3804">
              <w:br/>
              <w:t>(+3.6%)</w:t>
            </w:r>
          </w:p>
        </w:tc>
        <w:tc>
          <w:tcPr>
            <w:tcW w:w="1418" w:type="dxa"/>
          </w:tcPr>
          <w:p w:rsidR="00BC127B" w:rsidRPr="006F3804" w:rsidRDefault="00BC127B" w:rsidP="003954B6">
            <w:pPr>
              <w:pStyle w:val="Tabletextcentred"/>
            </w:pPr>
            <w:r w:rsidRPr="006F3804">
              <w:t>0.031</w:t>
            </w:r>
            <w:r w:rsidRPr="006F3804">
              <w:br/>
              <w:t>(+6.0%)</w:t>
            </w:r>
          </w:p>
        </w:tc>
        <w:tc>
          <w:tcPr>
            <w:tcW w:w="1134" w:type="dxa"/>
          </w:tcPr>
          <w:p w:rsidR="00BC127B" w:rsidRPr="006F3804" w:rsidRDefault="00BC127B" w:rsidP="003954B6">
            <w:pPr>
              <w:pStyle w:val="Tabletextcentred"/>
            </w:pPr>
            <w:r w:rsidRPr="006F3804">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TC4</w:t>
            </w:r>
          </w:p>
        </w:tc>
        <w:tc>
          <w:tcPr>
            <w:tcW w:w="1293" w:type="dxa"/>
          </w:tcPr>
          <w:p w:rsidR="00BC127B" w:rsidRPr="006F3804" w:rsidRDefault="00BC127B" w:rsidP="003954B6">
            <w:pPr>
              <w:pStyle w:val="Tabletextcentred"/>
            </w:pPr>
            <w:r w:rsidRPr="006F3804">
              <w:t>0.266</w:t>
            </w:r>
          </w:p>
        </w:tc>
        <w:tc>
          <w:tcPr>
            <w:tcW w:w="1134" w:type="dxa"/>
          </w:tcPr>
          <w:p w:rsidR="00BC127B" w:rsidRPr="006F3804" w:rsidRDefault="00BC127B" w:rsidP="003954B6">
            <w:pPr>
              <w:pStyle w:val="Tabletextcentred"/>
            </w:pPr>
            <w:r w:rsidRPr="006F3804">
              <w:t>0.255</w:t>
            </w:r>
            <w:r w:rsidRPr="006F3804">
              <w:br/>
              <w:t>(-4.5%)</w:t>
            </w:r>
          </w:p>
        </w:tc>
        <w:tc>
          <w:tcPr>
            <w:tcW w:w="1418" w:type="dxa"/>
          </w:tcPr>
          <w:p w:rsidR="00BC127B" w:rsidRPr="006F3804" w:rsidRDefault="00BC127B" w:rsidP="003954B6">
            <w:pPr>
              <w:pStyle w:val="Tabletextcentred"/>
            </w:pPr>
            <w:r w:rsidRPr="006F3804">
              <w:t>0.247</w:t>
            </w:r>
            <w:r w:rsidRPr="006F3804">
              <w:br/>
              <w:t>(-7.4%)</w:t>
            </w:r>
          </w:p>
        </w:tc>
        <w:tc>
          <w:tcPr>
            <w:tcW w:w="1134" w:type="dxa"/>
          </w:tcPr>
          <w:p w:rsidR="00BC127B" w:rsidRPr="006F3804" w:rsidRDefault="00BC127B" w:rsidP="003954B6">
            <w:pPr>
              <w:pStyle w:val="Tabletextcentred"/>
            </w:pPr>
            <w:r w:rsidRPr="006F3804">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TC3</w:t>
            </w:r>
          </w:p>
        </w:tc>
        <w:tc>
          <w:tcPr>
            <w:tcW w:w="1293" w:type="dxa"/>
          </w:tcPr>
          <w:p w:rsidR="00BC127B" w:rsidRPr="006F3804" w:rsidRDefault="00BC127B" w:rsidP="003954B6">
            <w:pPr>
              <w:pStyle w:val="Tabletextcentred"/>
            </w:pPr>
            <w:r w:rsidRPr="006F3804">
              <w:t>0.24</w:t>
            </w:r>
          </w:p>
        </w:tc>
        <w:tc>
          <w:tcPr>
            <w:tcW w:w="1134" w:type="dxa"/>
          </w:tcPr>
          <w:p w:rsidR="00BC127B" w:rsidRPr="006F3804" w:rsidRDefault="00BC127B" w:rsidP="003954B6">
            <w:pPr>
              <w:pStyle w:val="Tabletextcentred"/>
            </w:pPr>
            <w:r w:rsidRPr="006F3804">
              <w:t>0.233</w:t>
            </w:r>
            <w:r w:rsidRPr="006F3804">
              <w:br/>
              <w:t>(-2.9%)</w:t>
            </w:r>
          </w:p>
        </w:tc>
        <w:tc>
          <w:tcPr>
            <w:tcW w:w="1418" w:type="dxa"/>
          </w:tcPr>
          <w:p w:rsidR="00BC127B" w:rsidRPr="006F3804" w:rsidRDefault="00BC127B" w:rsidP="003954B6">
            <w:pPr>
              <w:pStyle w:val="Tabletextcentred"/>
            </w:pPr>
            <w:r w:rsidRPr="006F3804">
              <w:t>0.229</w:t>
            </w:r>
            <w:r w:rsidRPr="006F3804">
              <w:br/>
              <w:t>(-4.8%)</w:t>
            </w:r>
          </w:p>
        </w:tc>
        <w:tc>
          <w:tcPr>
            <w:tcW w:w="1134" w:type="dxa"/>
          </w:tcPr>
          <w:p w:rsidR="00BC127B" w:rsidRPr="006F3804" w:rsidRDefault="00BC127B" w:rsidP="003954B6">
            <w:pPr>
              <w:pStyle w:val="Tabletextcentred"/>
            </w:pPr>
            <w:r w:rsidRPr="006F3804">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TC2</w:t>
            </w:r>
          </w:p>
        </w:tc>
        <w:tc>
          <w:tcPr>
            <w:tcW w:w="1293" w:type="dxa"/>
          </w:tcPr>
          <w:p w:rsidR="00BC127B" w:rsidRPr="006F3804" w:rsidRDefault="00BC127B" w:rsidP="003954B6">
            <w:pPr>
              <w:pStyle w:val="Tabletextcentred"/>
            </w:pPr>
            <w:r w:rsidRPr="006F3804">
              <w:t>0.151</w:t>
            </w:r>
          </w:p>
        </w:tc>
        <w:tc>
          <w:tcPr>
            <w:tcW w:w="1134" w:type="dxa"/>
          </w:tcPr>
          <w:p w:rsidR="00BC127B" w:rsidRPr="006F3804" w:rsidRDefault="00BC127B" w:rsidP="003954B6">
            <w:pPr>
              <w:pStyle w:val="Tabletextcentred"/>
            </w:pPr>
            <w:r w:rsidRPr="006F3804">
              <w:t>0.152</w:t>
            </w:r>
            <w:r w:rsidRPr="006F3804">
              <w:br/>
              <w:t>(+0.5%)</w:t>
            </w:r>
          </w:p>
        </w:tc>
        <w:tc>
          <w:tcPr>
            <w:tcW w:w="1418" w:type="dxa"/>
          </w:tcPr>
          <w:p w:rsidR="00BC127B" w:rsidRPr="006F3804" w:rsidRDefault="00BC127B" w:rsidP="003954B6">
            <w:pPr>
              <w:pStyle w:val="Tabletextcentred"/>
            </w:pPr>
            <w:r w:rsidRPr="006F3804">
              <w:t>0.152</w:t>
            </w:r>
            <w:r w:rsidRPr="006F3804">
              <w:br/>
              <w:t>(+0.8%)</w:t>
            </w:r>
          </w:p>
        </w:tc>
        <w:tc>
          <w:tcPr>
            <w:tcW w:w="1134" w:type="dxa"/>
          </w:tcPr>
          <w:p w:rsidR="00BC127B" w:rsidRPr="006F3804" w:rsidRDefault="00BC127B" w:rsidP="003954B6">
            <w:pPr>
              <w:pStyle w:val="Tabletextcentred"/>
            </w:pPr>
            <w:r w:rsidRPr="006F3804">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TC1</w:t>
            </w:r>
          </w:p>
        </w:tc>
        <w:tc>
          <w:tcPr>
            <w:tcW w:w="1293" w:type="dxa"/>
          </w:tcPr>
          <w:p w:rsidR="00BC127B" w:rsidRPr="006F3804" w:rsidRDefault="00BC127B" w:rsidP="003954B6">
            <w:pPr>
              <w:pStyle w:val="Tabletextcentred"/>
            </w:pPr>
            <w:r w:rsidRPr="006F3804">
              <w:t>0.158</w:t>
            </w:r>
          </w:p>
        </w:tc>
        <w:tc>
          <w:tcPr>
            <w:tcW w:w="1134" w:type="dxa"/>
          </w:tcPr>
          <w:p w:rsidR="00BC127B" w:rsidRPr="006F3804" w:rsidRDefault="00BC127B" w:rsidP="003954B6">
            <w:pPr>
              <w:pStyle w:val="Tabletextcentred"/>
            </w:pPr>
            <w:r w:rsidRPr="006F3804">
              <w:t>0.147</w:t>
            </w:r>
            <w:r w:rsidRPr="006F3804">
              <w:br/>
              <w:t>(-7.2%)</w:t>
            </w:r>
          </w:p>
        </w:tc>
        <w:tc>
          <w:tcPr>
            <w:tcW w:w="1418" w:type="dxa"/>
          </w:tcPr>
          <w:p w:rsidR="00BC127B" w:rsidRPr="006F3804" w:rsidRDefault="00BC127B" w:rsidP="003954B6">
            <w:pPr>
              <w:pStyle w:val="Tabletextcentred"/>
            </w:pPr>
            <w:r w:rsidRPr="006F3804">
              <w:t>0.139</w:t>
            </w:r>
            <w:r w:rsidRPr="006F3804">
              <w:br/>
              <w:t>(-12.0%)</w:t>
            </w:r>
          </w:p>
        </w:tc>
        <w:tc>
          <w:tcPr>
            <w:tcW w:w="1134" w:type="dxa"/>
          </w:tcPr>
          <w:p w:rsidR="00BC127B" w:rsidRPr="006F3804" w:rsidRDefault="00BC127B" w:rsidP="003954B6">
            <w:pPr>
              <w:pStyle w:val="Tabletextcentred"/>
            </w:pPr>
            <w:r w:rsidRPr="006F3804">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TS</w:t>
            </w:r>
          </w:p>
        </w:tc>
        <w:tc>
          <w:tcPr>
            <w:tcW w:w="1293" w:type="dxa"/>
          </w:tcPr>
          <w:p w:rsidR="00BC127B" w:rsidRPr="006F3804" w:rsidRDefault="00BC127B" w:rsidP="003954B6">
            <w:pPr>
              <w:pStyle w:val="Tabletextcentred"/>
            </w:pPr>
            <w:r w:rsidRPr="006F3804">
              <w:t>0.141</w:t>
            </w:r>
          </w:p>
        </w:tc>
        <w:tc>
          <w:tcPr>
            <w:tcW w:w="1134" w:type="dxa"/>
          </w:tcPr>
          <w:p w:rsidR="00BC127B" w:rsidRPr="006F3804" w:rsidRDefault="00BC127B" w:rsidP="003954B6">
            <w:pPr>
              <w:pStyle w:val="Tabletextcentred"/>
            </w:pPr>
            <w:r w:rsidRPr="006F3804">
              <w:t>0.172</w:t>
            </w:r>
            <w:r w:rsidRPr="006F3804">
              <w:br/>
              <w:t>(+21.8%)</w:t>
            </w:r>
          </w:p>
        </w:tc>
        <w:tc>
          <w:tcPr>
            <w:tcW w:w="1418" w:type="dxa"/>
          </w:tcPr>
          <w:p w:rsidR="00BC127B" w:rsidRPr="006F3804" w:rsidRDefault="00BC127B" w:rsidP="003954B6">
            <w:pPr>
              <w:pStyle w:val="Tabletextcentred"/>
            </w:pPr>
            <w:r w:rsidRPr="006F3804">
              <w:t>0.193</w:t>
            </w:r>
            <w:r w:rsidRPr="006F3804">
              <w:br/>
              <w:t>(+36.3%)</w:t>
            </w:r>
          </w:p>
        </w:tc>
        <w:tc>
          <w:tcPr>
            <w:tcW w:w="1134" w:type="dxa"/>
          </w:tcPr>
          <w:p w:rsidR="00BC127B" w:rsidRPr="006F3804" w:rsidRDefault="00BC127B" w:rsidP="003954B6">
            <w:pPr>
              <w:pStyle w:val="Tabletextcentred"/>
            </w:pPr>
            <w:r w:rsidRPr="006F3804">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TD</w:t>
            </w:r>
          </w:p>
        </w:tc>
        <w:tc>
          <w:tcPr>
            <w:tcW w:w="1293" w:type="dxa"/>
          </w:tcPr>
          <w:p w:rsidR="00BC127B" w:rsidRPr="006F3804" w:rsidRDefault="00BC127B" w:rsidP="003954B6">
            <w:pPr>
              <w:pStyle w:val="Tabletextcentred"/>
            </w:pPr>
            <w:r w:rsidRPr="006F3804">
              <w:t>0.013</w:t>
            </w:r>
          </w:p>
        </w:tc>
        <w:tc>
          <w:tcPr>
            <w:tcW w:w="1134" w:type="dxa"/>
          </w:tcPr>
          <w:p w:rsidR="00BC127B" w:rsidRPr="006F3804" w:rsidRDefault="00BC127B" w:rsidP="003954B6">
            <w:pPr>
              <w:pStyle w:val="Tabletextcentred"/>
            </w:pPr>
            <w:r w:rsidRPr="006F3804">
              <w:t>0.011</w:t>
            </w:r>
            <w:r w:rsidRPr="006F3804">
              <w:br/>
              <w:t>(-19.1%)</w:t>
            </w:r>
          </w:p>
        </w:tc>
        <w:tc>
          <w:tcPr>
            <w:tcW w:w="1418" w:type="dxa"/>
          </w:tcPr>
          <w:p w:rsidR="00BC127B" w:rsidRPr="006F3804" w:rsidRDefault="00BC127B" w:rsidP="003954B6">
            <w:pPr>
              <w:pStyle w:val="Tabletextcentred"/>
            </w:pPr>
            <w:r w:rsidRPr="006F3804">
              <w:t>0.009</w:t>
            </w:r>
            <w:r w:rsidRPr="006F3804">
              <w:br/>
              <w:t>(-31.8%)</w:t>
            </w:r>
          </w:p>
        </w:tc>
        <w:tc>
          <w:tcPr>
            <w:tcW w:w="1134" w:type="dxa"/>
          </w:tcPr>
          <w:p w:rsidR="00BC127B" w:rsidRPr="006F3804" w:rsidRDefault="00BC127B" w:rsidP="003954B6">
            <w:pPr>
              <w:pStyle w:val="Tabletextcentred"/>
            </w:pPr>
            <w:r w:rsidRPr="006F3804">
              <w:t>0.043</w:t>
            </w:r>
          </w:p>
        </w:tc>
      </w:tr>
    </w:tbl>
    <w:p w:rsidR="00BC127B" w:rsidRPr="00491481" w:rsidRDefault="00BC127B" w:rsidP="00DE0A84">
      <w:pPr>
        <w:pStyle w:val="Tabletitle"/>
      </w:pPr>
      <w:r w:rsidRPr="00491481">
        <w:t xml:space="preserve">Table </w:t>
      </w:r>
      <w:r w:rsidR="00E57C2A">
        <w:t>B.4</w:t>
      </w:r>
      <w:r w:rsidRPr="00491481">
        <w:t xml:space="preserve"> IPSL CM5A LR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653FD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53FD5" w:rsidRDefault="00BC127B" w:rsidP="00653FD5">
            <w:pPr>
              <w:pStyle w:val="Tableheadingcentred"/>
            </w:pPr>
            <w:r w:rsidRPr="00653FD5">
              <w:t>Category</w:t>
            </w:r>
          </w:p>
        </w:tc>
        <w:tc>
          <w:tcPr>
            <w:tcW w:w="1293" w:type="dxa"/>
          </w:tcPr>
          <w:p w:rsidR="00BC127B" w:rsidRPr="00653FD5" w:rsidRDefault="00BC127B" w:rsidP="00653FD5">
            <w:pPr>
              <w:pStyle w:val="Tableheadingcentred"/>
            </w:pPr>
            <w:r w:rsidRPr="00653FD5">
              <w:t>1981-2000</w:t>
            </w:r>
          </w:p>
        </w:tc>
        <w:tc>
          <w:tcPr>
            <w:tcW w:w="1134" w:type="dxa"/>
          </w:tcPr>
          <w:p w:rsidR="00BC127B" w:rsidRPr="00653FD5" w:rsidRDefault="00BC127B" w:rsidP="00653FD5">
            <w:pPr>
              <w:pStyle w:val="Tableheadingcentred"/>
            </w:pPr>
            <w:r w:rsidRPr="00653FD5">
              <w:t>2050</w:t>
            </w:r>
          </w:p>
        </w:tc>
        <w:tc>
          <w:tcPr>
            <w:tcW w:w="1418" w:type="dxa"/>
          </w:tcPr>
          <w:p w:rsidR="00BC127B" w:rsidRPr="00653FD5" w:rsidRDefault="00BC127B" w:rsidP="00653FD5">
            <w:pPr>
              <w:pStyle w:val="Tableheadingcentred"/>
            </w:pPr>
            <w:r w:rsidRPr="00653FD5">
              <w:t>2081-2100</w:t>
            </w:r>
          </w:p>
        </w:tc>
        <w:tc>
          <w:tcPr>
            <w:tcW w:w="1134" w:type="dxa"/>
          </w:tcPr>
          <w:p w:rsidR="00BC127B" w:rsidRPr="00653FD5" w:rsidRDefault="00BC127B" w:rsidP="00653FD5">
            <w:pPr>
              <w:pStyle w:val="Tableheadingcentred"/>
            </w:pPr>
            <w:r w:rsidRPr="00653FD5">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TC5</w:t>
            </w:r>
          </w:p>
        </w:tc>
        <w:tc>
          <w:tcPr>
            <w:tcW w:w="1293" w:type="dxa"/>
          </w:tcPr>
          <w:p w:rsidR="00BC127B" w:rsidRPr="006F3804" w:rsidRDefault="00BC127B" w:rsidP="003954B6">
            <w:pPr>
              <w:pStyle w:val="Tabletextcentred"/>
            </w:pPr>
            <w:r w:rsidRPr="006F3804">
              <w:t>0.014</w:t>
            </w:r>
          </w:p>
        </w:tc>
        <w:tc>
          <w:tcPr>
            <w:tcW w:w="1134" w:type="dxa"/>
          </w:tcPr>
          <w:p w:rsidR="00BC127B" w:rsidRPr="006F3804" w:rsidRDefault="00BC127B" w:rsidP="003954B6">
            <w:pPr>
              <w:pStyle w:val="Tabletextcentred"/>
            </w:pPr>
            <w:r w:rsidRPr="006F3804">
              <w:t>0.027</w:t>
            </w:r>
            <w:r w:rsidRPr="006F3804">
              <w:br/>
              <w:t>(+95.3%)</w:t>
            </w:r>
          </w:p>
        </w:tc>
        <w:tc>
          <w:tcPr>
            <w:tcW w:w="1418" w:type="dxa"/>
          </w:tcPr>
          <w:p w:rsidR="00BC127B" w:rsidRPr="006F3804" w:rsidRDefault="00BC127B" w:rsidP="003954B6">
            <w:pPr>
              <w:pStyle w:val="Tabletextcentred"/>
            </w:pPr>
            <w:r w:rsidRPr="006F3804">
              <w:t>0.035</w:t>
            </w:r>
            <w:r w:rsidRPr="006F3804">
              <w:br/>
              <w:t>(+158.9%)</w:t>
            </w:r>
          </w:p>
        </w:tc>
        <w:tc>
          <w:tcPr>
            <w:tcW w:w="1134" w:type="dxa"/>
          </w:tcPr>
          <w:p w:rsidR="00BC127B" w:rsidRPr="006F3804" w:rsidRDefault="00BC127B" w:rsidP="003954B6">
            <w:pPr>
              <w:pStyle w:val="Tabletextcentred"/>
            </w:pPr>
            <w:r w:rsidRPr="006F3804">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TC4</w:t>
            </w:r>
          </w:p>
        </w:tc>
        <w:tc>
          <w:tcPr>
            <w:tcW w:w="1293" w:type="dxa"/>
          </w:tcPr>
          <w:p w:rsidR="00BC127B" w:rsidRPr="006F3804" w:rsidRDefault="00BC127B" w:rsidP="003954B6">
            <w:pPr>
              <w:pStyle w:val="Tabletextcentred"/>
            </w:pPr>
            <w:r w:rsidRPr="006F3804">
              <w:t>0.151</w:t>
            </w:r>
          </w:p>
        </w:tc>
        <w:tc>
          <w:tcPr>
            <w:tcW w:w="1134" w:type="dxa"/>
          </w:tcPr>
          <w:p w:rsidR="00BC127B" w:rsidRPr="006F3804" w:rsidRDefault="00BC127B" w:rsidP="003954B6">
            <w:pPr>
              <w:pStyle w:val="Tabletextcentred"/>
            </w:pPr>
            <w:r w:rsidRPr="006F3804">
              <w:t>0.158</w:t>
            </w:r>
            <w:r w:rsidRPr="006F3804">
              <w:br/>
              <w:t>(+5.0%)</w:t>
            </w:r>
          </w:p>
        </w:tc>
        <w:tc>
          <w:tcPr>
            <w:tcW w:w="1418" w:type="dxa"/>
          </w:tcPr>
          <w:p w:rsidR="00BC127B" w:rsidRPr="006F3804" w:rsidRDefault="00BC127B" w:rsidP="003954B6">
            <w:pPr>
              <w:pStyle w:val="Tabletextcentred"/>
            </w:pPr>
            <w:r w:rsidRPr="006F3804">
              <w:t>0.163</w:t>
            </w:r>
            <w:r w:rsidRPr="006F3804">
              <w:br/>
              <w:t>(+8.3%)</w:t>
            </w:r>
          </w:p>
        </w:tc>
        <w:tc>
          <w:tcPr>
            <w:tcW w:w="1134" w:type="dxa"/>
          </w:tcPr>
          <w:p w:rsidR="00BC127B" w:rsidRPr="006F3804" w:rsidRDefault="00BC127B" w:rsidP="003954B6">
            <w:pPr>
              <w:pStyle w:val="Tabletextcentred"/>
            </w:pPr>
            <w:r w:rsidRPr="006F3804">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TC3</w:t>
            </w:r>
          </w:p>
        </w:tc>
        <w:tc>
          <w:tcPr>
            <w:tcW w:w="1293" w:type="dxa"/>
          </w:tcPr>
          <w:p w:rsidR="00BC127B" w:rsidRPr="006F3804" w:rsidRDefault="00BC127B" w:rsidP="003954B6">
            <w:pPr>
              <w:pStyle w:val="Tabletextcentred"/>
            </w:pPr>
            <w:r w:rsidRPr="006F3804">
              <w:t>0.151</w:t>
            </w:r>
          </w:p>
        </w:tc>
        <w:tc>
          <w:tcPr>
            <w:tcW w:w="1134" w:type="dxa"/>
          </w:tcPr>
          <w:p w:rsidR="00BC127B" w:rsidRPr="006F3804" w:rsidRDefault="00BC127B" w:rsidP="003954B6">
            <w:pPr>
              <w:pStyle w:val="Tabletextcentred"/>
            </w:pPr>
            <w:r w:rsidRPr="006F3804">
              <w:t>0.218</w:t>
            </w:r>
            <w:r w:rsidRPr="006F3804">
              <w:br/>
              <w:t>(+44.5%)</w:t>
            </w:r>
          </w:p>
        </w:tc>
        <w:tc>
          <w:tcPr>
            <w:tcW w:w="1418" w:type="dxa"/>
          </w:tcPr>
          <w:p w:rsidR="00BC127B" w:rsidRPr="006F3804" w:rsidRDefault="00BC127B" w:rsidP="003954B6">
            <w:pPr>
              <w:pStyle w:val="Tabletextcentred"/>
            </w:pPr>
            <w:r w:rsidRPr="006F3804">
              <w:t>0.262</w:t>
            </w:r>
            <w:r w:rsidRPr="006F3804">
              <w:br/>
              <w:t>(+74.1%)</w:t>
            </w:r>
          </w:p>
        </w:tc>
        <w:tc>
          <w:tcPr>
            <w:tcW w:w="1134" w:type="dxa"/>
          </w:tcPr>
          <w:p w:rsidR="00BC127B" w:rsidRPr="006F3804" w:rsidRDefault="00BC127B" w:rsidP="003954B6">
            <w:pPr>
              <w:pStyle w:val="Tabletextcentred"/>
            </w:pPr>
            <w:r w:rsidRPr="006F3804">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TC2</w:t>
            </w:r>
          </w:p>
        </w:tc>
        <w:tc>
          <w:tcPr>
            <w:tcW w:w="1293" w:type="dxa"/>
          </w:tcPr>
          <w:p w:rsidR="00BC127B" w:rsidRPr="006F3804" w:rsidRDefault="00BC127B" w:rsidP="003954B6">
            <w:pPr>
              <w:pStyle w:val="Tabletextcentred"/>
            </w:pPr>
            <w:r w:rsidRPr="006F3804">
              <w:t>0.247</w:t>
            </w:r>
          </w:p>
        </w:tc>
        <w:tc>
          <w:tcPr>
            <w:tcW w:w="1134" w:type="dxa"/>
          </w:tcPr>
          <w:p w:rsidR="00BC127B" w:rsidRPr="006F3804" w:rsidRDefault="00BC127B" w:rsidP="003954B6">
            <w:pPr>
              <w:pStyle w:val="Tabletextcentred"/>
            </w:pPr>
            <w:r w:rsidRPr="006F3804">
              <w:t>0.248</w:t>
            </w:r>
            <w:r w:rsidRPr="006F3804">
              <w:br/>
              <w:t>(+0.4%)</w:t>
            </w:r>
          </w:p>
        </w:tc>
        <w:tc>
          <w:tcPr>
            <w:tcW w:w="1418" w:type="dxa"/>
          </w:tcPr>
          <w:p w:rsidR="00BC127B" w:rsidRPr="006F3804" w:rsidRDefault="00BC127B" w:rsidP="003954B6">
            <w:pPr>
              <w:pStyle w:val="Tabletextcentred"/>
            </w:pPr>
            <w:r w:rsidRPr="006F3804">
              <w:t>0.248</w:t>
            </w:r>
            <w:r w:rsidRPr="006F3804">
              <w:br/>
              <w:t>(+0.7%)</w:t>
            </w:r>
          </w:p>
        </w:tc>
        <w:tc>
          <w:tcPr>
            <w:tcW w:w="1134" w:type="dxa"/>
          </w:tcPr>
          <w:p w:rsidR="00BC127B" w:rsidRPr="006F3804" w:rsidRDefault="00BC127B" w:rsidP="003954B6">
            <w:pPr>
              <w:pStyle w:val="Tabletextcentred"/>
            </w:pPr>
            <w:r w:rsidRPr="006F3804">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TC1</w:t>
            </w:r>
          </w:p>
        </w:tc>
        <w:tc>
          <w:tcPr>
            <w:tcW w:w="1293" w:type="dxa"/>
          </w:tcPr>
          <w:p w:rsidR="00BC127B" w:rsidRPr="006F3804" w:rsidRDefault="00BC127B" w:rsidP="003954B6">
            <w:pPr>
              <w:pStyle w:val="Tabletextcentred"/>
            </w:pPr>
            <w:r w:rsidRPr="006F3804">
              <w:t>0.342</w:t>
            </w:r>
          </w:p>
        </w:tc>
        <w:tc>
          <w:tcPr>
            <w:tcW w:w="1134" w:type="dxa"/>
          </w:tcPr>
          <w:p w:rsidR="00BC127B" w:rsidRPr="006F3804" w:rsidRDefault="00BC127B" w:rsidP="003954B6">
            <w:pPr>
              <w:pStyle w:val="Tabletextcentred"/>
            </w:pPr>
            <w:r w:rsidRPr="006F3804">
              <w:t>0.256</w:t>
            </w:r>
            <w:r w:rsidRPr="006F3804">
              <w:br/>
              <w:t>(-25.2%)</w:t>
            </w:r>
          </w:p>
        </w:tc>
        <w:tc>
          <w:tcPr>
            <w:tcW w:w="1418" w:type="dxa"/>
          </w:tcPr>
          <w:p w:rsidR="00BC127B" w:rsidRPr="006F3804" w:rsidRDefault="00BC127B" w:rsidP="003954B6">
            <w:pPr>
              <w:pStyle w:val="Tabletextcentred"/>
            </w:pPr>
            <w:r w:rsidRPr="006F3804">
              <w:t>0.199</w:t>
            </w:r>
            <w:r w:rsidRPr="006F3804">
              <w:br/>
              <w:t>(-42.0%)</w:t>
            </w:r>
          </w:p>
        </w:tc>
        <w:tc>
          <w:tcPr>
            <w:tcW w:w="1134" w:type="dxa"/>
          </w:tcPr>
          <w:p w:rsidR="00BC127B" w:rsidRPr="006F3804" w:rsidRDefault="00BC127B" w:rsidP="003954B6">
            <w:pPr>
              <w:pStyle w:val="Tabletextcentred"/>
            </w:pPr>
            <w:r w:rsidRPr="006F3804">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TS</w:t>
            </w:r>
          </w:p>
        </w:tc>
        <w:tc>
          <w:tcPr>
            <w:tcW w:w="1293" w:type="dxa"/>
          </w:tcPr>
          <w:p w:rsidR="00BC127B" w:rsidRPr="006F3804" w:rsidRDefault="00BC127B" w:rsidP="003954B6">
            <w:pPr>
              <w:pStyle w:val="Tabletextcentred"/>
            </w:pPr>
            <w:r w:rsidRPr="006F3804">
              <w:t>0.096</w:t>
            </w:r>
          </w:p>
        </w:tc>
        <w:tc>
          <w:tcPr>
            <w:tcW w:w="1134" w:type="dxa"/>
          </w:tcPr>
          <w:p w:rsidR="00BC127B" w:rsidRPr="006F3804" w:rsidRDefault="00BC127B" w:rsidP="003954B6">
            <w:pPr>
              <w:pStyle w:val="Tabletextcentred"/>
            </w:pPr>
            <w:r w:rsidRPr="006F3804">
              <w:t>0.094</w:t>
            </w:r>
            <w:r w:rsidRPr="006F3804">
              <w:br/>
              <w:t>(-2.3%)</w:t>
            </w:r>
          </w:p>
        </w:tc>
        <w:tc>
          <w:tcPr>
            <w:tcW w:w="1418" w:type="dxa"/>
          </w:tcPr>
          <w:p w:rsidR="00BC127B" w:rsidRPr="006F3804" w:rsidRDefault="00BC127B" w:rsidP="003954B6">
            <w:pPr>
              <w:pStyle w:val="Tabletextcentred"/>
            </w:pPr>
            <w:r w:rsidRPr="006F3804">
              <w:t>0.092</w:t>
            </w:r>
            <w:r w:rsidRPr="006F3804">
              <w:br/>
              <w:t>(-3.9%)</w:t>
            </w:r>
          </w:p>
        </w:tc>
        <w:tc>
          <w:tcPr>
            <w:tcW w:w="1134" w:type="dxa"/>
          </w:tcPr>
          <w:p w:rsidR="00BC127B" w:rsidRPr="006F3804" w:rsidRDefault="00BC127B" w:rsidP="003954B6">
            <w:pPr>
              <w:pStyle w:val="Tabletextcentred"/>
            </w:pPr>
            <w:r w:rsidRPr="006F3804">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TD</w:t>
            </w:r>
          </w:p>
        </w:tc>
        <w:tc>
          <w:tcPr>
            <w:tcW w:w="1293" w:type="dxa"/>
          </w:tcPr>
          <w:p w:rsidR="00BC127B" w:rsidRPr="006F3804" w:rsidRDefault="00BC127B" w:rsidP="003954B6">
            <w:pPr>
              <w:pStyle w:val="Tabletextcentred"/>
            </w:pPr>
            <w:r w:rsidRPr="006F3804">
              <w:t>0</w:t>
            </w:r>
          </w:p>
        </w:tc>
        <w:tc>
          <w:tcPr>
            <w:tcW w:w="1134" w:type="dxa"/>
          </w:tcPr>
          <w:p w:rsidR="00BC127B" w:rsidRPr="006F3804" w:rsidRDefault="00BC127B" w:rsidP="003954B6">
            <w:pPr>
              <w:pStyle w:val="Tabletextcentred"/>
            </w:pPr>
            <w:r w:rsidRPr="006F3804">
              <w:t>0</w:t>
            </w:r>
            <w:r w:rsidRPr="006F3804">
              <w:br/>
              <w:t>(0.0%)</w:t>
            </w:r>
          </w:p>
        </w:tc>
        <w:tc>
          <w:tcPr>
            <w:tcW w:w="1418" w:type="dxa"/>
          </w:tcPr>
          <w:p w:rsidR="00BC127B" w:rsidRPr="006F3804" w:rsidRDefault="00BC127B" w:rsidP="003954B6">
            <w:pPr>
              <w:pStyle w:val="Tabletextcentred"/>
            </w:pPr>
            <w:r w:rsidRPr="006F3804">
              <w:t>0</w:t>
            </w:r>
            <w:r w:rsidRPr="006F3804">
              <w:br/>
              <w:t>(0.0%)</w:t>
            </w:r>
          </w:p>
        </w:tc>
        <w:tc>
          <w:tcPr>
            <w:tcW w:w="1134" w:type="dxa"/>
          </w:tcPr>
          <w:p w:rsidR="00BC127B" w:rsidRPr="006F3804" w:rsidRDefault="00BC127B" w:rsidP="003954B6">
            <w:pPr>
              <w:pStyle w:val="Tabletextcentred"/>
            </w:pPr>
            <w:r w:rsidRPr="006F3804">
              <w:t>0.043</w:t>
            </w:r>
          </w:p>
        </w:tc>
      </w:tr>
    </w:tbl>
    <w:p w:rsidR="00BC127B" w:rsidRPr="000733E9" w:rsidRDefault="00BC127B" w:rsidP="00DE0A84">
      <w:pPr>
        <w:pStyle w:val="Tabletitle"/>
      </w:pPr>
      <w:r>
        <w:br w:type="page"/>
      </w:r>
      <w:r w:rsidRPr="000733E9">
        <w:lastRenderedPageBreak/>
        <w:t xml:space="preserve">Table </w:t>
      </w:r>
      <w:r w:rsidR="00E57C2A">
        <w:t>B.5</w:t>
      </w:r>
      <w:r w:rsidRPr="000733E9">
        <w:t xml:space="preserve"> </w:t>
      </w:r>
      <w:proofErr w:type="spellStart"/>
      <w:r w:rsidRPr="000733E9">
        <w:t>NorESM</w:t>
      </w:r>
      <w:proofErr w:type="spellEnd"/>
      <w:r w:rsidRPr="000733E9">
        <w:t xml:space="preserve"> 1M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653FD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53FD5" w:rsidRDefault="00BC127B" w:rsidP="00653FD5">
            <w:pPr>
              <w:pStyle w:val="Tableheadingcentred"/>
            </w:pPr>
            <w:r w:rsidRPr="00653FD5">
              <w:t>Category</w:t>
            </w:r>
          </w:p>
        </w:tc>
        <w:tc>
          <w:tcPr>
            <w:tcW w:w="1293" w:type="dxa"/>
          </w:tcPr>
          <w:p w:rsidR="00BC127B" w:rsidRPr="00653FD5" w:rsidRDefault="00BC127B" w:rsidP="00653FD5">
            <w:pPr>
              <w:pStyle w:val="Tableheadingcentred"/>
            </w:pPr>
            <w:r w:rsidRPr="00653FD5">
              <w:t>1981-2000</w:t>
            </w:r>
          </w:p>
        </w:tc>
        <w:tc>
          <w:tcPr>
            <w:tcW w:w="1134" w:type="dxa"/>
          </w:tcPr>
          <w:p w:rsidR="00BC127B" w:rsidRPr="00653FD5" w:rsidRDefault="00BC127B" w:rsidP="00653FD5">
            <w:pPr>
              <w:pStyle w:val="Tableheadingcentred"/>
            </w:pPr>
            <w:r w:rsidRPr="00653FD5">
              <w:t>2050</w:t>
            </w:r>
          </w:p>
        </w:tc>
        <w:tc>
          <w:tcPr>
            <w:tcW w:w="1418" w:type="dxa"/>
          </w:tcPr>
          <w:p w:rsidR="00BC127B" w:rsidRPr="00653FD5" w:rsidRDefault="00BC127B" w:rsidP="00653FD5">
            <w:pPr>
              <w:pStyle w:val="Tableheadingcentred"/>
            </w:pPr>
            <w:r w:rsidRPr="00653FD5">
              <w:t>2081-2100</w:t>
            </w:r>
          </w:p>
        </w:tc>
        <w:tc>
          <w:tcPr>
            <w:tcW w:w="1134" w:type="dxa"/>
          </w:tcPr>
          <w:p w:rsidR="00BC127B" w:rsidRPr="00653FD5" w:rsidRDefault="00BC127B" w:rsidP="00653FD5">
            <w:pPr>
              <w:pStyle w:val="Tableheadingcentred"/>
            </w:pPr>
            <w:r w:rsidRPr="00653FD5">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TC5</w:t>
            </w:r>
          </w:p>
        </w:tc>
        <w:tc>
          <w:tcPr>
            <w:tcW w:w="1293" w:type="dxa"/>
          </w:tcPr>
          <w:p w:rsidR="00BC127B" w:rsidRPr="006F3804" w:rsidRDefault="00BC127B" w:rsidP="003954B6">
            <w:pPr>
              <w:pStyle w:val="Tabletextcentred"/>
            </w:pPr>
            <w:r w:rsidRPr="006F3804">
              <w:t>0.025</w:t>
            </w:r>
          </w:p>
        </w:tc>
        <w:tc>
          <w:tcPr>
            <w:tcW w:w="1134" w:type="dxa"/>
          </w:tcPr>
          <w:p w:rsidR="00BC127B" w:rsidRPr="006F3804" w:rsidRDefault="00BC127B" w:rsidP="003954B6">
            <w:pPr>
              <w:pStyle w:val="Tabletextcentred"/>
            </w:pPr>
            <w:r w:rsidRPr="006F3804">
              <w:t>0.023</w:t>
            </w:r>
            <w:r w:rsidRPr="006F3804">
              <w:br/>
              <w:t>(-9.6%)</w:t>
            </w:r>
          </w:p>
        </w:tc>
        <w:tc>
          <w:tcPr>
            <w:tcW w:w="1418" w:type="dxa"/>
          </w:tcPr>
          <w:p w:rsidR="00BC127B" w:rsidRPr="006F3804" w:rsidRDefault="00BC127B" w:rsidP="003954B6">
            <w:pPr>
              <w:pStyle w:val="Tabletextcentred"/>
            </w:pPr>
            <w:r w:rsidRPr="006F3804">
              <w:t>0.021</w:t>
            </w:r>
            <w:r w:rsidRPr="006F3804">
              <w:br/>
              <w:t>(-16.0%)</w:t>
            </w:r>
          </w:p>
        </w:tc>
        <w:tc>
          <w:tcPr>
            <w:tcW w:w="1134" w:type="dxa"/>
          </w:tcPr>
          <w:p w:rsidR="00BC127B" w:rsidRPr="006F3804" w:rsidRDefault="00BC127B" w:rsidP="003954B6">
            <w:pPr>
              <w:pStyle w:val="Tabletextcentred"/>
            </w:pPr>
            <w:r w:rsidRPr="006F3804">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TC4</w:t>
            </w:r>
          </w:p>
        </w:tc>
        <w:tc>
          <w:tcPr>
            <w:tcW w:w="1293" w:type="dxa"/>
          </w:tcPr>
          <w:p w:rsidR="00BC127B" w:rsidRPr="006F3804" w:rsidRDefault="00BC127B" w:rsidP="003954B6">
            <w:pPr>
              <w:pStyle w:val="Tabletextcentred"/>
            </w:pPr>
            <w:r w:rsidRPr="006F3804">
              <w:t>0.2</w:t>
            </w:r>
          </w:p>
        </w:tc>
        <w:tc>
          <w:tcPr>
            <w:tcW w:w="1134" w:type="dxa"/>
          </w:tcPr>
          <w:p w:rsidR="00BC127B" w:rsidRPr="006F3804" w:rsidRDefault="00BC127B" w:rsidP="003954B6">
            <w:pPr>
              <w:pStyle w:val="Tabletextcentred"/>
            </w:pPr>
            <w:r w:rsidRPr="006F3804">
              <w:t>0.146</w:t>
            </w:r>
            <w:r w:rsidRPr="006F3804">
              <w:br/>
              <w:t>(-27.2%)</w:t>
            </w:r>
          </w:p>
        </w:tc>
        <w:tc>
          <w:tcPr>
            <w:tcW w:w="1418" w:type="dxa"/>
          </w:tcPr>
          <w:p w:rsidR="00BC127B" w:rsidRPr="006F3804" w:rsidRDefault="00BC127B" w:rsidP="003954B6">
            <w:pPr>
              <w:pStyle w:val="Tabletextcentred"/>
            </w:pPr>
            <w:r w:rsidRPr="006F3804">
              <w:t>0.109</w:t>
            </w:r>
            <w:r w:rsidRPr="006F3804">
              <w:br/>
              <w:t>(-45.4%)</w:t>
            </w:r>
          </w:p>
        </w:tc>
        <w:tc>
          <w:tcPr>
            <w:tcW w:w="1134" w:type="dxa"/>
          </w:tcPr>
          <w:p w:rsidR="00BC127B" w:rsidRPr="006F3804" w:rsidRDefault="00BC127B" w:rsidP="003954B6">
            <w:pPr>
              <w:pStyle w:val="Tabletextcentred"/>
            </w:pPr>
            <w:r w:rsidRPr="006F3804">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TC3</w:t>
            </w:r>
          </w:p>
        </w:tc>
        <w:tc>
          <w:tcPr>
            <w:tcW w:w="1293" w:type="dxa"/>
          </w:tcPr>
          <w:p w:rsidR="00BC127B" w:rsidRPr="006F3804" w:rsidRDefault="00BC127B" w:rsidP="003954B6">
            <w:pPr>
              <w:pStyle w:val="Tabletextcentred"/>
            </w:pPr>
            <w:r w:rsidRPr="006F3804">
              <w:t>0.175</w:t>
            </w:r>
          </w:p>
        </w:tc>
        <w:tc>
          <w:tcPr>
            <w:tcW w:w="1134" w:type="dxa"/>
          </w:tcPr>
          <w:p w:rsidR="00BC127B" w:rsidRPr="006F3804" w:rsidRDefault="00BC127B" w:rsidP="003954B6">
            <w:pPr>
              <w:pStyle w:val="Tabletextcentred"/>
            </w:pPr>
            <w:r w:rsidRPr="006F3804">
              <w:t>0.166</w:t>
            </w:r>
            <w:r w:rsidRPr="006F3804">
              <w:br/>
              <w:t>(-5.3%)</w:t>
            </w:r>
          </w:p>
        </w:tc>
        <w:tc>
          <w:tcPr>
            <w:tcW w:w="1418" w:type="dxa"/>
          </w:tcPr>
          <w:p w:rsidR="00BC127B" w:rsidRPr="006F3804" w:rsidRDefault="00BC127B" w:rsidP="003954B6">
            <w:pPr>
              <w:pStyle w:val="Tabletextcentred"/>
            </w:pPr>
            <w:r w:rsidRPr="006F3804">
              <w:t>0.16</w:t>
            </w:r>
            <w:r w:rsidRPr="006F3804">
              <w:br/>
              <w:t>(-8.8%)</w:t>
            </w:r>
          </w:p>
        </w:tc>
        <w:tc>
          <w:tcPr>
            <w:tcW w:w="1134" w:type="dxa"/>
          </w:tcPr>
          <w:p w:rsidR="00BC127B" w:rsidRPr="006F3804" w:rsidRDefault="00BC127B" w:rsidP="003954B6">
            <w:pPr>
              <w:pStyle w:val="Tabletextcentred"/>
            </w:pPr>
            <w:r w:rsidRPr="006F3804">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TC2</w:t>
            </w:r>
          </w:p>
        </w:tc>
        <w:tc>
          <w:tcPr>
            <w:tcW w:w="1293" w:type="dxa"/>
          </w:tcPr>
          <w:p w:rsidR="00BC127B" w:rsidRPr="006F3804" w:rsidRDefault="00BC127B" w:rsidP="003954B6">
            <w:pPr>
              <w:pStyle w:val="Tabletextcentred"/>
            </w:pPr>
            <w:r w:rsidRPr="006F3804">
              <w:t>0.146</w:t>
            </w:r>
          </w:p>
        </w:tc>
        <w:tc>
          <w:tcPr>
            <w:tcW w:w="1134" w:type="dxa"/>
          </w:tcPr>
          <w:p w:rsidR="00BC127B" w:rsidRPr="006F3804" w:rsidRDefault="00BC127B" w:rsidP="003954B6">
            <w:pPr>
              <w:pStyle w:val="Tabletextcentred"/>
            </w:pPr>
            <w:r w:rsidRPr="006F3804">
              <w:t>0.106</w:t>
            </w:r>
            <w:r w:rsidRPr="006F3804">
              <w:br/>
              <w:t>(-27.3%)</w:t>
            </w:r>
          </w:p>
        </w:tc>
        <w:tc>
          <w:tcPr>
            <w:tcW w:w="1418" w:type="dxa"/>
          </w:tcPr>
          <w:p w:rsidR="00BC127B" w:rsidRPr="006F3804" w:rsidRDefault="00BC127B" w:rsidP="003954B6">
            <w:pPr>
              <w:pStyle w:val="Tabletextcentred"/>
            </w:pPr>
            <w:r w:rsidRPr="006F3804">
              <w:t>0.08</w:t>
            </w:r>
            <w:r w:rsidRPr="006F3804">
              <w:br/>
              <w:t>(-45.5%)</w:t>
            </w:r>
          </w:p>
        </w:tc>
        <w:tc>
          <w:tcPr>
            <w:tcW w:w="1134" w:type="dxa"/>
          </w:tcPr>
          <w:p w:rsidR="00BC127B" w:rsidRPr="006F3804" w:rsidRDefault="00BC127B" w:rsidP="003954B6">
            <w:pPr>
              <w:pStyle w:val="Tabletextcentred"/>
            </w:pPr>
            <w:r w:rsidRPr="006F3804">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TC1</w:t>
            </w:r>
          </w:p>
        </w:tc>
        <w:tc>
          <w:tcPr>
            <w:tcW w:w="1293" w:type="dxa"/>
          </w:tcPr>
          <w:p w:rsidR="00BC127B" w:rsidRPr="006F3804" w:rsidRDefault="00BC127B" w:rsidP="003954B6">
            <w:pPr>
              <w:pStyle w:val="Tabletextcentred"/>
            </w:pPr>
            <w:r w:rsidRPr="006F3804">
              <w:t>0.171</w:t>
            </w:r>
          </w:p>
        </w:tc>
        <w:tc>
          <w:tcPr>
            <w:tcW w:w="1134" w:type="dxa"/>
          </w:tcPr>
          <w:p w:rsidR="00BC127B" w:rsidRPr="006F3804" w:rsidRDefault="00BC127B" w:rsidP="003954B6">
            <w:pPr>
              <w:pStyle w:val="Tabletextcentred"/>
            </w:pPr>
            <w:r w:rsidRPr="006F3804">
              <w:t>0.169</w:t>
            </w:r>
            <w:r w:rsidRPr="006F3804">
              <w:br/>
              <w:t>(-1.2%)</w:t>
            </w:r>
          </w:p>
        </w:tc>
        <w:tc>
          <w:tcPr>
            <w:tcW w:w="1418" w:type="dxa"/>
          </w:tcPr>
          <w:p w:rsidR="00BC127B" w:rsidRPr="006F3804" w:rsidRDefault="00BC127B" w:rsidP="003954B6">
            <w:pPr>
              <w:pStyle w:val="Tabletextcentred"/>
            </w:pPr>
            <w:r w:rsidRPr="006F3804">
              <w:t>0.168</w:t>
            </w:r>
            <w:r w:rsidRPr="006F3804">
              <w:br/>
              <w:t>(-2.0%)</w:t>
            </w:r>
          </w:p>
        </w:tc>
        <w:tc>
          <w:tcPr>
            <w:tcW w:w="1134" w:type="dxa"/>
          </w:tcPr>
          <w:p w:rsidR="00BC127B" w:rsidRPr="006F3804" w:rsidRDefault="00BC127B" w:rsidP="003954B6">
            <w:pPr>
              <w:pStyle w:val="Tabletextcentred"/>
            </w:pPr>
            <w:r w:rsidRPr="006F3804">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TS</w:t>
            </w:r>
          </w:p>
        </w:tc>
        <w:tc>
          <w:tcPr>
            <w:tcW w:w="1293" w:type="dxa"/>
          </w:tcPr>
          <w:p w:rsidR="00BC127B" w:rsidRPr="006F3804" w:rsidRDefault="00BC127B" w:rsidP="003954B6">
            <w:pPr>
              <w:pStyle w:val="Tabletextcentred"/>
            </w:pPr>
            <w:r w:rsidRPr="006F3804">
              <w:t>0.243</w:t>
            </w:r>
          </w:p>
        </w:tc>
        <w:tc>
          <w:tcPr>
            <w:tcW w:w="1134" w:type="dxa"/>
          </w:tcPr>
          <w:p w:rsidR="00BC127B" w:rsidRPr="006F3804" w:rsidRDefault="00BC127B" w:rsidP="003954B6">
            <w:pPr>
              <w:pStyle w:val="Tabletextcentred"/>
            </w:pPr>
            <w:r w:rsidRPr="006F3804">
              <w:t>0.306</w:t>
            </w:r>
            <w:r w:rsidRPr="006F3804">
              <w:br/>
              <w:t>(+26.2%)</w:t>
            </w:r>
          </w:p>
        </w:tc>
        <w:tc>
          <w:tcPr>
            <w:tcW w:w="1418" w:type="dxa"/>
          </w:tcPr>
          <w:p w:rsidR="00BC127B" w:rsidRPr="006F3804" w:rsidRDefault="00BC127B" w:rsidP="003954B6">
            <w:pPr>
              <w:pStyle w:val="Tabletextcentred"/>
            </w:pPr>
            <w:r w:rsidRPr="006F3804">
              <w:t>0.349</w:t>
            </w:r>
            <w:r w:rsidRPr="006F3804">
              <w:br/>
              <w:t>(+43.6%)</w:t>
            </w:r>
          </w:p>
        </w:tc>
        <w:tc>
          <w:tcPr>
            <w:tcW w:w="1134" w:type="dxa"/>
          </w:tcPr>
          <w:p w:rsidR="00BC127B" w:rsidRPr="006F3804" w:rsidRDefault="00BC127B" w:rsidP="003954B6">
            <w:pPr>
              <w:pStyle w:val="Tabletextcentred"/>
            </w:pPr>
            <w:r w:rsidRPr="006F3804">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TD</w:t>
            </w:r>
          </w:p>
        </w:tc>
        <w:tc>
          <w:tcPr>
            <w:tcW w:w="1293" w:type="dxa"/>
          </w:tcPr>
          <w:p w:rsidR="00BC127B" w:rsidRPr="006F3804" w:rsidRDefault="00BC127B" w:rsidP="003954B6">
            <w:pPr>
              <w:pStyle w:val="Tabletextcentred"/>
            </w:pPr>
            <w:r w:rsidRPr="006F3804">
              <w:t>0.039</w:t>
            </w:r>
          </w:p>
        </w:tc>
        <w:tc>
          <w:tcPr>
            <w:tcW w:w="1134" w:type="dxa"/>
          </w:tcPr>
          <w:p w:rsidR="00BC127B" w:rsidRPr="006F3804" w:rsidRDefault="00BC127B" w:rsidP="003954B6">
            <w:pPr>
              <w:pStyle w:val="Tabletextcentred"/>
            </w:pPr>
            <w:r w:rsidRPr="006F3804">
              <w:t>0.084</w:t>
            </w:r>
            <w:r w:rsidRPr="006F3804">
              <w:br/>
              <w:t>(+113.3%)</w:t>
            </w:r>
          </w:p>
        </w:tc>
        <w:tc>
          <w:tcPr>
            <w:tcW w:w="1418" w:type="dxa"/>
          </w:tcPr>
          <w:p w:rsidR="00BC127B" w:rsidRPr="006F3804" w:rsidRDefault="00BC127B" w:rsidP="003954B6">
            <w:pPr>
              <w:pStyle w:val="Tabletextcentred"/>
            </w:pPr>
            <w:r w:rsidRPr="006F3804">
              <w:t>0.113</w:t>
            </w:r>
            <w:r w:rsidRPr="006F3804">
              <w:br/>
              <w:t>(+188.8%)</w:t>
            </w:r>
          </w:p>
        </w:tc>
        <w:tc>
          <w:tcPr>
            <w:tcW w:w="1134" w:type="dxa"/>
          </w:tcPr>
          <w:p w:rsidR="00BC127B" w:rsidRPr="006F3804" w:rsidRDefault="00BC127B" w:rsidP="003954B6">
            <w:pPr>
              <w:pStyle w:val="Tabletextcentred"/>
            </w:pPr>
            <w:r w:rsidRPr="006F3804">
              <w:t>0.043</w:t>
            </w:r>
          </w:p>
        </w:tc>
      </w:tr>
    </w:tbl>
    <w:p w:rsidR="00BC127B" w:rsidRPr="00491481" w:rsidRDefault="00BC127B" w:rsidP="00DE0A84">
      <w:pPr>
        <w:pStyle w:val="Tabletitle"/>
      </w:pPr>
      <w:r w:rsidRPr="00491481">
        <w:t xml:space="preserve">Table </w:t>
      </w:r>
      <w:r w:rsidR="00E57C2A">
        <w:t>B.6</w:t>
      </w:r>
      <w:r w:rsidRPr="00491481">
        <w:t xml:space="preserve"> CSIRO Mk 3.5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653FD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53FD5" w:rsidRDefault="00BC127B" w:rsidP="00653FD5">
            <w:pPr>
              <w:pStyle w:val="Tableheadingcentred"/>
            </w:pPr>
            <w:r w:rsidRPr="00653FD5">
              <w:t>Category</w:t>
            </w:r>
          </w:p>
        </w:tc>
        <w:tc>
          <w:tcPr>
            <w:tcW w:w="1293" w:type="dxa"/>
          </w:tcPr>
          <w:p w:rsidR="00BC127B" w:rsidRPr="00653FD5" w:rsidRDefault="00BC127B" w:rsidP="00653FD5">
            <w:pPr>
              <w:pStyle w:val="Tableheadingcentred"/>
            </w:pPr>
            <w:r w:rsidRPr="00653FD5">
              <w:t>1981-2000</w:t>
            </w:r>
          </w:p>
        </w:tc>
        <w:tc>
          <w:tcPr>
            <w:tcW w:w="1134" w:type="dxa"/>
          </w:tcPr>
          <w:p w:rsidR="00BC127B" w:rsidRPr="00653FD5" w:rsidRDefault="00BC127B" w:rsidP="00653FD5">
            <w:pPr>
              <w:pStyle w:val="Tableheadingcentred"/>
            </w:pPr>
            <w:r w:rsidRPr="00653FD5">
              <w:t>2050</w:t>
            </w:r>
          </w:p>
        </w:tc>
        <w:tc>
          <w:tcPr>
            <w:tcW w:w="1418" w:type="dxa"/>
          </w:tcPr>
          <w:p w:rsidR="00BC127B" w:rsidRPr="00653FD5" w:rsidRDefault="00BC127B" w:rsidP="00653FD5">
            <w:pPr>
              <w:pStyle w:val="Tableheadingcentred"/>
            </w:pPr>
            <w:r w:rsidRPr="00653FD5">
              <w:t>2081-2100</w:t>
            </w:r>
          </w:p>
        </w:tc>
        <w:tc>
          <w:tcPr>
            <w:tcW w:w="1134" w:type="dxa"/>
          </w:tcPr>
          <w:p w:rsidR="00BC127B" w:rsidRPr="00653FD5" w:rsidRDefault="00BC127B" w:rsidP="00653FD5">
            <w:pPr>
              <w:pStyle w:val="Tableheadingcentred"/>
            </w:pPr>
            <w:r w:rsidRPr="00653FD5">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TC5</w:t>
            </w:r>
          </w:p>
        </w:tc>
        <w:tc>
          <w:tcPr>
            <w:tcW w:w="1293" w:type="dxa"/>
          </w:tcPr>
          <w:p w:rsidR="00BC127B" w:rsidRPr="006F3804" w:rsidRDefault="00BC127B" w:rsidP="003954B6">
            <w:pPr>
              <w:pStyle w:val="Tabletextcentred"/>
            </w:pPr>
            <w:r w:rsidRPr="006F3804">
              <w:t>0.025</w:t>
            </w:r>
          </w:p>
        </w:tc>
        <w:tc>
          <w:tcPr>
            <w:tcW w:w="1134" w:type="dxa"/>
          </w:tcPr>
          <w:p w:rsidR="00BC127B" w:rsidRPr="006F3804" w:rsidRDefault="00BC127B" w:rsidP="003954B6">
            <w:pPr>
              <w:pStyle w:val="Tabletextcentred"/>
            </w:pPr>
            <w:r w:rsidRPr="006F3804">
              <w:t>0.017</w:t>
            </w:r>
            <w:r w:rsidRPr="006F3804">
              <w:br/>
              <w:t>(-31.0%)</w:t>
            </w:r>
          </w:p>
        </w:tc>
        <w:tc>
          <w:tcPr>
            <w:tcW w:w="1418" w:type="dxa"/>
          </w:tcPr>
          <w:p w:rsidR="00BC127B" w:rsidRPr="006F3804" w:rsidRDefault="00BC127B" w:rsidP="003954B6">
            <w:pPr>
              <w:pStyle w:val="Tabletextcentred"/>
            </w:pPr>
            <w:r w:rsidRPr="006F3804">
              <w:t>0.012</w:t>
            </w:r>
            <w:r w:rsidRPr="006F3804">
              <w:br/>
              <w:t>(-51.7%)</w:t>
            </w:r>
          </w:p>
        </w:tc>
        <w:tc>
          <w:tcPr>
            <w:tcW w:w="1134" w:type="dxa"/>
          </w:tcPr>
          <w:p w:rsidR="00BC127B" w:rsidRPr="006F3804" w:rsidRDefault="00BC127B" w:rsidP="003954B6">
            <w:pPr>
              <w:pStyle w:val="Tabletextcentred"/>
            </w:pPr>
            <w:r w:rsidRPr="006F3804">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TC4</w:t>
            </w:r>
          </w:p>
        </w:tc>
        <w:tc>
          <w:tcPr>
            <w:tcW w:w="1293" w:type="dxa"/>
          </w:tcPr>
          <w:p w:rsidR="00BC127B" w:rsidRPr="006F3804" w:rsidRDefault="00BC127B" w:rsidP="003954B6">
            <w:pPr>
              <w:pStyle w:val="Tabletextcentred"/>
            </w:pPr>
            <w:r w:rsidRPr="006F3804">
              <w:t>0.108</w:t>
            </w:r>
          </w:p>
        </w:tc>
        <w:tc>
          <w:tcPr>
            <w:tcW w:w="1134" w:type="dxa"/>
          </w:tcPr>
          <w:p w:rsidR="00BC127B" w:rsidRPr="006F3804" w:rsidRDefault="00BC127B" w:rsidP="003954B6">
            <w:pPr>
              <w:pStyle w:val="Tabletextcentred"/>
            </w:pPr>
            <w:r w:rsidRPr="006F3804">
              <w:t>0.129</w:t>
            </w:r>
            <w:r w:rsidRPr="006F3804">
              <w:br/>
              <w:t>(+19.1%)</w:t>
            </w:r>
          </w:p>
        </w:tc>
        <w:tc>
          <w:tcPr>
            <w:tcW w:w="1418" w:type="dxa"/>
          </w:tcPr>
          <w:p w:rsidR="00BC127B" w:rsidRPr="006F3804" w:rsidRDefault="00BC127B" w:rsidP="003954B6">
            <w:pPr>
              <w:pStyle w:val="Tabletextcentred"/>
            </w:pPr>
            <w:r w:rsidRPr="006F3804">
              <w:t>0.143</w:t>
            </w:r>
            <w:r w:rsidRPr="006F3804">
              <w:br/>
              <w:t>(+31.8%)</w:t>
            </w:r>
          </w:p>
        </w:tc>
        <w:tc>
          <w:tcPr>
            <w:tcW w:w="1134" w:type="dxa"/>
          </w:tcPr>
          <w:p w:rsidR="00BC127B" w:rsidRPr="006F3804" w:rsidRDefault="00BC127B" w:rsidP="003954B6">
            <w:pPr>
              <w:pStyle w:val="Tabletextcentred"/>
            </w:pPr>
            <w:r w:rsidRPr="006F3804">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TC3</w:t>
            </w:r>
          </w:p>
        </w:tc>
        <w:tc>
          <w:tcPr>
            <w:tcW w:w="1293" w:type="dxa"/>
          </w:tcPr>
          <w:p w:rsidR="00BC127B" w:rsidRPr="006F3804" w:rsidRDefault="00BC127B" w:rsidP="003954B6">
            <w:pPr>
              <w:pStyle w:val="Tabletextcentred"/>
            </w:pPr>
            <w:r w:rsidRPr="006F3804">
              <w:t>0.148</w:t>
            </w:r>
          </w:p>
        </w:tc>
        <w:tc>
          <w:tcPr>
            <w:tcW w:w="1134" w:type="dxa"/>
          </w:tcPr>
          <w:p w:rsidR="00BC127B" w:rsidRPr="006F3804" w:rsidRDefault="00BC127B" w:rsidP="003954B6">
            <w:pPr>
              <w:pStyle w:val="Tabletextcentred"/>
            </w:pPr>
            <w:r w:rsidRPr="006F3804">
              <w:t>0.123</w:t>
            </w:r>
            <w:r w:rsidRPr="006F3804">
              <w:br/>
              <w:t>(-16.5%)</w:t>
            </w:r>
          </w:p>
        </w:tc>
        <w:tc>
          <w:tcPr>
            <w:tcW w:w="1418" w:type="dxa"/>
          </w:tcPr>
          <w:p w:rsidR="00BC127B" w:rsidRPr="006F3804" w:rsidRDefault="00BC127B" w:rsidP="003954B6">
            <w:pPr>
              <w:pStyle w:val="Tabletextcentred"/>
            </w:pPr>
            <w:r w:rsidRPr="006F3804">
              <w:t>0.107</w:t>
            </w:r>
            <w:r w:rsidRPr="006F3804">
              <w:br/>
              <w:t>(-27.5%)</w:t>
            </w:r>
          </w:p>
        </w:tc>
        <w:tc>
          <w:tcPr>
            <w:tcW w:w="1134" w:type="dxa"/>
          </w:tcPr>
          <w:p w:rsidR="00BC127B" w:rsidRPr="006F3804" w:rsidRDefault="00BC127B" w:rsidP="003954B6">
            <w:pPr>
              <w:pStyle w:val="Tabletextcentred"/>
            </w:pPr>
            <w:r w:rsidRPr="006F3804">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TC2</w:t>
            </w:r>
          </w:p>
        </w:tc>
        <w:tc>
          <w:tcPr>
            <w:tcW w:w="1293" w:type="dxa"/>
          </w:tcPr>
          <w:p w:rsidR="00BC127B" w:rsidRPr="006F3804" w:rsidRDefault="00BC127B" w:rsidP="003954B6">
            <w:pPr>
              <w:pStyle w:val="Tabletextcentred"/>
            </w:pPr>
            <w:r w:rsidRPr="006F3804">
              <w:t>0.167</w:t>
            </w:r>
          </w:p>
        </w:tc>
        <w:tc>
          <w:tcPr>
            <w:tcW w:w="1134" w:type="dxa"/>
          </w:tcPr>
          <w:p w:rsidR="00BC127B" w:rsidRPr="006F3804" w:rsidRDefault="00BC127B" w:rsidP="003954B6">
            <w:pPr>
              <w:pStyle w:val="Tabletextcentred"/>
            </w:pPr>
            <w:r w:rsidRPr="006F3804">
              <w:t>0.174</w:t>
            </w:r>
            <w:r w:rsidRPr="006F3804">
              <w:br/>
              <w:t>(+4.0%)</w:t>
            </w:r>
          </w:p>
        </w:tc>
        <w:tc>
          <w:tcPr>
            <w:tcW w:w="1418" w:type="dxa"/>
          </w:tcPr>
          <w:p w:rsidR="00BC127B" w:rsidRPr="006F3804" w:rsidRDefault="00BC127B" w:rsidP="003954B6">
            <w:pPr>
              <w:pStyle w:val="Tabletextcentred"/>
            </w:pPr>
            <w:r w:rsidRPr="006F3804">
              <w:t>0.179</w:t>
            </w:r>
            <w:r w:rsidRPr="006F3804">
              <w:br/>
              <w:t>(+6.6%)</w:t>
            </w:r>
          </w:p>
        </w:tc>
        <w:tc>
          <w:tcPr>
            <w:tcW w:w="1134" w:type="dxa"/>
          </w:tcPr>
          <w:p w:rsidR="00BC127B" w:rsidRPr="006F3804" w:rsidRDefault="00BC127B" w:rsidP="003954B6">
            <w:pPr>
              <w:pStyle w:val="Tabletextcentred"/>
            </w:pPr>
            <w:r w:rsidRPr="006F3804">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TC1</w:t>
            </w:r>
          </w:p>
        </w:tc>
        <w:tc>
          <w:tcPr>
            <w:tcW w:w="1293" w:type="dxa"/>
          </w:tcPr>
          <w:p w:rsidR="00BC127B" w:rsidRPr="006F3804" w:rsidRDefault="00BC127B" w:rsidP="003954B6">
            <w:pPr>
              <w:pStyle w:val="Tabletextcentred"/>
            </w:pPr>
            <w:r w:rsidRPr="006F3804">
              <w:t>0.256</w:t>
            </w:r>
          </w:p>
        </w:tc>
        <w:tc>
          <w:tcPr>
            <w:tcW w:w="1134" w:type="dxa"/>
          </w:tcPr>
          <w:p w:rsidR="00BC127B" w:rsidRPr="006F3804" w:rsidRDefault="00BC127B" w:rsidP="003954B6">
            <w:pPr>
              <w:pStyle w:val="Tabletextcentred"/>
            </w:pPr>
            <w:r w:rsidRPr="006F3804">
              <w:t>0.238</w:t>
            </w:r>
            <w:r w:rsidRPr="006F3804">
              <w:br/>
              <w:t>(-7.0%)</w:t>
            </w:r>
          </w:p>
        </w:tc>
        <w:tc>
          <w:tcPr>
            <w:tcW w:w="1418" w:type="dxa"/>
          </w:tcPr>
          <w:p w:rsidR="00BC127B" w:rsidRPr="006F3804" w:rsidRDefault="00BC127B" w:rsidP="003954B6">
            <w:pPr>
              <w:pStyle w:val="Tabletextcentred"/>
            </w:pPr>
            <w:r w:rsidRPr="006F3804">
              <w:t>0.226</w:t>
            </w:r>
            <w:r w:rsidRPr="006F3804">
              <w:br/>
              <w:t>(-11.7%)</w:t>
            </w:r>
          </w:p>
        </w:tc>
        <w:tc>
          <w:tcPr>
            <w:tcW w:w="1134" w:type="dxa"/>
          </w:tcPr>
          <w:p w:rsidR="00BC127B" w:rsidRPr="006F3804" w:rsidRDefault="00BC127B" w:rsidP="003954B6">
            <w:pPr>
              <w:pStyle w:val="Tabletextcentred"/>
            </w:pPr>
            <w:r w:rsidRPr="006F3804">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TS</w:t>
            </w:r>
          </w:p>
        </w:tc>
        <w:tc>
          <w:tcPr>
            <w:tcW w:w="1293" w:type="dxa"/>
          </w:tcPr>
          <w:p w:rsidR="00BC127B" w:rsidRPr="006F3804" w:rsidRDefault="00BC127B" w:rsidP="003954B6">
            <w:pPr>
              <w:pStyle w:val="Tabletextcentred"/>
            </w:pPr>
            <w:r w:rsidRPr="006F3804">
              <w:t>0.143</w:t>
            </w:r>
          </w:p>
        </w:tc>
        <w:tc>
          <w:tcPr>
            <w:tcW w:w="1134" w:type="dxa"/>
          </w:tcPr>
          <w:p w:rsidR="00BC127B" w:rsidRPr="006F3804" w:rsidRDefault="00BC127B" w:rsidP="003954B6">
            <w:pPr>
              <w:pStyle w:val="Tabletextcentred"/>
            </w:pPr>
            <w:r w:rsidRPr="006F3804">
              <w:t>0.193</w:t>
            </w:r>
            <w:r w:rsidRPr="006F3804">
              <w:br/>
              <w:t>(+35.0%)</w:t>
            </w:r>
          </w:p>
        </w:tc>
        <w:tc>
          <w:tcPr>
            <w:tcW w:w="1418" w:type="dxa"/>
          </w:tcPr>
          <w:p w:rsidR="00BC127B" w:rsidRPr="006F3804" w:rsidRDefault="00BC127B" w:rsidP="003954B6">
            <w:pPr>
              <w:pStyle w:val="Tabletextcentred"/>
            </w:pPr>
            <w:r w:rsidRPr="006F3804">
              <w:t>0.226</w:t>
            </w:r>
            <w:r w:rsidRPr="006F3804">
              <w:br/>
              <w:t>(+58.3%)</w:t>
            </w:r>
          </w:p>
        </w:tc>
        <w:tc>
          <w:tcPr>
            <w:tcW w:w="1134" w:type="dxa"/>
          </w:tcPr>
          <w:p w:rsidR="00BC127B" w:rsidRPr="006F3804" w:rsidRDefault="00BC127B" w:rsidP="003954B6">
            <w:pPr>
              <w:pStyle w:val="Tabletextcentred"/>
            </w:pPr>
            <w:r w:rsidRPr="006F3804">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TD</w:t>
            </w:r>
          </w:p>
        </w:tc>
        <w:tc>
          <w:tcPr>
            <w:tcW w:w="1293" w:type="dxa"/>
          </w:tcPr>
          <w:p w:rsidR="00BC127B" w:rsidRPr="006F3804" w:rsidRDefault="00BC127B" w:rsidP="003954B6">
            <w:pPr>
              <w:pStyle w:val="Tabletextcentred"/>
            </w:pPr>
            <w:r w:rsidRPr="006F3804">
              <w:t>0.153</w:t>
            </w:r>
          </w:p>
        </w:tc>
        <w:tc>
          <w:tcPr>
            <w:tcW w:w="1134" w:type="dxa"/>
          </w:tcPr>
          <w:p w:rsidR="00BC127B" w:rsidRPr="006F3804" w:rsidRDefault="00BC127B" w:rsidP="003954B6">
            <w:pPr>
              <w:pStyle w:val="Tabletextcentred"/>
            </w:pPr>
            <w:r w:rsidRPr="006F3804">
              <w:t>0.125</w:t>
            </w:r>
            <w:r w:rsidRPr="006F3804">
              <w:br/>
              <w:t>(-17.9%)</w:t>
            </w:r>
          </w:p>
        </w:tc>
        <w:tc>
          <w:tcPr>
            <w:tcW w:w="1418" w:type="dxa"/>
          </w:tcPr>
          <w:p w:rsidR="00BC127B" w:rsidRPr="006F3804" w:rsidRDefault="00BC127B" w:rsidP="003954B6">
            <w:pPr>
              <w:pStyle w:val="Tabletextcentred"/>
            </w:pPr>
            <w:r w:rsidRPr="006F3804">
              <w:t>0.107</w:t>
            </w:r>
            <w:r w:rsidRPr="006F3804">
              <w:br/>
              <w:t>(-29.8%)</w:t>
            </w:r>
          </w:p>
        </w:tc>
        <w:tc>
          <w:tcPr>
            <w:tcW w:w="1134" w:type="dxa"/>
          </w:tcPr>
          <w:p w:rsidR="00BC127B" w:rsidRPr="006F3804" w:rsidRDefault="00BC127B" w:rsidP="003954B6">
            <w:pPr>
              <w:pStyle w:val="Tabletextcentred"/>
            </w:pPr>
            <w:r w:rsidRPr="006F3804">
              <w:t>0.043</w:t>
            </w:r>
          </w:p>
        </w:tc>
      </w:tr>
    </w:tbl>
    <w:p w:rsidR="00BC127B" w:rsidRPr="000733E9" w:rsidRDefault="00BC127B" w:rsidP="00DE0A84">
      <w:pPr>
        <w:pStyle w:val="Tabletitle"/>
      </w:pPr>
      <w:r>
        <w:br w:type="page"/>
      </w:r>
      <w:r w:rsidRPr="000733E9">
        <w:lastRenderedPageBreak/>
        <w:t xml:space="preserve">Table </w:t>
      </w:r>
      <w:r w:rsidR="00E57C2A">
        <w:t>B.7</w:t>
      </w:r>
      <w:r w:rsidRPr="000733E9">
        <w:t xml:space="preserve"> ECHAM5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653FD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53FD5" w:rsidRDefault="00BC127B" w:rsidP="00653FD5">
            <w:pPr>
              <w:pStyle w:val="Tableheadingcentred"/>
            </w:pPr>
            <w:r w:rsidRPr="00653FD5">
              <w:t>Category</w:t>
            </w:r>
          </w:p>
        </w:tc>
        <w:tc>
          <w:tcPr>
            <w:tcW w:w="1293" w:type="dxa"/>
          </w:tcPr>
          <w:p w:rsidR="00BC127B" w:rsidRPr="00653FD5" w:rsidRDefault="00BC127B" w:rsidP="00653FD5">
            <w:pPr>
              <w:pStyle w:val="Tableheadingcentred"/>
            </w:pPr>
            <w:r w:rsidRPr="00653FD5">
              <w:t>1981-2000</w:t>
            </w:r>
          </w:p>
        </w:tc>
        <w:tc>
          <w:tcPr>
            <w:tcW w:w="1134" w:type="dxa"/>
          </w:tcPr>
          <w:p w:rsidR="00BC127B" w:rsidRPr="00653FD5" w:rsidRDefault="00BC127B" w:rsidP="00653FD5">
            <w:pPr>
              <w:pStyle w:val="Tableheadingcentred"/>
            </w:pPr>
            <w:r w:rsidRPr="00653FD5">
              <w:t>2050</w:t>
            </w:r>
          </w:p>
        </w:tc>
        <w:tc>
          <w:tcPr>
            <w:tcW w:w="1418" w:type="dxa"/>
          </w:tcPr>
          <w:p w:rsidR="00BC127B" w:rsidRPr="00653FD5" w:rsidRDefault="00BC127B" w:rsidP="00653FD5">
            <w:pPr>
              <w:pStyle w:val="Tableheadingcentred"/>
            </w:pPr>
            <w:r w:rsidRPr="00653FD5">
              <w:t>2081-2100</w:t>
            </w:r>
          </w:p>
        </w:tc>
        <w:tc>
          <w:tcPr>
            <w:tcW w:w="1134" w:type="dxa"/>
          </w:tcPr>
          <w:p w:rsidR="00BC127B" w:rsidRPr="00653FD5" w:rsidRDefault="00BC127B" w:rsidP="00653FD5">
            <w:pPr>
              <w:pStyle w:val="Tableheadingcentred"/>
            </w:pPr>
            <w:r w:rsidRPr="00653FD5">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0.05</w:t>
            </w:r>
          </w:p>
        </w:tc>
        <w:tc>
          <w:tcPr>
            <w:tcW w:w="1134" w:type="dxa"/>
          </w:tcPr>
          <w:p w:rsidR="00BC127B" w:rsidRPr="006464F6" w:rsidRDefault="00BC127B" w:rsidP="006464F6">
            <w:pPr>
              <w:pStyle w:val="Tabletextcentred"/>
            </w:pPr>
            <w:r w:rsidRPr="006464F6">
              <w:t>0.031</w:t>
            </w:r>
            <w:r w:rsidRPr="006464F6">
              <w:br/>
              <w:t>(-36.8%)</w:t>
            </w:r>
          </w:p>
        </w:tc>
        <w:tc>
          <w:tcPr>
            <w:tcW w:w="1418" w:type="dxa"/>
          </w:tcPr>
          <w:p w:rsidR="00BC127B" w:rsidRPr="006464F6" w:rsidRDefault="00BC127B" w:rsidP="006464F6">
            <w:pPr>
              <w:pStyle w:val="Tabletextcentred"/>
            </w:pPr>
            <w:r w:rsidRPr="006464F6">
              <w:t>0.019</w:t>
            </w:r>
            <w:r w:rsidRPr="006464F6">
              <w:br/>
              <w:t>(-61.4%)</w:t>
            </w:r>
          </w:p>
        </w:tc>
        <w:tc>
          <w:tcPr>
            <w:tcW w:w="1134" w:type="dxa"/>
          </w:tcPr>
          <w:p w:rsidR="00BC127B" w:rsidRPr="006464F6" w:rsidRDefault="00BC127B" w:rsidP="006464F6">
            <w:pPr>
              <w:pStyle w:val="Tabletextcentred"/>
            </w:pPr>
            <w:r w:rsidRPr="006464F6">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0.12</w:t>
            </w:r>
          </w:p>
        </w:tc>
        <w:tc>
          <w:tcPr>
            <w:tcW w:w="1134" w:type="dxa"/>
          </w:tcPr>
          <w:p w:rsidR="00BC127B" w:rsidRPr="006464F6" w:rsidRDefault="00BC127B" w:rsidP="006464F6">
            <w:pPr>
              <w:pStyle w:val="Tabletextcentred"/>
            </w:pPr>
            <w:r w:rsidRPr="006464F6">
              <w:t>0.1</w:t>
            </w:r>
            <w:r w:rsidRPr="006464F6">
              <w:br/>
              <w:t>(-16.6%)</w:t>
            </w:r>
          </w:p>
        </w:tc>
        <w:tc>
          <w:tcPr>
            <w:tcW w:w="1418" w:type="dxa"/>
          </w:tcPr>
          <w:p w:rsidR="00BC127B" w:rsidRPr="006464F6" w:rsidRDefault="00BC127B" w:rsidP="006464F6">
            <w:pPr>
              <w:pStyle w:val="Tabletextcentred"/>
            </w:pPr>
            <w:r w:rsidRPr="006464F6">
              <w:t>0.087</w:t>
            </w:r>
            <w:r w:rsidRPr="006464F6">
              <w:br/>
              <w:t>(-27.6%)</w:t>
            </w:r>
          </w:p>
        </w:tc>
        <w:tc>
          <w:tcPr>
            <w:tcW w:w="1134" w:type="dxa"/>
          </w:tcPr>
          <w:p w:rsidR="00BC127B" w:rsidRPr="006464F6" w:rsidRDefault="00BC127B" w:rsidP="006464F6">
            <w:pPr>
              <w:pStyle w:val="Tabletextcentred"/>
            </w:pPr>
            <w:r w:rsidRPr="006464F6">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0.179</w:t>
            </w:r>
          </w:p>
        </w:tc>
        <w:tc>
          <w:tcPr>
            <w:tcW w:w="1134" w:type="dxa"/>
          </w:tcPr>
          <w:p w:rsidR="00BC127B" w:rsidRPr="006464F6" w:rsidRDefault="00BC127B" w:rsidP="006464F6">
            <w:pPr>
              <w:pStyle w:val="Tabletextcentred"/>
            </w:pPr>
            <w:r w:rsidRPr="006464F6">
              <w:t>0.153</w:t>
            </w:r>
            <w:r w:rsidRPr="006464F6">
              <w:br/>
              <w:t>(-15.0%)</w:t>
            </w:r>
          </w:p>
        </w:tc>
        <w:tc>
          <w:tcPr>
            <w:tcW w:w="1418" w:type="dxa"/>
          </w:tcPr>
          <w:p w:rsidR="00BC127B" w:rsidRPr="006464F6" w:rsidRDefault="00BC127B" w:rsidP="006464F6">
            <w:pPr>
              <w:pStyle w:val="Tabletextcentred"/>
            </w:pPr>
            <w:r w:rsidRPr="006464F6">
              <w:t>0.135</w:t>
            </w:r>
            <w:r w:rsidRPr="006464F6">
              <w:br/>
              <w:t>(-25.0%)</w:t>
            </w:r>
          </w:p>
        </w:tc>
        <w:tc>
          <w:tcPr>
            <w:tcW w:w="1134" w:type="dxa"/>
          </w:tcPr>
          <w:p w:rsidR="00BC127B" w:rsidRPr="006464F6" w:rsidRDefault="00BC127B" w:rsidP="006464F6">
            <w:pPr>
              <w:pStyle w:val="Tabletextcentred"/>
            </w:pPr>
            <w:r w:rsidRPr="006464F6">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0.209</w:t>
            </w:r>
          </w:p>
        </w:tc>
        <w:tc>
          <w:tcPr>
            <w:tcW w:w="1134" w:type="dxa"/>
          </w:tcPr>
          <w:p w:rsidR="00BC127B" w:rsidRPr="006464F6" w:rsidRDefault="00BC127B" w:rsidP="006464F6">
            <w:pPr>
              <w:pStyle w:val="Tabletextcentred"/>
            </w:pPr>
            <w:r w:rsidRPr="006464F6">
              <w:t>0.188</w:t>
            </w:r>
            <w:r w:rsidRPr="006464F6">
              <w:br/>
              <w:t>(-10.4%)</w:t>
            </w:r>
          </w:p>
        </w:tc>
        <w:tc>
          <w:tcPr>
            <w:tcW w:w="1418" w:type="dxa"/>
          </w:tcPr>
          <w:p w:rsidR="00BC127B" w:rsidRPr="006464F6" w:rsidRDefault="00BC127B" w:rsidP="006464F6">
            <w:pPr>
              <w:pStyle w:val="Tabletextcentred"/>
            </w:pPr>
            <w:r w:rsidRPr="006464F6">
              <w:t>0.173</w:t>
            </w:r>
            <w:r w:rsidRPr="006464F6">
              <w:br/>
              <w:t>(-17.3%)</w:t>
            </w:r>
          </w:p>
        </w:tc>
        <w:tc>
          <w:tcPr>
            <w:tcW w:w="1134" w:type="dxa"/>
          </w:tcPr>
          <w:p w:rsidR="00BC127B" w:rsidRPr="006464F6" w:rsidRDefault="00BC127B" w:rsidP="006464F6">
            <w:pPr>
              <w:pStyle w:val="Tabletextcentred"/>
            </w:pPr>
            <w:r w:rsidRPr="006464F6">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0.179</w:t>
            </w:r>
          </w:p>
        </w:tc>
        <w:tc>
          <w:tcPr>
            <w:tcW w:w="1134" w:type="dxa"/>
          </w:tcPr>
          <w:p w:rsidR="00BC127B" w:rsidRPr="006464F6" w:rsidRDefault="00BC127B" w:rsidP="006464F6">
            <w:pPr>
              <w:pStyle w:val="Tabletextcentred"/>
            </w:pPr>
            <w:r w:rsidRPr="006464F6">
              <w:t>0.262</w:t>
            </w:r>
            <w:r w:rsidRPr="006464F6">
              <w:br/>
              <w:t>(+46.1%)</w:t>
            </w:r>
          </w:p>
        </w:tc>
        <w:tc>
          <w:tcPr>
            <w:tcW w:w="1418" w:type="dxa"/>
          </w:tcPr>
          <w:p w:rsidR="00BC127B" w:rsidRPr="006464F6" w:rsidRDefault="00BC127B" w:rsidP="006464F6">
            <w:pPr>
              <w:pStyle w:val="Tabletextcentred"/>
            </w:pPr>
            <w:r w:rsidRPr="006464F6">
              <w:t>0.317</w:t>
            </w:r>
            <w:r w:rsidRPr="006464F6">
              <w:br/>
              <w:t>(+76.9%)</w:t>
            </w:r>
          </w:p>
        </w:tc>
        <w:tc>
          <w:tcPr>
            <w:tcW w:w="1134" w:type="dxa"/>
          </w:tcPr>
          <w:p w:rsidR="00BC127B" w:rsidRPr="006464F6" w:rsidRDefault="00BC127B" w:rsidP="006464F6">
            <w:pPr>
              <w:pStyle w:val="Tabletextcentred"/>
            </w:pPr>
            <w:r w:rsidRPr="006464F6">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0.113</w:t>
            </w:r>
          </w:p>
        </w:tc>
        <w:tc>
          <w:tcPr>
            <w:tcW w:w="1134" w:type="dxa"/>
          </w:tcPr>
          <w:p w:rsidR="00BC127B" w:rsidRPr="006464F6" w:rsidRDefault="00BC127B" w:rsidP="006464F6">
            <w:pPr>
              <w:pStyle w:val="Tabletextcentred"/>
            </w:pPr>
            <w:r w:rsidRPr="006464F6">
              <w:t>0.091</w:t>
            </w:r>
            <w:r w:rsidRPr="006464F6">
              <w:br/>
              <w:t>(-19.1%)</w:t>
            </w:r>
          </w:p>
        </w:tc>
        <w:tc>
          <w:tcPr>
            <w:tcW w:w="1418" w:type="dxa"/>
          </w:tcPr>
          <w:p w:rsidR="00BC127B" w:rsidRPr="006464F6" w:rsidRDefault="00BC127B" w:rsidP="006464F6">
            <w:pPr>
              <w:pStyle w:val="Tabletextcentred"/>
            </w:pPr>
            <w:r w:rsidRPr="006464F6">
              <w:t>0.077</w:t>
            </w:r>
            <w:r w:rsidRPr="006464F6">
              <w:br/>
              <w:t>(-31.9%)</w:t>
            </w:r>
          </w:p>
        </w:tc>
        <w:tc>
          <w:tcPr>
            <w:tcW w:w="1134" w:type="dxa"/>
          </w:tcPr>
          <w:p w:rsidR="00BC127B" w:rsidRPr="006464F6" w:rsidRDefault="00BC127B" w:rsidP="006464F6">
            <w:pPr>
              <w:pStyle w:val="Tabletextcentred"/>
            </w:pPr>
            <w:r w:rsidRPr="006464F6">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0.15</w:t>
            </w:r>
          </w:p>
        </w:tc>
        <w:tc>
          <w:tcPr>
            <w:tcW w:w="1134" w:type="dxa"/>
          </w:tcPr>
          <w:p w:rsidR="00BC127B" w:rsidRPr="006464F6" w:rsidRDefault="00BC127B" w:rsidP="006464F6">
            <w:pPr>
              <w:pStyle w:val="Tabletextcentred"/>
            </w:pPr>
            <w:r w:rsidRPr="006464F6">
              <w:t>0.175</w:t>
            </w:r>
            <w:r w:rsidRPr="006464F6">
              <w:br/>
              <w:t>(+17.2%)</w:t>
            </w:r>
          </w:p>
        </w:tc>
        <w:tc>
          <w:tcPr>
            <w:tcW w:w="1418" w:type="dxa"/>
          </w:tcPr>
          <w:p w:rsidR="00BC127B" w:rsidRPr="006464F6" w:rsidRDefault="00BC127B" w:rsidP="006464F6">
            <w:pPr>
              <w:pStyle w:val="Tabletextcentred"/>
            </w:pPr>
            <w:r w:rsidRPr="006464F6">
              <w:t>0.192</w:t>
            </w:r>
            <w:r w:rsidRPr="006464F6">
              <w:br/>
              <w:t>(+28.6%)</w:t>
            </w:r>
          </w:p>
        </w:tc>
        <w:tc>
          <w:tcPr>
            <w:tcW w:w="1134" w:type="dxa"/>
          </w:tcPr>
          <w:p w:rsidR="00BC127B" w:rsidRPr="006464F6" w:rsidRDefault="00BC127B" w:rsidP="006464F6">
            <w:pPr>
              <w:pStyle w:val="Tabletextcentred"/>
            </w:pPr>
            <w:r w:rsidRPr="006464F6">
              <w:t>0.043</w:t>
            </w:r>
          </w:p>
        </w:tc>
      </w:tr>
    </w:tbl>
    <w:p w:rsidR="00BC127B" w:rsidRPr="001F5A54" w:rsidRDefault="00BC127B" w:rsidP="00DE0A84">
      <w:pPr>
        <w:pStyle w:val="Tabletitle"/>
      </w:pPr>
      <w:r w:rsidRPr="001F5A54">
        <w:t xml:space="preserve">Table </w:t>
      </w:r>
      <w:r w:rsidR="00E57C2A">
        <w:t>B.8</w:t>
      </w:r>
      <w:r w:rsidRPr="001F5A54">
        <w:t xml:space="preserve"> GFDL CM2.0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653FD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53FD5" w:rsidRDefault="00BC127B" w:rsidP="00653FD5">
            <w:pPr>
              <w:pStyle w:val="Tableheadingcentred"/>
            </w:pPr>
            <w:r w:rsidRPr="00653FD5">
              <w:t>Category</w:t>
            </w:r>
          </w:p>
        </w:tc>
        <w:tc>
          <w:tcPr>
            <w:tcW w:w="1293" w:type="dxa"/>
          </w:tcPr>
          <w:p w:rsidR="00BC127B" w:rsidRPr="00653FD5" w:rsidRDefault="00BC127B" w:rsidP="00653FD5">
            <w:pPr>
              <w:pStyle w:val="Tableheadingcentred"/>
            </w:pPr>
            <w:r w:rsidRPr="00653FD5">
              <w:t>1981-2000</w:t>
            </w:r>
          </w:p>
        </w:tc>
        <w:tc>
          <w:tcPr>
            <w:tcW w:w="1134" w:type="dxa"/>
          </w:tcPr>
          <w:p w:rsidR="00BC127B" w:rsidRPr="00653FD5" w:rsidRDefault="00BC127B" w:rsidP="00653FD5">
            <w:pPr>
              <w:pStyle w:val="Tableheadingcentred"/>
            </w:pPr>
            <w:r w:rsidRPr="00653FD5">
              <w:t>2050</w:t>
            </w:r>
          </w:p>
        </w:tc>
        <w:tc>
          <w:tcPr>
            <w:tcW w:w="1418" w:type="dxa"/>
          </w:tcPr>
          <w:p w:rsidR="00BC127B" w:rsidRPr="00653FD5" w:rsidRDefault="00BC127B" w:rsidP="00653FD5">
            <w:pPr>
              <w:pStyle w:val="Tableheadingcentred"/>
            </w:pPr>
            <w:r w:rsidRPr="00653FD5">
              <w:t>2081-2100</w:t>
            </w:r>
          </w:p>
        </w:tc>
        <w:tc>
          <w:tcPr>
            <w:tcW w:w="1134" w:type="dxa"/>
          </w:tcPr>
          <w:p w:rsidR="00BC127B" w:rsidRPr="00653FD5" w:rsidRDefault="00BC127B" w:rsidP="00653FD5">
            <w:pPr>
              <w:pStyle w:val="Tableheadingcentred"/>
            </w:pPr>
            <w:r w:rsidRPr="00653FD5">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0.027</w:t>
            </w:r>
          </w:p>
        </w:tc>
        <w:tc>
          <w:tcPr>
            <w:tcW w:w="1134" w:type="dxa"/>
          </w:tcPr>
          <w:p w:rsidR="00BC127B" w:rsidRPr="006464F6" w:rsidRDefault="00BC127B" w:rsidP="006464F6">
            <w:pPr>
              <w:pStyle w:val="Tabletextcentred"/>
            </w:pPr>
            <w:r w:rsidRPr="006464F6">
              <w:t>0.011</w:t>
            </w:r>
            <w:r w:rsidRPr="006464F6">
              <w:br/>
              <w:t>(-60.0%)</w:t>
            </w:r>
          </w:p>
        </w:tc>
        <w:tc>
          <w:tcPr>
            <w:tcW w:w="1418" w:type="dxa"/>
          </w:tcPr>
          <w:p w:rsidR="00BC127B" w:rsidRPr="006464F6" w:rsidRDefault="00BC127B" w:rsidP="006464F6">
            <w:pPr>
              <w:pStyle w:val="Tabletextcentred"/>
            </w:pPr>
            <w:r w:rsidRPr="006464F6">
              <w:t>0</w:t>
            </w:r>
            <w:r w:rsidRPr="006464F6">
              <w:br/>
              <w:t>(-100.0%)</w:t>
            </w:r>
          </w:p>
        </w:tc>
        <w:tc>
          <w:tcPr>
            <w:tcW w:w="1134" w:type="dxa"/>
          </w:tcPr>
          <w:p w:rsidR="00BC127B" w:rsidRPr="006464F6" w:rsidRDefault="00BC127B" w:rsidP="006464F6">
            <w:pPr>
              <w:pStyle w:val="Tabletextcentred"/>
            </w:pPr>
            <w:r w:rsidRPr="006464F6">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0.09</w:t>
            </w:r>
          </w:p>
        </w:tc>
        <w:tc>
          <w:tcPr>
            <w:tcW w:w="1134" w:type="dxa"/>
          </w:tcPr>
          <w:p w:rsidR="00BC127B" w:rsidRPr="006464F6" w:rsidRDefault="00BC127B" w:rsidP="006464F6">
            <w:pPr>
              <w:pStyle w:val="Tabletextcentred"/>
            </w:pPr>
            <w:r w:rsidRPr="006464F6">
              <w:t>0.036</w:t>
            </w:r>
            <w:r w:rsidRPr="006464F6">
              <w:br/>
              <w:t>(-60.0%)</w:t>
            </w:r>
          </w:p>
        </w:tc>
        <w:tc>
          <w:tcPr>
            <w:tcW w:w="1418" w:type="dxa"/>
          </w:tcPr>
          <w:p w:rsidR="00BC127B" w:rsidRPr="006464F6" w:rsidRDefault="00BC127B" w:rsidP="006464F6">
            <w:pPr>
              <w:pStyle w:val="Tabletextcentred"/>
            </w:pPr>
            <w:r w:rsidRPr="006464F6">
              <w:t>0</w:t>
            </w:r>
            <w:r w:rsidRPr="006464F6">
              <w:br/>
              <w:t>(-100.0%)</w:t>
            </w:r>
          </w:p>
        </w:tc>
        <w:tc>
          <w:tcPr>
            <w:tcW w:w="1134" w:type="dxa"/>
          </w:tcPr>
          <w:p w:rsidR="00BC127B" w:rsidRPr="006464F6" w:rsidRDefault="00BC127B" w:rsidP="006464F6">
            <w:pPr>
              <w:pStyle w:val="Tabletextcentred"/>
            </w:pPr>
            <w:r w:rsidRPr="006464F6">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0.149</w:t>
            </w:r>
          </w:p>
        </w:tc>
        <w:tc>
          <w:tcPr>
            <w:tcW w:w="1134" w:type="dxa"/>
          </w:tcPr>
          <w:p w:rsidR="00BC127B" w:rsidRPr="006464F6" w:rsidRDefault="00BC127B" w:rsidP="006464F6">
            <w:pPr>
              <w:pStyle w:val="Tabletextcentred"/>
            </w:pPr>
            <w:r w:rsidRPr="006464F6">
              <w:t>0.184</w:t>
            </w:r>
            <w:r w:rsidRPr="006464F6">
              <w:br/>
              <w:t>(+23.9%)</w:t>
            </w:r>
          </w:p>
        </w:tc>
        <w:tc>
          <w:tcPr>
            <w:tcW w:w="1418" w:type="dxa"/>
          </w:tcPr>
          <w:p w:rsidR="00BC127B" w:rsidRPr="006464F6" w:rsidRDefault="00BC127B" w:rsidP="006464F6">
            <w:pPr>
              <w:pStyle w:val="Tabletextcentred"/>
            </w:pPr>
            <w:r w:rsidRPr="006464F6">
              <w:t>0.208</w:t>
            </w:r>
            <w:r w:rsidRPr="006464F6">
              <w:br/>
              <w:t>(+39.8%)</w:t>
            </w:r>
          </w:p>
        </w:tc>
        <w:tc>
          <w:tcPr>
            <w:tcW w:w="1134" w:type="dxa"/>
          </w:tcPr>
          <w:p w:rsidR="00BC127B" w:rsidRPr="006464F6" w:rsidRDefault="00BC127B" w:rsidP="006464F6">
            <w:pPr>
              <w:pStyle w:val="Tabletextcentred"/>
            </w:pPr>
            <w:r w:rsidRPr="006464F6">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0.158</w:t>
            </w:r>
          </w:p>
        </w:tc>
        <w:tc>
          <w:tcPr>
            <w:tcW w:w="1134" w:type="dxa"/>
          </w:tcPr>
          <w:p w:rsidR="00BC127B" w:rsidRPr="006464F6" w:rsidRDefault="00BC127B" w:rsidP="006464F6">
            <w:pPr>
              <w:pStyle w:val="Tabletextcentred"/>
            </w:pPr>
            <w:r w:rsidRPr="006464F6">
              <w:t>0.172</w:t>
            </w:r>
            <w:r w:rsidRPr="006464F6">
              <w:br/>
              <w:t>(+9.2%)</w:t>
            </w:r>
          </w:p>
        </w:tc>
        <w:tc>
          <w:tcPr>
            <w:tcW w:w="1418" w:type="dxa"/>
          </w:tcPr>
          <w:p w:rsidR="00BC127B" w:rsidRPr="006464F6" w:rsidRDefault="00BC127B" w:rsidP="006464F6">
            <w:pPr>
              <w:pStyle w:val="Tabletextcentred"/>
            </w:pPr>
            <w:r w:rsidRPr="006464F6">
              <w:t>0.182</w:t>
            </w:r>
            <w:r w:rsidRPr="006464F6">
              <w:br/>
              <w:t>(+15.3%)</w:t>
            </w:r>
          </w:p>
        </w:tc>
        <w:tc>
          <w:tcPr>
            <w:tcW w:w="1134" w:type="dxa"/>
          </w:tcPr>
          <w:p w:rsidR="00BC127B" w:rsidRPr="006464F6" w:rsidRDefault="00BC127B" w:rsidP="006464F6">
            <w:pPr>
              <w:pStyle w:val="Tabletextcentred"/>
            </w:pPr>
            <w:r w:rsidRPr="006464F6">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0.212</w:t>
            </w:r>
          </w:p>
        </w:tc>
        <w:tc>
          <w:tcPr>
            <w:tcW w:w="1134" w:type="dxa"/>
          </w:tcPr>
          <w:p w:rsidR="00BC127B" w:rsidRPr="006464F6" w:rsidRDefault="00BC127B" w:rsidP="006464F6">
            <w:pPr>
              <w:pStyle w:val="Tabletextcentred"/>
            </w:pPr>
            <w:r w:rsidRPr="006464F6">
              <w:t>0.256</w:t>
            </w:r>
            <w:r w:rsidRPr="006464F6">
              <w:br/>
              <w:t>(+21.0%)</w:t>
            </w:r>
          </w:p>
        </w:tc>
        <w:tc>
          <w:tcPr>
            <w:tcW w:w="1418" w:type="dxa"/>
          </w:tcPr>
          <w:p w:rsidR="00BC127B" w:rsidRPr="006464F6" w:rsidRDefault="00BC127B" w:rsidP="006464F6">
            <w:pPr>
              <w:pStyle w:val="Tabletextcentred"/>
            </w:pPr>
            <w:r w:rsidRPr="006464F6">
              <w:t>0.286</w:t>
            </w:r>
            <w:r w:rsidRPr="006464F6">
              <w:br/>
              <w:t>(+35.0%)</w:t>
            </w:r>
          </w:p>
        </w:tc>
        <w:tc>
          <w:tcPr>
            <w:tcW w:w="1134" w:type="dxa"/>
          </w:tcPr>
          <w:p w:rsidR="00BC127B" w:rsidRPr="006464F6" w:rsidRDefault="00BC127B" w:rsidP="006464F6">
            <w:pPr>
              <w:pStyle w:val="Tabletextcentred"/>
            </w:pPr>
            <w:r w:rsidRPr="006464F6">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0.135</w:t>
            </w:r>
          </w:p>
        </w:tc>
        <w:tc>
          <w:tcPr>
            <w:tcW w:w="1134" w:type="dxa"/>
          </w:tcPr>
          <w:p w:rsidR="00BC127B" w:rsidRPr="006464F6" w:rsidRDefault="00BC127B" w:rsidP="006464F6">
            <w:pPr>
              <w:pStyle w:val="Tabletextcentred"/>
            </w:pPr>
            <w:r w:rsidRPr="006464F6">
              <w:t>0.14</w:t>
            </w:r>
            <w:r w:rsidRPr="006464F6">
              <w:br/>
              <w:t>(+3.4%)</w:t>
            </w:r>
          </w:p>
        </w:tc>
        <w:tc>
          <w:tcPr>
            <w:tcW w:w="1418" w:type="dxa"/>
          </w:tcPr>
          <w:p w:rsidR="00BC127B" w:rsidRPr="006464F6" w:rsidRDefault="00BC127B" w:rsidP="006464F6">
            <w:pPr>
              <w:pStyle w:val="Tabletextcentred"/>
            </w:pPr>
            <w:r w:rsidRPr="006464F6">
              <w:t>0.143</w:t>
            </w:r>
            <w:r w:rsidRPr="006464F6">
              <w:br/>
              <w:t>(+5.7%)</w:t>
            </w:r>
          </w:p>
        </w:tc>
        <w:tc>
          <w:tcPr>
            <w:tcW w:w="1134" w:type="dxa"/>
          </w:tcPr>
          <w:p w:rsidR="00BC127B" w:rsidRPr="006464F6" w:rsidRDefault="00BC127B" w:rsidP="006464F6">
            <w:pPr>
              <w:pStyle w:val="Tabletextcentred"/>
            </w:pPr>
            <w:r w:rsidRPr="006464F6">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0.23</w:t>
            </w:r>
          </w:p>
        </w:tc>
        <w:tc>
          <w:tcPr>
            <w:tcW w:w="1134" w:type="dxa"/>
          </w:tcPr>
          <w:p w:rsidR="00BC127B" w:rsidRPr="006464F6" w:rsidRDefault="00BC127B" w:rsidP="006464F6">
            <w:pPr>
              <w:pStyle w:val="Tabletextcentred"/>
            </w:pPr>
            <w:r w:rsidRPr="006464F6">
              <w:t>0.201</w:t>
            </w:r>
            <w:r w:rsidRPr="006464F6">
              <w:br/>
              <w:t>(-12.5%)</w:t>
            </w:r>
          </w:p>
        </w:tc>
        <w:tc>
          <w:tcPr>
            <w:tcW w:w="1418" w:type="dxa"/>
          </w:tcPr>
          <w:p w:rsidR="00BC127B" w:rsidRPr="006464F6" w:rsidRDefault="00BC127B" w:rsidP="006464F6">
            <w:pPr>
              <w:pStyle w:val="Tabletextcentred"/>
            </w:pPr>
            <w:r w:rsidRPr="006464F6">
              <w:t>0.182</w:t>
            </w:r>
            <w:r w:rsidRPr="006464F6">
              <w:br/>
              <w:t>(-20.9%)</w:t>
            </w:r>
          </w:p>
        </w:tc>
        <w:tc>
          <w:tcPr>
            <w:tcW w:w="1134" w:type="dxa"/>
          </w:tcPr>
          <w:p w:rsidR="00BC127B" w:rsidRPr="006464F6" w:rsidRDefault="00BC127B" w:rsidP="006464F6">
            <w:pPr>
              <w:pStyle w:val="Tabletextcentred"/>
            </w:pPr>
            <w:r w:rsidRPr="006464F6">
              <w:t>0.043</w:t>
            </w:r>
          </w:p>
        </w:tc>
      </w:tr>
    </w:tbl>
    <w:p w:rsidR="00BC127B" w:rsidRPr="00491481" w:rsidRDefault="00BC127B" w:rsidP="00DE0A84">
      <w:pPr>
        <w:pStyle w:val="Tabletitle"/>
      </w:pPr>
      <w:r>
        <w:br w:type="page"/>
      </w:r>
      <w:r w:rsidRPr="00491481">
        <w:lastRenderedPageBreak/>
        <w:t xml:space="preserve">Table </w:t>
      </w:r>
      <w:r w:rsidR="00E57C2A">
        <w:t xml:space="preserve">B.9 </w:t>
      </w:r>
      <w:r w:rsidRPr="00491481">
        <w:t>GFDL CM2.1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0.026</w:t>
            </w:r>
          </w:p>
        </w:tc>
        <w:tc>
          <w:tcPr>
            <w:tcW w:w="1134" w:type="dxa"/>
          </w:tcPr>
          <w:p w:rsidR="00BC127B" w:rsidRPr="006464F6" w:rsidRDefault="00BC127B" w:rsidP="006464F6">
            <w:pPr>
              <w:pStyle w:val="Tabletextcentred"/>
            </w:pPr>
            <w:r w:rsidRPr="006464F6">
              <w:t>0.024</w:t>
            </w:r>
            <w:r w:rsidRPr="006464F6">
              <w:br/>
              <w:t>(-6.2%)</w:t>
            </w:r>
          </w:p>
        </w:tc>
        <w:tc>
          <w:tcPr>
            <w:tcW w:w="1418" w:type="dxa"/>
          </w:tcPr>
          <w:p w:rsidR="00BC127B" w:rsidRPr="006464F6" w:rsidRDefault="00BC127B" w:rsidP="006464F6">
            <w:pPr>
              <w:pStyle w:val="Tabletextcentred"/>
            </w:pPr>
            <w:r w:rsidRPr="006464F6">
              <w:t>0.023</w:t>
            </w:r>
            <w:r w:rsidRPr="006464F6">
              <w:br/>
              <w:t>(-10.3%)</w:t>
            </w:r>
          </w:p>
        </w:tc>
        <w:tc>
          <w:tcPr>
            <w:tcW w:w="1134" w:type="dxa"/>
          </w:tcPr>
          <w:p w:rsidR="00BC127B" w:rsidRPr="006464F6" w:rsidRDefault="00BC127B" w:rsidP="006464F6">
            <w:pPr>
              <w:pStyle w:val="Tabletextcentred"/>
            </w:pPr>
            <w:r w:rsidRPr="006464F6">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0.068</w:t>
            </w:r>
          </w:p>
        </w:tc>
        <w:tc>
          <w:tcPr>
            <w:tcW w:w="1134" w:type="dxa"/>
          </w:tcPr>
          <w:p w:rsidR="00BC127B" w:rsidRPr="006464F6" w:rsidRDefault="00BC127B" w:rsidP="006464F6">
            <w:pPr>
              <w:pStyle w:val="Tabletextcentred"/>
            </w:pPr>
            <w:r w:rsidRPr="006464F6">
              <w:t>0.083</w:t>
            </w:r>
            <w:r w:rsidRPr="006464F6">
              <w:br/>
              <w:t>(+20.7%)</w:t>
            </w:r>
          </w:p>
        </w:tc>
        <w:tc>
          <w:tcPr>
            <w:tcW w:w="1418" w:type="dxa"/>
          </w:tcPr>
          <w:p w:rsidR="00BC127B" w:rsidRPr="006464F6" w:rsidRDefault="00BC127B" w:rsidP="006464F6">
            <w:pPr>
              <w:pStyle w:val="Tabletextcentred"/>
            </w:pPr>
            <w:r w:rsidRPr="006464F6">
              <w:t>0.092</w:t>
            </w:r>
            <w:r w:rsidRPr="006464F6">
              <w:br/>
              <w:t>(+34.5%)</w:t>
            </w:r>
          </w:p>
        </w:tc>
        <w:tc>
          <w:tcPr>
            <w:tcW w:w="1134" w:type="dxa"/>
          </w:tcPr>
          <w:p w:rsidR="00BC127B" w:rsidRPr="006464F6" w:rsidRDefault="00BC127B" w:rsidP="006464F6">
            <w:pPr>
              <w:pStyle w:val="Tabletextcentred"/>
            </w:pPr>
            <w:r w:rsidRPr="006464F6">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0.132</w:t>
            </w:r>
          </w:p>
        </w:tc>
        <w:tc>
          <w:tcPr>
            <w:tcW w:w="1134" w:type="dxa"/>
          </w:tcPr>
          <w:p w:rsidR="00BC127B" w:rsidRPr="006464F6" w:rsidRDefault="00BC127B" w:rsidP="006464F6">
            <w:pPr>
              <w:pStyle w:val="Tabletextcentred"/>
            </w:pPr>
            <w:r w:rsidRPr="006464F6">
              <w:t>0.143</w:t>
            </w:r>
            <w:r w:rsidRPr="006464F6">
              <w:br/>
              <w:t>(+7.7%)</w:t>
            </w:r>
          </w:p>
        </w:tc>
        <w:tc>
          <w:tcPr>
            <w:tcW w:w="1418" w:type="dxa"/>
          </w:tcPr>
          <w:p w:rsidR="00BC127B" w:rsidRPr="006464F6" w:rsidRDefault="00BC127B" w:rsidP="006464F6">
            <w:pPr>
              <w:pStyle w:val="Tabletextcentred"/>
            </w:pPr>
            <w:r w:rsidRPr="006464F6">
              <w:t>0.149</w:t>
            </w:r>
            <w:r w:rsidRPr="006464F6">
              <w:br/>
              <w:t>(+12.8%)</w:t>
            </w:r>
          </w:p>
        </w:tc>
        <w:tc>
          <w:tcPr>
            <w:tcW w:w="1134" w:type="dxa"/>
          </w:tcPr>
          <w:p w:rsidR="00BC127B" w:rsidRPr="006464F6" w:rsidRDefault="00BC127B" w:rsidP="006464F6">
            <w:pPr>
              <w:pStyle w:val="Tabletextcentred"/>
            </w:pPr>
            <w:r w:rsidRPr="006464F6">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0.137</w:t>
            </w:r>
          </w:p>
        </w:tc>
        <w:tc>
          <w:tcPr>
            <w:tcW w:w="1134" w:type="dxa"/>
          </w:tcPr>
          <w:p w:rsidR="00BC127B" w:rsidRPr="006464F6" w:rsidRDefault="00BC127B" w:rsidP="006464F6">
            <w:pPr>
              <w:pStyle w:val="Tabletextcentred"/>
            </w:pPr>
            <w:r w:rsidRPr="006464F6">
              <w:t>0.124</w:t>
            </w:r>
            <w:r w:rsidRPr="006464F6">
              <w:br/>
              <w:t>(-9.6%)</w:t>
            </w:r>
          </w:p>
        </w:tc>
        <w:tc>
          <w:tcPr>
            <w:tcW w:w="1418" w:type="dxa"/>
          </w:tcPr>
          <w:p w:rsidR="00BC127B" w:rsidRPr="006464F6" w:rsidRDefault="00BC127B" w:rsidP="006464F6">
            <w:pPr>
              <w:pStyle w:val="Tabletextcentred"/>
            </w:pPr>
            <w:r w:rsidRPr="006464F6">
              <w:t>0.115</w:t>
            </w:r>
            <w:r w:rsidRPr="006464F6">
              <w:br/>
              <w:t>(-15.9%)</w:t>
            </w:r>
          </w:p>
        </w:tc>
        <w:tc>
          <w:tcPr>
            <w:tcW w:w="1134" w:type="dxa"/>
          </w:tcPr>
          <w:p w:rsidR="00BC127B" w:rsidRPr="006464F6" w:rsidRDefault="00BC127B" w:rsidP="006464F6">
            <w:pPr>
              <w:pStyle w:val="Tabletextcentred"/>
            </w:pPr>
            <w:r w:rsidRPr="006464F6">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0.197</w:t>
            </w:r>
          </w:p>
        </w:tc>
        <w:tc>
          <w:tcPr>
            <w:tcW w:w="1134" w:type="dxa"/>
          </w:tcPr>
          <w:p w:rsidR="00BC127B" w:rsidRPr="006464F6" w:rsidRDefault="00BC127B" w:rsidP="006464F6">
            <w:pPr>
              <w:pStyle w:val="Tabletextcentred"/>
            </w:pPr>
            <w:r w:rsidRPr="006464F6">
              <w:t>0.196</w:t>
            </w:r>
            <w:r w:rsidRPr="006464F6">
              <w:br/>
              <w:t>(-0.4%)</w:t>
            </w:r>
          </w:p>
        </w:tc>
        <w:tc>
          <w:tcPr>
            <w:tcW w:w="1418" w:type="dxa"/>
          </w:tcPr>
          <w:p w:rsidR="00BC127B" w:rsidRPr="006464F6" w:rsidRDefault="00BC127B" w:rsidP="006464F6">
            <w:pPr>
              <w:pStyle w:val="Tabletextcentred"/>
            </w:pPr>
            <w:r w:rsidRPr="006464F6">
              <w:t>0.195</w:t>
            </w:r>
            <w:r w:rsidRPr="006464F6">
              <w:br/>
              <w:t>(-0.6%)</w:t>
            </w:r>
          </w:p>
        </w:tc>
        <w:tc>
          <w:tcPr>
            <w:tcW w:w="1134" w:type="dxa"/>
          </w:tcPr>
          <w:p w:rsidR="00BC127B" w:rsidRPr="006464F6" w:rsidRDefault="00BC127B" w:rsidP="006464F6">
            <w:pPr>
              <w:pStyle w:val="Tabletextcentred"/>
            </w:pPr>
            <w:r w:rsidRPr="006464F6">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0.201</w:t>
            </w:r>
          </w:p>
        </w:tc>
        <w:tc>
          <w:tcPr>
            <w:tcW w:w="1134" w:type="dxa"/>
          </w:tcPr>
          <w:p w:rsidR="00BC127B" w:rsidRPr="006464F6" w:rsidRDefault="00BC127B" w:rsidP="006464F6">
            <w:pPr>
              <w:pStyle w:val="Tabletextcentred"/>
            </w:pPr>
            <w:r w:rsidRPr="006464F6">
              <w:t>0.136</w:t>
            </w:r>
            <w:r w:rsidRPr="006464F6">
              <w:br/>
              <w:t>(-32.5%)</w:t>
            </w:r>
          </w:p>
        </w:tc>
        <w:tc>
          <w:tcPr>
            <w:tcW w:w="1418" w:type="dxa"/>
          </w:tcPr>
          <w:p w:rsidR="00BC127B" w:rsidRPr="006464F6" w:rsidRDefault="00BC127B" w:rsidP="006464F6">
            <w:pPr>
              <w:pStyle w:val="Tabletextcentred"/>
            </w:pPr>
            <w:r w:rsidRPr="006464F6">
              <w:t>0.092</w:t>
            </w:r>
            <w:r w:rsidRPr="006464F6">
              <w:br/>
              <w:t>(-54.2%)</w:t>
            </w:r>
          </w:p>
        </w:tc>
        <w:tc>
          <w:tcPr>
            <w:tcW w:w="1134" w:type="dxa"/>
          </w:tcPr>
          <w:p w:rsidR="00BC127B" w:rsidRPr="006464F6" w:rsidRDefault="00BC127B" w:rsidP="006464F6">
            <w:pPr>
              <w:pStyle w:val="Tabletextcentred"/>
            </w:pPr>
            <w:r w:rsidRPr="006464F6">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0.239</w:t>
            </w:r>
          </w:p>
        </w:tc>
        <w:tc>
          <w:tcPr>
            <w:tcW w:w="1134" w:type="dxa"/>
          </w:tcPr>
          <w:p w:rsidR="00BC127B" w:rsidRPr="006464F6" w:rsidRDefault="00BC127B" w:rsidP="006464F6">
            <w:pPr>
              <w:pStyle w:val="Tabletextcentred"/>
            </w:pPr>
            <w:r w:rsidRPr="006464F6">
              <w:t>0.296</w:t>
            </w:r>
            <w:r w:rsidRPr="006464F6">
              <w:br/>
              <w:t>(+23.6%)</w:t>
            </w:r>
          </w:p>
        </w:tc>
        <w:tc>
          <w:tcPr>
            <w:tcW w:w="1418" w:type="dxa"/>
          </w:tcPr>
          <w:p w:rsidR="00BC127B" w:rsidRPr="006464F6" w:rsidRDefault="00BC127B" w:rsidP="006464F6">
            <w:pPr>
              <w:pStyle w:val="Tabletextcentred"/>
            </w:pPr>
            <w:r w:rsidRPr="006464F6">
              <w:t>0.333</w:t>
            </w:r>
            <w:r w:rsidRPr="006464F6">
              <w:br/>
              <w:t>(+39.3%)</w:t>
            </w:r>
          </w:p>
        </w:tc>
        <w:tc>
          <w:tcPr>
            <w:tcW w:w="1134" w:type="dxa"/>
          </w:tcPr>
          <w:p w:rsidR="00BC127B" w:rsidRPr="006464F6" w:rsidRDefault="00BC127B" w:rsidP="006464F6">
            <w:pPr>
              <w:pStyle w:val="Tabletextcentred"/>
            </w:pPr>
            <w:r w:rsidRPr="006464F6">
              <w:t>0.043</w:t>
            </w:r>
          </w:p>
        </w:tc>
      </w:tr>
    </w:tbl>
    <w:p w:rsidR="00BC127B" w:rsidRPr="00491481" w:rsidRDefault="00BC127B" w:rsidP="00DE0A84">
      <w:pPr>
        <w:pStyle w:val="Tabletitle"/>
      </w:pPr>
      <w:r w:rsidRPr="00491481">
        <w:t xml:space="preserve">Table </w:t>
      </w:r>
      <w:r w:rsidR="00E57C2A">
        <w:t>B.10</w:t>
      </w:r>
      <w:r w:rsidRPr="00491481">
        <w:t xml:space="preserve"> HadCM3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0.03</w:t>
            </w:r>
          </w:p>
        </w:tc>
        <w:tc>
          <w:tcPr>
            <w:tcW w:w="1134" w:type="dxa"/>
          </w:tcPr>
          <w:p w:rsidR="00BC127B" w:rsidRPr="006464F6" w:rsidRDefault="00BC127B" w:rsidP="006464F6">
            <w:pPr>
              <w:pStyle w:val="Tabletextcentred"/>
            </w:pPr>
            <w:r w:rsidRPr="006464F6">
              <w:t>0.049</w:t>
            </w:r>
            <w:r w:rsidRPr="006464F6">
              <w:br/>
              <w:t>(+60.7%)</w:t>
            </w:r>
          </w:p>
        </w:tc>
        <w:tc>
          <w:tcPr>
            <w:tcW w:w="1418" w:type="dxa"/>
          </w:tcPr>
          <w:p w:rsidR="00BC127B" w:rsidRPr="006464F6" w:rsidRDefault="00BC127B" w:rsidP="006464F6">
            <w:pPr>
              <w:pStyle w:val="Tabletextcentred"/>
            </w:pPr>
            <w:r w:rsidRPr="006464F6">
              <w:t>0.061</w:t>
            </w:r>
            <w:r w:rsidRPr="006464F6">
              <w:br/>
              <w:t>(+101.2%)</w:t>
            </w:r>
          </w:p>
        </w:tc>
        <w:tc>
          <w:tcPr>
            <w:tcW w:w="1134" w:type="dxa"/>
          </w:tcPr>
          <w:p w:rsidR="00BC127B" w:rsidRPr="006464F6" w:rsidRDefault="00BC127B" w:rsidP="006464F6">
            <w:pPr>
              <w:pStyle w:val="Tabletextcentred"/>
            </w:pPr>
            <w:r w:rsidRPr="006464F6">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0.152</w:t>
            </w:r>
          </w:p>
        </w:tc>
        <w:tc>
          <w:tcPr>
            <w:tcW w:w="1134" w:type="dxa"/>
          </w:tcPr>
          <w:p w:rsidR="00BC127B" w:rsidRPr="006464F6" w:rsidRDefault="00BC127B" w:rsidP="006464F6">
            <w:pPr>
              <w:pStyle w:val="Tabletextcentred"/>
            </w:pPr>
            <w:r w:rsidRPr="006464F6">
              <w:t>0.134</w:t>
            </w:r>
            <w:r w:rsidRPr="006464F6">
              <w:br/>
              <w:t>(-11.7%)</w:t>
            </w:r>
          </w:p>
        </w:tc>
        <w:tc>
          <w:tcPr>
            <w:tcW w:w="1418" w:type="dxa"/>
          </w:tcPr>
          <w:p w:rsidR="00BC127B" w:rsidRPr="006464F6" w:rsidRDefault="00BC127B" w:rsidP="006464F6">
            <w:pPr>
              <w:pStyle w:val="Tabletextcentred"/>
            </w:pPr>
            <w:r w:rsidRPr="006464F6">
              <w:t>0.122</w:t>
            </w:r>
            <w:r w:rsidRPr="006464F6">
              <w:br/>
              <w:t>(-19.5%)</w:t>
            </w:r>
          </w:p>
        </w:tc>
        <w:tc>
          <w:tcPr>
            <w:tcW w:w="1134" w:type="dxa"/>
          </w:tcPr>
          <w:p w:rsidR="00BC127B" w:rsidRPr="006464F6" w:rsidRDefault="00BC127B" w:rsidP="006464F6">
            <w:pPr>
              <w:pStyle w:val="Tabletextcentred"/>
            </w:pPr>
            <w:r w:rsidRPr="006464F6">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0.237</w:t>
            </w:r>
          </w:p>
        </w:tc>
        <w:tc>
          <w:tcPr>
            <w:tcW w:w="1134" w:type="dxa"/>
          </w:tcPr>
          <w:p w:rsidR="00BC127B" w:rsidRPr="006464F6" w:rsidRDefault="00BC127B" w:rsidP="006464F6">
            <w:pPr>
              <w:pStyle w:val="Tabletextcentred"/>
            </w:pPr>
            <w:r w:rsidRPr="006464F6">
              <w:t>0.212</w:t>
            </w:r>
            <w:r w:rsidRPr="006464F6">
              <w:br/>
              <w:t>(-10.7%)</w:t>
            </w:r>
          </w:p>
        </w:tc>
        <w:tc>
          <w:tcPr>
            <w:tcW w:w="1418" w:type="dxa"/>
          </w:tcPr>
          <w:p w:rsidR="00BC127B" w:rsidRPr="006464F6" w:rsidRDefault="00BC127B" w:rsidP="006464F6">
            <w:pPr>
              <w:pStyle w:val="Tabletextcentred"/>
            </w:pPr>
            <w:r w:rsidRPr="006464F6">
              <w:t>0.195</w:t>
            </w:r>
            <w:r w:rsidRPr="006464F6">
              <w:br/>
              <w:t>(-17.8%)</w:t>
            </w:r>
          </w:p>
        </w:tc>
        <w:tc>
          <w:tcPr>
            <w:tcW w:w="1134" w:type="dxa"/>
          </w:tcPr>
          <w:p w:rsidR="00BC127B" w:rsidRPr="006464F6" w:rsidRDefault="00BC127B" w:rsidP="006464F6">
            <w:pPr>
              <w:pStyle w:val="Tabletextcentred"/>
            </w:pPr>
            <w:r w:rsidRPr="006464F6">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0.232</w:t>
            </w:r>
          </w:p>
        </w:tc>
        <w:tc>
          <w:tcPr>
            <w:tcW w:w="1134" w:type="dxa"/>
          </w:tcPr>
          <w:p w:rsidR="00BC127B" w:rsidRPr="006464F6" w:rsidRDefault="00BC127B" w:rsidP="006464F6">
            <w:pPr>
              <w:pStyle w:val="Tabletextcentred"/>
            </w:pPr>
            <w:r w:rsidRPr="006464F6">
              <w:t>0.21</w:t>
            </w:r>
            <w:r w:rsidRPr="006464F6">
              <w:br/>
              <w:t>(-9.6%)</w:t>
            </w:r>
          </w:p>
        </w:tc>
        <w:tc>
          <w:tcPr>
            <w:tcW w:w="1418" w:type="dxa"/>
          </w:tcPr>
          <w:p w:rsidR="00BC127B" w:rsidRPr="006464F6" w:rsidRDefault="00BC127B" w:rsidP="006464F6">
            <w:pPr>
              <w:pStyle w:val="Tabletextcentred"/>
            </w:pPr>
            <w:r w:rsidRPr="006464F6">
              <w:t>0.195</w:t>
            </w:r>
            <w:r w:rsidRPr="006464F6">
              <w:br/>
              <w:t>(-16.0%)</w:t>
            </w:r>
          </w:p>
        </w:tc>
        <w:tc>
          <w:tcPr>
            <w:tcW w:w="1134" w:type="dxa"/>
          </w:tcPr>
          <w:p w:rsidR="00BC127B" w:rsidRPr="006464F6" w:rsidRDefault="00BC127B" w:rsidP="006464F6">
            <w:pPr>
              <w:pStyle w:val="Tabletextcentred"/>
            </w:pPr>
            <w:r w:rsidRPr="006464F6">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0.258</w:t>
            </w:r>
          </w:p>
        </w:tc>
        <w:tc>
          <w:tcPr>
            <w:tcW w:w="1134" w:type="dxa"/>
          </w:tcPr>
          <w:p w:rsidR="00BC127B" w:rsidRPr="006464F6" w:rsidRDefault="00BC127B" w:rsidP="006464F6">
            <w:pPr>
              <w:pStyle w:val="Tabletextcentred"/>
            </w:pPr>
            <w:r w:rsidRPr="006464F6">
              <w:t>0.279</w:t>
            </w:r>
            <w:r w:rsidRPr="006464F6">
              <w:br/>
              <w:t>(+8.2%)</w:t>
            </w:r>
          </w:p>
        </w:tc>
        <w:tc>
          <w:tcPr>
            <w:tcW w:w="1418" w:type="dxa"/>
          </w:tcPr>
          <w:p w:rsidR="00BC127B" w:rsidRPr="006464F6" w:rsidRDefault="00BC127B" w:rsidP="006464F6">
            <w:pPr>
              <w:pStyle w:val="Tabletextcentred"/>
            </w:pPr>
            <w:r w:rsidRPr="006464F6">
              <w:t>0.293</w:t>
            </w:r>
            <w:r w:rsidRPr="006464F6">
              <w:br/>
              <w:t>(+13.6%)</w:t>
            </w:r>
          </w:p>
        </w:tc>
        <w:tc>
          <w:tcPr>
            <w:tcW w:w="1134" w:type="dxa"/>
          </w:tcPr>
          <w:p w:rsidR="00BC127B" w:rsidRPr="006464F6" w:rsidRDefault="00BC127B" w:rsidP="006464F6">
            <w:pPr>
              <w:pStyle w:val="Tabletextcentred"/>
            </w:pPr>
            <w:r w:rsidRPr="006464F6">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0.091</w:t>
            </w:r>
          </w:p>
        </w:tc>
        <w:tc>
          <w:tcPr>
            <w:tcW w:w="1134" w:type="dxa"/>
          </w:tcPr>
          <w:p w:rsidR="00BC127B" w:rsidRPr="006464F6" w:rsidRDefault="00BC127B" w:rsidP="006464F6">
            <w:pPr>
              <w:pStyle w:val="Tabletextcentred"/>
            </w:pPr>
            <w:r w:rsidRPr="006464F6">
              <w:t>0.102</w:t>
            </w:r>
            <w:r w:rsidRPr="006464F6">
              <w:br/>
              <w:t>(+12.4%)</w:t>
            </w:r>
          </w:p>
        </w:tc>
        <w:tc>
          <w:tcPr>
            <w:tcW w:w="1418" w:type="dxa"/>
          </w:tcPr>
          <w:p w:rsidR="00BC127B" w:rsidRPr="006464F6" w:rsidRDefault="00BC127B" w:rsidP="006464F6">
            <w:pPr>
              <w:pStyle w:val="Tabletextcentred"/>
            </w:pPr>
            <w:r w:rsidRPr="006464F6">
              <w:t>0.11</w:t>
            </w:r>
            <w:r w:rsidRPr="006464F6">
              <w:br/>
              <w:t>(+20.7%)</w:t>
            </w:r>
          </w:p>
        </w:tc>
        <w:tc>
          <w:tcPr>
            <w:tcW w:w="1134" w:type="dxa"/>
          </w:tcPr>
          <w:p w:rsidR="00BC127B" w:rsidRPr="006464F6" w:rsidRDefault="00BC127B" w:rsidP="006464F6">
            <w:pPr>
              <w:pStyle w:val="Tabletextcentred"/>
            </w:pPr>
            <w:r w:rsidRPr="006464F6">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w:t>
            </w:r>
          </w:p>
        </w:tc>
        <w:tc>
          <w:tcPr>
            <w:tcW w:w="1134" w:type="dxa"/>
          </w:tcPr>
          <w:p w:rsidR="00BC127B" w:rsidRPr="006464F6" w:rsidRDefault="00BC127B" w:rsidP="006464F6">
            <w:pPr>
              <w:pStyle w:val="Tabletextcentred"/>
            </w:pPr>
            <w:r w:rsidRPr="006464F6">
              <w:t>0.015</w:t>
            </w:r>
            <w:r w:rsidRPr="006464F6">
              <w:br/>
              <w:t>(0.0%)</w:t>
            </w:r>
          </w:p>
        </w:tc>
        <w:tc>
          <w:tcPr>
            <w:tcW w:w="1418" w:type="dxa"/>
          </w:tcPr>
          <w:p w:rsidR="00BC127B" w:rsidRPr="006464F6" w:rsidRDefault="00BC127B" w:rsidP="006464F6">
            <w:pPr>
              <w:pStyle w:val="Tabletextcentred"/>
            </w:pPr>
            <w:r w:rsidRPr="006464F6">
              <w:t>0.024</w:t>
            </w:r>
            <w:r w:rsidRPr="006464F6">
              <w:br/>
              <w:t>(0.0%)</w:t>
            </w:r>
          </w:p>
        </w:tc>
        <w:tc>
          <w:tcPr>
            <w:tcW w:w="1134" w:type="dxa"/>
          </w:tcPr>
          <w:p w:rsidR="00BC127B" w:rsidRPr="006464F6" w:rsidRDefault="00BC127B" w:rsidP="006464F6">
            <w:pPr>
              <w:pStyle w:val="Tabletextcentred"/>
            </w:pPr>
            <w:r w:rsidRPr="006464F6">
              <w:t>0.043</w:t>
            </w:r>
          </w:p>
        </w:tc>
      </w:tr>
    </w:tbl>
    <w:p w:rsidR="00BC127B" w:rsidRPr="00491481" w:rsidRDefault="00BC127B" w:rsidP="00DE0A84">
      <w:pPr>
        <w:pStyle w:val="Tabletitle"/>
      </w:pPr>
      <w:r>
        <w:br w:type="page"/>
      </w:r>
      <w:r w:rsidRPr="00491481">
        <w:lastRenderedPageBreak/>
        <w:t xml:space="preserve">Table </w:t>
      </w:r>
      <w:r w:rsidR="00E57C2A">
        <w:t>B.11</w:t>
      </w:r>
      <w:r w:rsidRPr="00491481">
        <w:t xml:space="preserve"> MIROC 3.2 southern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0.125</w:t>
            </w:r>
          </w:p>
        </w:tc>
        <w:tc>
          <w:tcPr>
            <w:tcW w:w="1134" w:type="dxa"/>
          </w:tcPr>
          <w:p w:rsidR="00BC127B" w:rsidRPr="006464F6" w:rsidRDefault="00BC127B" w:rsidP="006464F6">
            <w:pPr>
              <w:pStyle w:val="Tabletextcentred"/>
            </w:pPr>
            <w:r w:rsidRPr="006464F6">
              <w:t>0.127</w:t>
            </w:r>
            <w:r w:rsidRPr="006464F6">
              <w:br/>
              <w:t>(+1.9%)</w:t>
            </w:r>
          </w:p>
        </w:tc>
        <w:tc>
          <w:tcPr>
            <w:tcW w:w="1418" w:type="dxa"/>
          </w:tcPr>
          <w:p w:rsidR="00BC127B" w:rsidRPr="006464F6" w:rsidRDefault="00BC127B" w:rsidP="006464F6">
            <w:pPr>
              <w:pStyle w:val="Tabletextcentred"/>
            </w:pPr>
            <w:r w:rsidRPr="006464F6">
              <w:t>0.129</w:t>
            </w:r>
            <w:r w:rsidRPr="006464F6">
              <w:br/>
              <w:t>(+3.2%)</w:t>
            </w:r>
          </w:p>
        </w:tc>
        <w:tc>
          <w:tcPr>
            <w:tcW w:w="1134" w:type="dxa"/>
          </w:tcPr>
          <w:p w:rsidR="00BC127B" w:rsidRPr="006464F6" w:rsidRDefault="00BC127B" w:rsidP="006464F6">
            <w:pPr>
              <w:pStyle w:val="Tabletextcentred"/>
            </w:pPr>
            <w:r w:rsidRPr="006464F6">
              <w:t>0.025</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0.132</w:t>
            </w:r>
          </w:p>
        </w:tc>
        <w:tc>
          <w:tcPr>
            <w:tcW w:w="1134" w:type="dxa"/>
          </w:tcPr>
          <w:p w:rsidR="00BC127B" w:rsidRPr="006464F6" w:rsidRDefault="00BC127B" w:rsidP="006464F6">
            <w:pPr>
              <w:pStyle w:val="Tabletextcentred"/>
            </w:pPr>
            <w:r w:rsidRPr="006464F6">
              <w:t>0.15</w:t>
            </w:r>
            <w:r w:rsidRPr="006464F6">
              <w:br/>
              <w:t>(+13.3%)</w:t>
            </w:r>
          </w:p>
        </w:tc>
        <w:tc>
          <w:tcPr>
            <w:tcW w:w="1418" w:type="dxa"/>
          </w:tcPr>
          <w:p w:rsidR="00BC127B" w:rsidRPr="006464F6" w:rsidRDefault="00BC127B" w:rsidP="006464F6">
            <w:pPr>
              <w:pStyle w:val="Tabletextcentred"/>
            </w:pPr>
            <w:r w:rsidRPr="006464F6">
              <w:t>0.161</w:t>
            </w:r>
            <w:r w:rsidRPr="006464F6">
              <w:br/>
              <w:t>(+22.2%)</w:t>
            </w:r>
          </w:p>
        </w:tc>
        <w:tc>
          <w:tcPr>
            <w:tcW w:w="1134" w:type="dxa"/>
          </w:tcPr>
          <w:p w:rsidR="00BC127B" w:rsidRPr="006464F6" w:rsidRDefault="00BC127B" w:rsidP="006464F6">
            <w:pPr>
              <w:pStyle w:val="Tabletextcentred"/>
            </w:pPr>
            <w:r w:rsidRPr="006464F6">
              <w:t>0.085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0.153</w:t>
            </w:r>
          </w:p>
        </w:tc>
        <w:tc>
          <w:tcPr>
            <w:tcW w:w="1134" w:type="dxa"/>
          </w:tcPr>
          <w:p w:rsidR="00BC127B" w:rsidRPr="006464F6" w:rsidRDefault="00BC127B" w:rsidP="006464F6">
            <w:pPr>
              <w:pStyle w:val="Tabletextcentred"/>
            </w:pPr>
            <w:r w:rsidRPr="006464F6">
              <w:t>0.119</w:t>
            </w:r>
            <w:r w:rsidRPr="006464F6">
              <w:br/>
              <w:t>(-22.0%)</w:t>
            </w:r>
          </w:p>
        </w:tc>
        <w:tc>
          <w:tcPr>
            <w:tcW w:w="1418" w:type="dxa"/>
          </w:tcPr>
          <w:p w:rsidR="00BC127B" w:rsidRPr="006464F6" w:rsidRDefault="00BC127B" w:rsidP="006464F6">
            <w:pPr>
              <w:pStyle w:val="Tabletextcentred"/>
            </w:pPr>
            <w:r w:rsidRPr="006464F6">
              <w:t>0.097</w:t>
            </w:r>
            <w:r w:rsidRPr="006464F6">
              <w:br/>
              <w:t>(-36.7%)</w:t>
            </w:r>
          </w:p>
        </w:tc>
        <w:tc>
          <w:tcPr>
            <w:tcW w:w="1134" w:type="dxa"/>
          </w:tcPr>
          <w:p w:rsidR="00BC127B" w:rsidRPr="006464F6" w:rsidRDefault="00BC127B" w:rsidP="006464F6">
            <w:pPr>
              <w:pStyle w:val="Tabletextcentred"/>
            </w:pPr>
            <w:r w:rsidRPr="006464F6">
              <w:t>0.128</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0.208</w:t>
            </w:r>
          </w:p>
        </w:tc>
        <w:tc>
          <w:tcPr>
            <w:tcW w:w="1134" w:type="dxa"/>
          </w:tcPr>
          <w:p w:rsidR="00BC127B" w:rsidRPr="006464F6" w:rsidRDefault="00BC127B" w:rsidP="006464F6">
            <w:pPr>
              <w:pStyle w:val="Tabletextcentred"/>
            </w:pPr>
            <w:r w:rsidRPr="006464F6">
              <w:t>0.277</w:t>
            </w:r>
            <w:r w:rsidRPr="006464F6">
              <w:br/>
              <w:t>(+32.9%)</w:t>
            </w:r>
          </w:p>
        </w:tc>
        <w:tc>
          <w:tcPr>
            <w:tcW w:w="1418" w:type="dxa"/>
          </w:tcPr>
          <w:p w:rsidR="00BC127B" w:rsidRPr="006464F6" w:rsidRDefault="00BC127B" w:rsidP="006464F6">
            <w:pPr>
              <w:pStyle w:val="Tabletextcentred"/>
            </w:pPr>
            <w:r w:rsidRPr="006464F6">
              <w:t>0.323</w:t>
            </w:r>
            <w:r w:rsidRPr="006464F6">
              <w:br/>
              <w:t>(+54.8%)</w:t>
            </w:r>
          </w:p>
        </w:tc>
        <w:tc>
          <w:tcPr>
            <w:tcW w:w="1134" w:type="dxa"/>
          </w:tcPr>
          <w:p w:rsidR="00BC127B" w:rsidRPr="006464F6" w:rsidRDefault="00BC127B" w:rsidP="006464F6">
            <w:pPr>
              <w:pStyle w:val="Tabletextcentred"/>
            </w:pPr>
            <w:r w:rsidRPr="006464F6">
              <w:t>0.172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0.299</w:t>
            </w:r>
          </w:p>
        </w:tc>
        <w:tc>
          <w:tcPr>
            <w:tcW w:w="1134" w:type="dxa"/>
          </w:tcPr>
          <w:p w:rsidR="00BC127B" w:rsidRPr="006464F6" w:rsidRDefault="00BC127B" w:rsidP="006464F6">
            <w:pPr>
              <w:pStyle w:val="Tabletextcentred"/>
            </w:pPr>
            <w:r w:rsidRPr="006464F6">
              <w:t>0.216</w:t>
            </w:r>
            <w:r w:rsidRPr="006464F6">
              <w:br/>
              <w:t>(-27.6%)</w:t>
            </w:r>
          </w:p>
        </w:tc>
        <w:tc>
          <w:tcPr>
            <w:tcW w:w="1418" w:type="dxa"/>
          </w:tcPr>
          <w:p w:rsidR="00BC127B" w:rsidRPr="006464F6" w:rsidRDefault="00BC127B" w:rsidP="006464F6">
            <w:pPr>
              <w:pStyle w:val="Tabletextcentred"/>
            </w:pPr>
            <w:r w:rsidRPr="006464F6">
              <w:t>0.161</w:t>
            </w:r>
            <w:r w:rsidRPr="006464F6">
              <w:br/>
              <w:t>(-46.0%)</w:t>
            </w:r>
          </w:p>
        </w:tc>
        <w:tc>
          <w:tcPr>
            <w:tcW w:w="1134" w:type="dxa"/>
          </w:tcPr>
          <w:p w:rsidR="00BC127B" w:rsidRPr="006464F6" w:rsidRDefault="00BC127B" w:rsidP="006464F6">
            <w:pPr>
              <w:pStyle w:val="Tabletextcentred"/>
            </w:pPr>
            <w:r w:rsidRPr="006464F6">
              <w:t>0.403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0.083</w:t>
            </w:r>
          </w:p>
        </w:tc>
        <w:tc>
          <w:tcPr>
            <w:tcW w:w="1134" w:type="dxa"/>
          </w:tcPr>
          <w:p w:rsidR="00BC127B" w:rsidRPr="006464F6" w:rsidRDefault="00BC127B" w:rsidP="006464F6">
            <w:pPr>
              <w:pStyle w:val="Tabletextcentred"/>
            </w:pPr>
            <w:r w:rsidRPr="006464F6">
              <w:t>0.072</w:t>
            </w:r>
            <w:r w:rsidRPr="006464F6">
              <w:br/>
              <w:t>(-13.5%)</w:t>
            </w:r>
          </w:p>
        </w:tc>
        <w:tc>
          <w:tcPr>
            <w:tcW w:w="1418" w:type="dxa"/>
          </w:tcPr>
          <w:p w:rsidR="00BC127B" w:rsidRPr="006464F6" w:rsidRDefault="00BC127B" w:rsidP="006464F6">
            <w:pPr>
              <w:pStyle w:val="Tabletextcentred"/>
            </w:pPr>
            <w:r w:rsidRPr="006464F6">
              <w:t>0.065</w:t>
            </w:r>
            <w:r w:rsidRPr="006464F6">
              <w:br/>
              <w:t>(-22.6%)</w:t>
            </w:r>
          </w:p>
        </w:tc>
        <w:tc>
          <w:tcPr>
            <w:tcW w:w="1134" w:type="dxa"/>
          </w:tcPr>
          <w:p w:rsidR="00BC127B" w:rsidRPr="006464F6" w:rsidRDefault="00BC127B" w:rsidP="006464F6">
            <w:pPr>
              <w:pStyle w:val="Tabletextcentred"/>
            </w:pPr>
            <w:r w:rsidRPr="006464F6">
              <w:t>0.145</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w:t>
            </w:r>
          </w:p>
        </w:tc>
        <w:tc>
          <w:tcPr>
            <w:tcW w:w="1134" w:type="dxa"/>
          </w:tcPr>
          <w:p w:rsidR="00BC127B" w:rsidRPr="006464F6" w:rsidRDefault="00BC127B" w:rsidP="006464F6">
            <w:pPr>
              <w:pStyle w:val="Tabletextcentred"/>
            </w:pPr>
            <w:r w:rsidRPr="006464F6">
              <w:t>0.039</w:t>
            </w:r>
            <w:r w:rsidRPr="006464F6">
              <w:br/>
              <w:t>(0.0%)</w:t>
            </w:r>
          </w:p>
        </w:tc>
        <w:tc>
          <w:tcPr>
            <w:tcW w:w="1418" w:type="dxa"/>
          </w:tcPr>
          <w:p w:rsidR="00BC127B" w:rsidRPr="006464F6" w:rsidRDefault="00BC127B" w:rsidP="006464F6">
            <w:pPr>
              <w:pStyle w:val="Tabletextcentred"/>
            </w:pPr>
            <w:r w:rsidRPr="006464F6">
              <w:t>0.065</w:t>
            </w:r>
            <w:r w:rsidRPr="006464F6">
              <w:br/>
              <w:t>(0.0%)</w:t>
            </w:r>
          </w:p>
        </w:tc>
        <w:tc>
          <w:tcPr>
            <w:tcW w:w="1134" w:type="dxa"/>
          </w:tcPr>
          <w:p w:rsidR="00BC127B" w:rsidRPr="006464F6" w:rsidRDefault="00BC127B" w:rsidP="006464F6">
            <w:pPr>
              <w:pStyle w:val="Tabletextcentred"/>
            </w:pPr>
            <w:r w:rsidRPr="006464F6">
              <w:t>0.043</w:t>
            </w:r>
          </w:p>
        </w:tc>
      </w:tr>
    </w:tbl>
    <w:p w:rsidR="00BC127B" w:rsidRDefault="00BC127B" w:rsidP="00E57C2A">
      <w:pPr>
        <w:pStyle w:val="Headingappendix2"/>
      </w:pPr>
      <w:bookmarkStart w:id="81" w:name="_Toc356827209"/>
      <w:bookmarkStart w:id="82" w:name="_Toc357065187"/>
      <w:bookmarkStart w:id="83" w:name="_Toc361914698"/>
      <w:r>
        <w:t>Northern hemisphere domain</w:t>
      </w:r>
      <w:bookmarkEnd w:id="81"/>
      <w:bookmarkEnd w:id="82"/>
      <w:bookmarkEnd w:id="83"/>
    </w:p>
    <w:p w:rsidR="00BC127B" w:rsidRPr="00491481" w:rsidRDefault="00BC127B" w:rsidP="00DE0A84">
      <w:pPr>
        <w:pStyle w:val="Tabletitle"/>
      </w:pPr>
      <w:r w:rsidRPr="00491481">
        <w:t xml:space="preserve">Table </w:t>
      </w:r>
      <w:r w:rsidR="00E57C2A">
        <w:t>B.12</w:t>
      </w:r>
      <w:r w:rsidRPr="00491481">
        <w:t xml:space="preserve"> ACCESS 1.0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0.155</w:t>
            </w:r>
          </w:p>
        </w:tc>
        <w:tc>
          <w:tcPr>
            <w:tcW w:w="1134" w:type="dxa"/>
          </w:tcPr>
          <w:p w:rsidR="00BC127B" w:rsidRPr="006464F6" w:rsidRDefault="00BC127B" w:rsidP="006464F6">
            <w:pPr>
              <w:pStyle w:val="Tabletextcentred"/>
            </w:pPr>
            <w:r w:rsidRPr="006464F6">
              <w:t>0.127</w:t>
            </w:r>
            <w:r w:rsidRPr="006464F6">
              <w:br/>
              <w:t>(-18.2%)</w:t>
            </w:r>
          </w:p>
        </w:tc>
        <w:tc>
          <w:tcPr>
            <w:tcW w:w="1418" w:type="dxa"/>
          </w:tcPr>
          <w:p w:rsidR="00BC127B" w:rsidRPr="006464F6" w:rsidRDefault="00BC127B" w:rsidP="006464F6">
            <w:pPr>
              <w:pStyle w:val="Tabletextcentred"/>
            </w:pPr>
            <w:r w:rsidRPr="006464F6">
              <w:t>0.108</w:t>
            </w:r>
            <w:r w:rsidRPr="006464F6">
              <w:br/>
              <w:t>(-30.4%)</w:t>
            </w:r>
          </w:p>
        </w:tc>
        <w:tc>
          <w:tcPr>
            <w:tcW w:w="1134" w:type="dxa"/>
          </w:tcPr>
          <w:p w:rsidR="00BC127B" w:rsidRPr="006464F6" w:rsidRDefault="00BC127B" w:rsidP="006464F6">
            <w:pPr>
              <w:pStyle w:val="Tabletextcentred"/>
            </w:pPr>
            <w:r w:rsidRPr="006464F6">
              <w:t>0.074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0.152</w:t>
            </w:r>
          </w:p>
        </w:tc>
        <w:tc>
          <w:tcPr>
            <w:tcW w:w="1134" w:type="dxa"/>
          </w:tcPr>
          <w:p w:rsidR="00BC127B" w:rsidRPr="006464F6" w:rsidRDefault="00BC127B" w:rsidP="006464F6">
            <w:pPr>
              <w:pStyle w:val="Tabletextcentred"/>
            </w:pPr>
            <w:r w:rsidRPr="006464F6">
              <w:t>0.125</w:t>
            </w:r>
            <w:r w:rsidRPr="006464F6">
              <w:br/>
              <w:t>(-17.2%)</w:t>
            </w:r>
          </w:p>
        </w:tc>
        <w:tc>
          <w:tcPr>
            <w:tcW w:w="1418" w:type="dxa"/>
          </w:tcPr>
          <w:p w:rsidR="00BC127B" w:rsidRPr="006464F6" w:rsidRDefault="00BC127B" w:rsidP="006464F6">
            <w:pPr>
              <w:pStyle w:val="Tabletextcentred"/>
            </w:pPr>
            <w:r w:rsidRPr="006464F6">
              <w:t>0.108</w:t>
            </w:r>
            <w:r w:rsidRPr="006464F6">
              <w:br/>
              <w:t>(-28.6%)</w:t>
            </w:r>
          </w:p>
        </w:tc>
        <w:tc>
          <w:tcPr>
            <w:tcW w:w="1134" w:type="dxa"/>
          </w:tcPr>
          <w:p w:rsidR="00BC127B" w:rsidRPr="006464F6" w:rsidRDefault="00BC127B" w:rsidP="006464F6">
            <w:pPr>
              <w:pStyle w:val="Tabletextcentred"/>
            </w:pPr>
            <w:r w:rsidRPr="006464F6">
              <w:t>0.142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0.205</w:t>
            </w:r>
          </w:p>
        </w:tc>
        <w:tc>
          <w:tcPr>
            <w:tcW w:w="1134" w:type="dxa"/>
          </w:tcPr>
          <w:p w:rsidR="00BC127B" w:rsidRPr="006464F6" w:rsidRDefault="00BC127B" w:rsidP="006464F6">
            <w:pPr>
              <w:pStyle w:val="Tabletextcentred"/>
            </w:pPr>
            <w:r w:rsidRPr="006464F6">
              <w:t>0.15</w:t>
            </w:r>
            <w:r w:rsidRPr="006464F6">
              <w:br/>
              <w:t>(-26.8%)</w:t>
            </w:r>
          </w:p>
        </w:tc>
        <w:tc>
          <w:tcPr>
            <w:tcW w:w="1418" w:type="dxa"/>
          </w:tcPr>
          <w:p w:rsidR="00BC127B" w:rsidRPr="006464F6" w:rsidRDefault="00BC127B" w:rsidP="006464F6">
            <w:pPr>
              <w:pStyle w:val="Tabletextcentred"/>
            </w:pPr>
            <w:r w:rsidRPr="006464F6">
              <w:t>0.113</w:t>
            </w:r>
            <w:r w:rsidRPr="006464F6">
              <w:br/>
              <w:t>(-44.7%)</w:t>
            </w:r>
          </w:p>
        </w:tc>
        <w:tc>
          <w:tcPr>
            <w:tcW w:w="1134" w:type="dxa"/>
          </w:tcPr>
          <w:p w:rsidR="00BC127B" w:rsidRPr="006464F6" w:rsidRDefault="00BC127B" w:rsidP="006464F6">
            <w:pPr>
              <w:pStyle w:val="Tabletextcentred"/>
            </w:pPr>
            <w:r w:rsidRPr="006464F6">
              <w:t>0.151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0.106</w:t>
            </w:r>
          </w:p>
        </w:tc>
        <w:tc>
          <w:tcPr>
            <w:tcW w:w="1134" w:type="dxa"/>
          </w:tcPr>
          <w:p w:rsidR="00BC127B" w:rsidRPr="006464F6" w:rsidRDefault="00BC127B" w:rsidP="006464F6">
            <w:pPr>
              <w:pStyle w:val="Tabletextcentred"/>
            </w:pPr>
            <w:r w:rsidRPr="006464F6">
              <w:t>0.132</w:t>
            </w:r>
            <w:r w:rsidRPr="006464F6">
              <w:br/>
              <w:t>(+24.8%)</w:t>
            </w:r>
          </w:p>
        </w:tc>
        <w:tc>
          <w:tcPr>
            <w:tcW w:w="1418" w:type="dxa"/>
          </w:tcPr>
          <w:p w:rsidR="00BC127B" w:rsidRPr="006464F6" w:rsidRDefault="00BC127B" w:rsidP="006464F6">
            <w:pPr>
              <w:pStyle w:val="Tabletextcentred"/>
            </w:pPr>
            <w:r w:rsidRPr="006464F6">
              <w:t>0.15</w:t>
            </w:r>
            <w:r w:rsidRPr="006464F6">
              <w:br/>
              <w:t>(+41.3%)</w:t>
            </w:r>
          </w:p>
        </w:tc>
        <w:tc>
          <w:tcPr>
            <w:tcW w:w="1134" w:type="dxa"/>
          </w:tcPr>
          <w:p w:rsidR="00BC127B" w:rsidRPr="006464F6" w:rsidRDefault="00BC127B" w:rsidP="006464F6">
            <w:pPr>
              <w:pStyle w:val="Tabletextcentred"/>
            </w:pPr>
            <w:r w:rsidRPr="006464F6">
              <w:t>0.138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0.148</w:t>
            </w:r>
          </w:p>
        </w:tc>
        <w:tc>
          <w:tcPr>
            <w:tcW w:w="1134" w:type="dxa"/>
          </w:tcPr>
          <w:p w:rsidR="00BC127B" w:rsidRPr="006464F6" w:rsidRDefault="00BC127B" w:rsidP="006464F6">
            <w:pPr>
              <w:pStyle w:val="Tabletextcentred"/>
            </w:pPr>
            <w:r w:rsidRPr="006464F6">
              <w:t>0.167</w:t>
            </w:r>
            <w:r w:rsidRPr="006464F6">
              <w:br/>
              <w:t>(+12.8%)</w:t>
            </w:r>
          </w:p>
        </w:tc>
        <w:tc>
          <w:tcPr>
            <w:tcW w:w="1418" w:type="dxa"/>
          </w:tcPr>
          <w:p w:rsidR="00BC127B" w:rsidRPr="006464F6" w:rsidRDefault="00BC127B" w:rsidP="006464F6">
            <w:pPr>
              <w:pStyle w:val="Tabletextcentred"/>
            </w:pPr>
            <w:r w:rsidRPr="006464F6">
              <w:t>0.179</w:t>
            </w:r>
            <w:r w:rsidRPr="006464F6">
              <w:br/>
              <w:t>(+21.4%)</w:t>
            </w:r>
          </w:p>
        </w:tc>
        <w:tc>
          <w:tcPr>
            <w:tcW w:w="1134" w:type="dxa"/>
          </w:tcPr>
          <w:p w:rsidR="00BC127B" w:rsidRPr="006464F6" w:rsidRDefault="00BC127B" w:rsidP="006464F6">
            <w:pPr>
              <w:pStyle w:val="Tabletextcentred"/>
            </w:pPr>
            <w:r w:rsidRPr="006464F6">
              <w:t>0.253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0.208</w:t>
            </w:r>
          </w:p>
        </w:tc>
        <w:tc>
          <w:tcPr>
            <w:tcW w:w="1134" w:type="dxa"/>
          </w:tcPr>
          <w:p w:rsidR="00BC127B" w:rsidRPr="006464F6" w:rsidRDefault="00BC127B" w:rsidP="006464F6">
            <w:pPr>
              <w:pStyle w:val="Tabletextcentred"/>
            </w:pPr>
            <w:r w:rsidRPr="006464F6">
              <w:t>0.234</w:t>
            </w:r>
            <w:r w:rsidRPr="006464F6">
              <w:br/>
              <w:t>(+12.2%)</w:t>
            </w:r>
          </w:p>
        </w:tc>
        <w:tc>
          <w:tcPr>
            <w:tcW w:w="1418" w:type="dxa"/>
          </w:tcPr>
          <w:p w:rsidR="00BC127B" w:rsidRPr="006464F6" w:rsidRDefault="00BC127B" w:rsidP="006464F6">
            <w:pPr>
              <w:pStyle w:val="Tabletextcentred"/>
            </w:pPr>
            <w:r w:rsidRPr="006464F6">
              <w:t>0.251</w:t>
            </w:r>
            <w:r w:rsidRPr="006464F6">
              <w:br/>
              <w:t>(+20.3%)</w:t>
            </w:r>
          </w:p>
        </w:tc>
        <w:tc>
          <w:tcPr>
            <w:tcW w:w="1134" w:type="dxa"/>
          </w:tcPr>
          <w:p w:rsidR="00BC127B" w:rsidRPr="006464F6" w:rsidRDefault="00BC127B" w:rsidP="006464F6">
            <w:pPr>
              <w:pStyle w:val="Tabletextcentred"/>
            </w:pPr>
            <w:r w:rsidRPr="006464F6">
              <w:t>0.154</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0.027</w:t>
            </w:r>
          </w:p>
        </w:tc>
        <w:tc>
          <w:tcPr>
            <w:tcW w:w="1134" w:type="dxa"/>
          </w:tcPr>
          <w:p w:rsidR="00BC127B" w:rsidRPr="006464F6" w:rsidRDefault="00BC127B" w:rsidP="006464F6">
            <w:pPr>
              <w:pStyle w:val="Tabletextcentred"/>
            </w:pPr>
            <w:r w:rsidRPr="006464F6">
              <w:t>0.065</w:t>
            </w:r>
            <w:r w:rsidRPr="006464F6">
              <w:br/>
              <w:t>(+145.7%)</w:t>
            </w:r>
          </w:p>
        </w:tc>
        <w:tc>
          <w:tcPr>
            <w:tcW w:w="1418" w:type="dxa"/>
          </w:tcPr>
          <w:p w:rsidR="00BC127B" w:rsidRPr="006464F6" w:rsidRDefault="00BC127B" w:rsidP="006464F6">
            <w:pPr>
              <w:pStyle w:val="Tabletextcentred"/>
            </w:pPr>
            <w:r w:rsidRPr="006464F6">
              <w:t>0.091</w:t>
            </w:r>
            <w:r w:rsidRPr="006464F6">
              <w:br/>
              <w:t>(+242.9%)</w:t>
            </w:r>
          </w:p>
        </w:tc>
        <w:tc>
          <w:tcPr>
            <w:tcW w:w="1134" w:type="dxa"/>
          </w:tcPr>
          <w:p w:rsidR="00BC127B" w:rsidRPr="006464F6" w:rsidRDefault="00BC127B" w:rsidP="006464F6">
            <w:pPr>
              <w:pStyle w:val="Tabletextcentred"/>
            </w:pPr>
            <w:r w:rsidRPr="006464F6">
              <w:t>0.089</w:t>
            </w:r>
          </w:p>
        </w:tc>
      </w:tr>
    </w:tbl>
    <w:p w:rsidR="00BC127B" w:rsidRPr="000733E9" w:rsidRDefault="00BC127B" w:rsidP="00DE0A84">
      <w:pPr>
        <w:pStyle w:val="Tabletitle"/>
      </w:pPr>
      <w:r>
        <w:br w:type="page"/>
      </w:r>
      <w:r w:rsidRPr="000733E9">
        <w:lastRenderedPageBreak/>
        <w:t xml:space="preserve">Table </w:t>
      </w:r>
      <w:r w:rsidR="00E57C2A">
        <w:t>B.13</w:t>
      </w:r>
      <w:r w:rsidRPr="000733E9">
        <w:t xml:space="preserve"> </w:t>
      </w:r>
      <w:proofErr w:type="spellStart"/>
      <w:r w:rsidRPr="000733E9">
        <w:t>CanESM</w:t>
      </w:r>
      <w:proofErr w:type="spellEnd"/>
      <w:r w:rsidRPr="000733E9">
        <w:t xml:space="preserve"> 2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0.08</w:t>
            </w:r>
          </w:p>
        </w:tc>
        <w:tc>
          <w:tcPr>
            <w:tcW w:w="1134" w:type="dxa"/>
          </w:tcPr>
          <w:p w:rsidR="00BC127B" w:rsidRPr="006464F6" w:rsidRDefault="00BC127B" w:rsidP="006464F6">
            <w:pPr>
              <w:pStyle w:val="Tabletextcentred"/>
            </w:pPr>
            <w:r w:rsidRPr="006464F6">
              <w:t>0.112</w:t>
            </w:r>
            <w:r w:rsidRPr="006464F6">
              <w:br/>
              <w:t>(+40.8%)</w:t>
            </w:r>
          </w:p>
        </w:tc>
        <w:tc>
          <w:tcPr>
            <w:tcW w:w="1418" w:type="dxa"/>
          </w:tcPr>
          <w:p w:rsidR="00BC127B" w:rsidRPr="006464F6" w:rsidRDefault="00BC127B" w:rsidP="006464F6">
            <w:pPr>
              <w:pStyle w:val="Tabletextcentred"/>
            </w:pPr>
            <w:r w:rsidRPr="006464F6">
              <w:t>0.134</w:t>
            </w:r>
            <w:r w:rsidRPr="006464F6">
              <w:br/>
              <w:t>(+67.9%)</w:t>
            </w:r>
          </w:p>
        </w:tc>
        <w:tc>
          <w:tcPr>
            <w:tcW w:w="1134" w:type="dxa"/>
          </w:tcPr>
          <w:p w:rsidR="00BC127B" w:rsidRPr="006464F6" w:rsidRDefault="00BC127B" w:rsidP="006464F6">
            <w:pPr>
              <w:pStyle w:val="Tabletextcentred"/>
            </w:pPr>
            <w:r w:rsidRPr="006464F6">
              <w:t>0.074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0.168</w:t>
            </w:r>
          </w:p>
        </w:tc>
        <w:tc>
          <w:tcPr>
            <w:tcW w:w="1134" w:type="dxa"/>
          </w:tcPr>
          <w:p w:rsidR="00BC127B" w:rsidRPr="006464F6" w:rsidRDefault="00BC127B" w:rsidP="006464F6">
            <w:pPr>
              <w:pStyle w:val="Tabletextcentred"/>
            </w:pPr>
            <w:r w:rsidRPr="006464F6">
              <w:t>0.178</w:t>
            </w:r>
            <w:r w:rsidRPr="006464F6">
              <w:br/>
              <w:t>(+6.3%)</w:t>
            </w:r>
          </w:p>
        </w:tc>
        <w:tc>
          <w:tcPr>
            <w:tcW w:w="1418" w:type="dxa"/>
          </w:tcPr>
          <w:p w:rsidR="00BC127B" w:rsidRPr="006464F6" w:rsidRDefault="00BC127B" w:rsidP="006464F6">
            <w:pPr>
              <w:pStyle w:val="Tabletextcentred"/>
            </w:pPr>
            <w:r w:rsidRPr="006464F6">
              <w:t>0.185</w:t>
            </w:r>
            <w:r w:rsidRPr="006464F6">
              <w:br/>
              <w:t>(+10.5%)</w:t>
            </w:r>
          </w:p>
        </w:tc>
        <w:tc>
          <w:tcPr>
            <w:tcW w:w="1134" w:type="dxa"/>
          </w:tcPr>
          <w:p w:rsidR="00BC127B" w:rsidRPr="006464F6" w:rsidRDefault="00BC127B" w:rsidP="006464F6">
            <w:pPr>
              <w:pStyle w:val="Tabletextcentred"/>
            </w:pPr>
            <w:r w:rsidRPr="006464F6">
              <w:t>0.142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0.191</w:t>
            </w:r>
          </w:p>
        </w:tc>
        <w:tc>
          <w:tcPr>
            <w:tcW w:w="1134" w:type="dxa"/>
          </w:tcPr>
          <w:p w:rsidR="00BC127B" w:rsidRPr="006464F6" w:rsidRDefault="00BC127B" w:rsidP="006464F6">
            <w:pPr>
              <w:pStyle w:val="Tabletextcentred"/>
            </w:pPr>
            <w:r w:rsidRPr="006464F6">
              <w:t>0.18</w:t>
            </w:r>
            <w:r w:rsidRPr="006464F6">
              <w:br/>
              <w:t>(-6.0%)</w:t>
            </w:r>
          </w:p>
        </w:tc>
        <w:tc>
          <w:tcPr>
            <w:tcW w:w="1418" w:type="dxa"/>
          </w:tcPr>
          <w:p w:rsidR="00BC127B" w:rsidRPr="006464F6" w:rsidRDefault="00BC127B" w:rsidP="006464F6">
            <w:pPr>
              <w:pStyle w:val="Tabletextcentred"/>
            </w:pPr>
            <w:r w:rsidRPr="006464F6">
              <w:t>0.172</w:t>
            </w:r>
            <w:r w:rsidRPr="006464F6">
              <w:br/>
              <w:t>(-9.9%)</w:t>
            </w:r>
          </w:p>
        </w:tc>
        <w:tc>
          <w:tcPr>
            <w:tcW w:w="1134" w:type="dxa"/>
          </w:tcPr>
          <w:p w:rsidR="00BC127B" w:rsidRPr="006464F6" w:rsidRDefault="00BC127B" w:rsidP="006464F6">
            <w:pPr>
              <w:pStyle w:val="Tabletextcentred"/>
            </w:pPr>
            <w:r w:rsidRPr="006464F6">
              <w:t>0.151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0.174</w:t>
            </w:r>
          </w:p>
        </w:tc>
        <w:tc>
          <w:tcPr>
            <w:tcW w:w="1134" w:type="dxa"/>
          </w:tcPr>
          <w:p w:rsidR="00BC127B" w:rsidRPr="006464F6" w:rsidRDefault="00BC127B" w:rsidP="006464F6">
            <w:pPr>
              <w:pStyle w:val="Tabletextcentred"/>
            </w:pPr>
            <w:r w:rsidRPr="006464F6">
              <w:t>0.143</w:t>
            </w:r>
            <w:r w:rsidRPr="006464F6">
              <w:br/>
              <w:t>(-17.7%)</w:t>
            </w:r>
          </w:p>
        </w:tc>
        <w:tc>
          <w:tcPr>
            <w:tcW w:w="1418" w:type="dxa"/>
          </w:tcPr>
          <w:p w:rsidR="00BC127B" w:rsidRPr="006464F6" w:rsidRDefault="00BC127B" w:rsidP="006464F6">
            <w:pPr>
              <w:pStyle w:val="Tabletextcentred"/>
            </w:pPr>
            <w:r w:rsidRPr="006464F6">
              <w:t>0.123</w:t>
            </w:r>
            <w:r w:rsidRPr="006464F6">
              <w:br/>
              <w:t>(-29.5%)</w:t>
            </w:r>
          </w:p>
        </w:tc>
        <w:tc>
          <w:tcPr>
            <w:tcW w:w="1134" w:type="dxa"/>
          </w:tcPr>
          <w:p w:rsidR="00BC127B" w:rsidRPr="006464F6" w:rsidRDefault="00BC127B" w:rsidP="006464F6">
            <w:pPr>
              <w:pStyle w:val="Tabletextcentred"/>
            </w:pPr>
            <w:r w:rsidRPr="006464F6">
              <w:t>0.138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0.23</w:t>
            </w:r>
          </w:p>
        </w:tc>
        <w:tc>
          <w:tcPr>
            <w:tcW w:w="1134" w:type="dxa"/>
          </w:tcPr>
          <w:p w:rsidR="00BC127B" w:rsidRPr="006464F6" w:rsidRDefault="00BC127B" w:rsidP="006464F6">
            <w:pPr>
              <w:pStyle w:val="Tabletextcentred"/>
            </w:pPr>
            <w:r w:rsidRPr="006464F6">
              <w:t>0.214</w:t>
            </w:r>
            <w:r w:rsidRPr="006464F6">
              <w:br/>
              <w:t>(-7.2%)</w:t>
            </w:r>
          </w:p>
        </w:tc>
        <w:tc>
          <w:tcPr>
            <w:tcW w:w="1418" w:type="dxa"/>
          </w:tcPr>
          <w:p w:rsidR="00BC127B" w:rsidRPr="006464F6" w:rsidRDefault="00BC127B" w:rsidP="006464F6">
            <w:pPr>
              <w:pStyle w:val="Tabletextcentred"/>
            </w:pPr>
            <w:r w:rsidRPr="006464F6">
              <w:t>0.203</w:t>
            </w:r>
            <w:r w:rsidRPr="006464F6">
              <w:br/>
              <w:t>(-12.0%)</w:t>
            </w:r>
          </w:p>
        </w:tc>
        <w:tc>
          <w:tcPr>
            <w:tcW w:w="1134" w:type="dxa"/>
          </w:tcPr>
          <w:p w:rsidR="00BC127B" w:rsidRPr="006464F6" w:rsidRDefault="00BC127B" w:rsidP="006464F6">
            <w:pPr>
              <w:pStyle w:val="Tabletextcentred"/>
            </w:pPr>
            <w:r w:rsidRPr="006464F6">
              <w:t>0.253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0.142</w:t>
            </w:r>
          </w:p>
        </w:tc>
        <w:tc>
          <w:tcPr>
            <w:tcW w:w="1134" w:type="dxa"/>
          </w:tcPr>
          <w:p w:rsidR="00BC127B" w:rsidRPr="006464F6" w:rsidRDefault="00BC127B" w:rsidP="006464F6">
            <w:pPr>
              <w:pStyle w:val="Tabletextcentred"/>
            </w:pPr>
            <w:r w:rsidRPr="006464F6">
              <w:t>0.154</w:t>
            </w:r>
            <w:r w:rsidRPr="006464F6">
              <w:br/>
              <w:t>(+8.3%)</w:t>
            </w:r>
          </w:p>
        </w:tc>
        <w:tc>
          <w:tcPr>
            <w:tcW w:w="1418" w:type="dxa"/>
          </w:tcPr>
          <w:p w:rsidR="00BC127B" w:rsidRPr="006464F6" w:rsidRDefault="00BC127B" w:rsidP="006464F6">
            <w:pPr>
              <w:pStyle w:val="Tabletextcentred"/>
            </w:pPr>
            <w:r w:rsidRPr="006464F6">
              <w:t>0.162</w:t>
            </w:r>
            <w:r w:rsidRPr="006464F6">
              <w:br/>
              <w:t>(+13.9%)</w:t>
            </w:r>
          </w:p>
        </w:tc>
        <w:tc>
          <w:tcPr>
            <w:tcW w:w="1134" w:type="dxa"/>
          </w:tcPr>
          <w:p w:rsidR="00BC127B" w:rsidRPr="006464F6" w:rsidRDefault="00BC127B" w:rsidP="006464F6">
            <w:pPr>
              <w:pStyle w:val="Tabletextcentred"/>
            </w:pPr>
            <w:r w:rsidRPr="006464F6">
              <w:t>0.154</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0.015</w:t>
            </w:r>
          </w:p>
        </w:tc>
        <w:tc>
          <w:tcPr>
            <w:tcW w:w="1134" w:type="dxa"/>
          </w:tcPr>
          <w:p w:rsidR="00BC127B" w:rsidRPr="006464F6" w:rsidRDefault="00BC127B" w:rsidP="006464F6">
            <w:pPr>
              <w:pStyle w:val="Tabletextcentred"/>
            </w:pPr>
            <w:r w:rsidRPr="006464F6">
              <w:t>0.019</w:t>
            </w:r>
            <w:r w:rsidRPr="006464F6">
              <w:br/>
              <w:t>(+25.9%)</w:t>
            </w:r>
          </w:p>
        </w:tc>
        <w:tc>
          <w:tcPr>
            <w:tcW w:w="1418" w:type="dxa"/>
          </w:tcPr>
          <w:p w:rsidR="00BC127B" w:rsidRPr="006464F6" w:rsidRDefault="00BC127B" w:rsidP="006464F6">
            <w:pPr>
              <w:pStyle w:val="Tabletextcentred"/>
            </w:pPr>
            <w:r w:rsidRPr="006464F6">
              <w:t>0.022</w:t>
            </w:r>
            <w:r w:rsidRPr="006464F6">
              <w:br/>
              <w:t>(+43.2%)</w:t>
            </w:r>
          </w:p>
        </w:tc>
        <w:tc>
          <w:tcPr>
            <w:tcW w:w="1134" w:type="dxa"/>
          </w:tcPr>
          <w:p w:rsidR="00BC127B" w:rsidRPr="006464F6" w:rsidRDefault="00BC127B" w:rsidP="006464F6">
            <w:pPr>
              <w:pStyle w:val="Tabletextcentred"/>
            </w:pPr>
            <w:r w:rsidRPr="006464F6">
              <w:t>0.089</w:t>
            </w:r>
          </w:p>
        </w:tc>
      </w:tr>
    </w:tbl>
    <w:p w:rsidR="00BC127B" w:rsidRPr="00491481" w:rsidRDefault="00BC127B" w:rsidP="00DE0A84">
      <w:pPr>
        <w:pStyle w:val="Tabletitle"/>
      </w:pPr>
      <w:r w:rsidRPr="00491481">
        <w:t xml:space="preserve">Table </w:t>
      </w:r>
      <w:r w:rsidR="00E57C2A">
        <w:t>B.14</w:t>
      </w:r>
      <w:r w:rsidRPr="00491481">
        <w:t xml:space="preserve"> CSIRO Mk 3.6.0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0.122</w:t>
            </w:r>
          </w:p>
        </w:tc>
        <w:tc>
          <w:tcPr>
            <w:tcW w:w="1134" w:type="dxa"/>
          </w:tcPr>
          <w:p w:rsidR="00BC127B" w:rsidRPr="006464F6" w:rsidRDefault="00BC127B" w:rsidP="006464F6">
            <w:pPr>
              <w:pStyle w:val="Tabletextcentred"/>
            </w:pPr>
            <w:r w:rsidRPr="006464F6">
              <w:t>0.147</w:t>
            </w:r>
            <w:r w:rsidRPr="006464F6">
              <w:br/>
              <w:t>(+20.7%)</w:t>
            </w:r>
          </w:p>
        </w:tc>
        <w:tc>
          <w:tcPr>
            <w:tcW w:w="1418" w:type="dxa"/>
          </w:tcPr>
          <w:p w:rsidR="00BC127B" w:rsidRPr="006464F6" w:rsidRDefault="00BC127B" w:rsidP="006464F6">
            <w:pPr>
              <w:pStyle w:val="Tabletextcentred"/>
            </w:pPr>
            <w:r w:rsidRPr="006464F6">
              <w:t>0.164</w:t>
            </w:r>
            <w:r w:rsidRPr="006464F6">
              <w:br/>
              <w:t>(+34.6%)</w:t>
            </w:r>
          </w:p>
        </w:tc>
        <w:tc>
          <w:tcPr>
            <w:tcW w:w="1134" w:type="dxa"/>
          </w:tcPr>
          <w:p w:rsidR="00BC127B" w:rsidRPr="006464F6" w:rsidRDefault="00BC127B" w:rsidP="006464F6">
            <w:pPr>
              <w:pStyle w:val="Tabletextcentred"/>
            </w:pPr>
            <w:r w:rsidRPr="006464F6">
              <w:t>0.074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0.179</w:t>
            </w:r>
          </w:p>
        </w:tc>
        <w:tc>
          <w:tcPr>
            <w:tcW w:w="1134" w:type="dxa"/>
          </w:tcPr>
          <w:p w:rsidR="00BC127B" w:rsidRPr="006464F6" w:rsidRDefault="00BC127B" w:rsidP="006464F6">
            <w:pPr>
              <w:pStyle w:val="Tabletextcentred"/>
            </w:pPr>
            <w:r w:rsidRPr="006464F6">
              <w:t>0.197</w:t>
            </w:r>
            <w:r w:rsidRPr="006464F6">
              <w:br/>
              <w:t>(+10.3%)</w:t>
            </w:r>
          </w:p>
        </w:tc>
        <w:tc>
          <w:tcPr>
            <w:tcW w:w="1418" w:type="dxa"/>
          </w:tcPr>
          <w:p w:rsidR="00BC127B" w:rsidRPr="006464F6" w:rsidRDefault="00BC127B" w:rsidP="006464F6">
            <w:pPr>
              <w:pStyle w:val="Tabletextcentred"/>
            </w:pPr>
            <w:r w:rsidRPr="006464F6">
              <w:t>0.21</w:t>
            </w:r>
            <w:r w:rsidRPr="006464F6">
              <w:br/>
              <w:t>(+17.2%)</w:t>
            </w:r>
          </w:p>
        </w:tc>
        <w:tc>
          <w:tcPr>
            <w:tcW w:w="1134" w:type="dxa"/>
          </w:tcPr>
          <w:p w:rsidR="00BC127B" w:rsidRPr="006464F6" w:rsidRDefault="00BC127B" w:rsidP="006464F6">
            <w:pPr>
              <w:pStyle w:val="Tabletextcentred"/>
            </w:pPr>
            <w:r w:rsidRPr="006464F6">
              <w:t>0.142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0.181</w:t>
            </w:r>
          </w:p>
        </w:tc>
        <w:tc>
          <w:tcPr>
            <w:tcW w:w="1134" w:type="dxa"/>
          </w:tcPr>
          <w:p w:rsidR="00BC127B" w:rsidRPr="006464F6" w:rsidRDefault="00BC127B" w:rsidP="006464F6">
            <w:pPr>
              <w:pStyle w:val="Tabletextcentred"/>
            </w:pPr>
            <w:r w:rsidRPr="006464F6">
              <w:t>0.154</w:t>
            </w:r>
            <w:r w:rsidRPr="006464F6">
              <w:br/>
              <w:t>(-14.7%)</w:t>
            </w:r>
          </w:p>
        </w:tc>
        <w:tc>
          <w:tcPr>
            <w:tcW w:w="1418" w:type="dxa"/>
          </w:tcPr>
          <w:p w:rsidR="00BC127B" w:rsidRPr="006464F6" w:rsidRDefault="00BC127B" w:rsidP="006464F6">
            <w:pPr>
              <w:pStyle w:val="Tabletextcentred"/>
            </w:pPr>
            <w:r w:rsidRPr="006464F6">
              <w:t>0.136</w:t>
            </w:r>
            <w:r w:rsidRPr="006464F6">
              <w:br/>
              <w:t>(-24.5%)</w:t>
            </w:r>
          </w:p>
        </w:tc>
        <w:tc>
          <w:tcPr>
            <w:tcW w:w="1134" w:type="dxa"/>
          </w:tcPr>
          <w:p w:rsidR="00BC127B" w:rsidRPr="006464F6" w:rsidRDefault="00BC127B" w:rsidP="006464F6">
            <w:pPr>
              <w:pStyle w:val="Tabletextcentred"/>
            </w:pPr>
            <w:r w:rsidRPr="006464F6">
              <w:t>0.151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0.172</w:t>
            </w:r>
          </w:p>
        </w:tc>
        <w:tc>
          <w:tcPr>
            <w:tcW w:w="1134" w:type="dxa"/>
          </w:tcPr>
          <w:p w:rsidR="00BC127B" w:rsidRPr="006464F6" w:rsidRDefault="00BC127B" w:rsidP="006464F6">
            <w:pPr>
              <w:pStyle w:val="Tabletextcentred"/>
            </w:pPr>
            <w:r w:rsidRPr="006464F6">
              <w:t>0.127</w:t>
            </w:r>
            <w:r w:rsidRPr="006464F6">
              <w:br/>
              <w:t>(-26.1%)</w:t>
            </w:r>
          </w:p>
        </w:tc>
        <w:tc>
          <w:tcPr>
            <w:tcW w:w="1418" w:type="dxa"/>
          </w:tcPr>
          <w:p w:rsidR="00BC127B" w:rsidRPr="006464F6" w:rsidRDefault="00BC127B" w:rsidP="006464F6">
            <w:pPr>
              <w:pStyle w:val="Tabletextcentred"/>
            </w:pPr>
            <w:r w:rsidRPr="006464F6">
              <w:t>0.097</w:t>
            </w:r>
            <w:r w:rsidRPr="006464F6">
              <w:br/>
              <w:t>(-43.5%)</w:t>
            </w:r>
          </w:p>
        </w:tc>
        <w:tc>
          <w:tcPr>
            <w:tcW w:w="1134" w:type="dxa"/>
          </w:tcPr>
          <w:p w:rsidR="00BC127B" w:rsidRPr="006464F6" w:rsidRDefault="00BC127B" w:rsidP="006464F6">
            <w:pPr>
              <w:pStyle w:val="Tabletextcentred"/>
            </w:pPr>
            <w:r w:rsidRPr="006464F6">
              <w:t>0.138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0.2</w:t>
            </w:r>
          </w:p>
        </w:tc>
        <w:tc>
          <w:tcPr>
            <w:tcW w:w="1134" w:type="dxa"/>
          </w:tcPr>
          <w:p w:rsidR="00BC127B" w:rsidRPr="006464F6" w:rsidRDefault="00BC127B" w:rsidP="006464F6">
            <w:pPr>
              <w:pStyle w:val="Tabletextcentred"/>
            </w:pPr>
            <w:r w:rsidRPr="006464F6">
              <w:t>0.182</w:t>
            </w:r>
            <w:r w:rsidRPr="006464F6">
              <w:br/>
              <w:t>(-8.8%)</w:t>
            </w:r>
          </w:p>
        </w:tc>
        <w:tc>
          <w:tcPr>
            <w:tcW w:w="1418" w:type="dxa"/>
          </w:tcPr>
          <w:p w:rsidR="00BC127B" w:rsidRPr="006464F6" w:rsidRDefault="00BC127B" w:rsidP="006464F6">
            <w:pPr>
              <w:pStyle w:val="Tabletextcentred"/>
            </w:pPr>
            <w:r w:rsidRPr="006464F6">
              <w:t>0.17</w:t>
            </w:r>
            <w:r w:rsidRPr="006464F6">
              <w:br/>
              <w:t>(-14.7%)</w:t>
            </w:r>
          </w:p>
        </w:tc>
        <w:tc>
          <w:tcPr>
            <w:tcW w:w="1134" w:type="dxa"/>
          </w:tcPr>
          <w:p w:rsidR="00BC127B" w:rsidRPr="006464F6" w:rsidRDefault="00BC127B" w:rsidP="006464F6">
            <w:pPr>
              <w:pStyle w:val="Tabletextcentred"/>
            </w:pPr>
            <w:r w:rsidRPr="006464F6">
              <w:t>0.253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0.134</w:t>
            </w:r>
          </w:p>
        </w:tc>
        <w:tc>
          <w:tcPr>
            <w:tcW w:w="1134" w:type="dxa"/>
          </w:tcPr>
          <w:p w:rsidR="00BC127B" w:rsidRPr="006464F6" w:rsidRDefault="00BC127B" w:rsidP="006464F6">
            <w:pPr>
              <w:pStyle w:val="Tabletextcentred"/>
            </w:pPr>
            <w:r w:rsidRPr="006464F6">
              <w:t>0.174</w:t>
            </w:r>
            <w:r w:rsidRPr="006464F6">
              <w:br/>
              <w:t>(+30.2%)</w:t>
            </w:r>
          </w:p>
        </w:tc>
        <w:tc>
          <w:tcPr>
            <w:tcW w:w="1418" w:type="dxa"/>
          </w:tcPr>
          <w:p w:rsidR="00BC127B" w:rsidRPr="006464F6" w:rsidRDefault="00BC127B" w:rsidP="006464F6">
            <w:pPr>
              <w:pStyle w:val="Tabletextcentred"/>
            </w:pPr>
            <w:r w:rsidRPr="006464F6">
              <w:t>0.201</w:t>
            </w:r>
            <w:r w:rsidRPr="006464F6">
              <w:br/>
              <w:t>(+50.4%)</w:t>
            </w:r>
          </w:p>
        </w:tc>
        <w:tc>
          <w:tcPr>
            <w:tcW w:w="1134" w:type="dxa"/>
          </w:tcPr>
          <w:p w:rsidR="00BC127B" w:rsidRPr="006464F6" w:rsidRDefault="00BC127B" w:rsidP="006464F6">
            <w:pPr>
              <w:pStyle w:val="Tabletextcentred"/>
            </w:pPr>
            <w:r w:rsidRPr="006464F6">
              <w:t>0.154</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0.014</w:t>
            </w:r>
          </w:p>
        </w:tc>
        <w:tc>
          <w:tcPr>
            <w:tcW w:w="1134" w:type="dxa"/>
          </w:tcPr>
          <w:p w:rsidR="00BC127B" w:rsidRPr="006464F6" w:rsidRDefault="00BC127B" w:rsidP="006464F6">
            <w:pPr>
              <w:pStyle w:val="Tabletextcentred"/>
            </w:pPr>
            <w:r w:rsidRPr="006464F6">
              <w:t>0.019</w:t>
            </w:r>
            <w:r w:rsidRPr="006464F6">
              <w:br/>
              <w:t>(+35.7%)</w:t>
            </w:r>
          </w:p>
        </w:tc>
        <w:tc>
          <w:tcPr>
            <w:tcW w:w="1418" w:type="dxa"/>
          </w:tcPr>
          <w:p w:rsidR="00BC127B" w:rsidRPr="006464F6" w:rsidRDefault="00BC127B" w:rsidP="006464F6">
            <w:pPr>
              <w:pStyle w:val="Tabletextcentred"/>
            </w:pPr>
            <w:r w:rsidRPr="006464F6">
              <w:t>0.022</w:t>
            </w:r>
            <w:r w:rsidRPr="006464F6">
              <w:br/>
              <w:t>(+59.5%)</w:t>
            </w:r>
          </w:p>
        </w:tc>
        <w:tc>
          <w:tcPr>
            <w:tcW w:w="1134" w:type="dxa"/>
          </w:tcPr>
          <w:p w:rsidR="00BC127B" w:rsidRPr="006464F6" w:rsidRDefault="00BC127B" w:rsidP="006464F6">
            <w:pPr>
              <w:pStyle w:val="Tabletextcentred"/>
            </w:pPr>
            <w:r w:rsidRPr="006464F6">
              <w:t>0.089</w:t>
            </w:r>
          </w:p>
        </w:tc>
      </w:tr>
    </w:tbl>
    <w:p w:rsidR="00BC127B" w:rsidRPr="00491481" w:rsidRDefault="00BC127B" w:rsidP="00DE0A84">
      <w:pPr>
        <w:pStyle w:val="Tabletitle"/>
      </w:pPr>
      <w:r>
        <w:br w:type="page"/>
      </w:r>
      <w:r w:rsidRPr="00491481">
        <w:lastRenderedPageBreak/>
        <w:t xml:space="preserve">Table </w:t>
      </w:r>
      <w:r w:rsidR="00E57C2A">
        <w:t>B.15</w:t>
      </w:r>
      <w:r w:rsidRPr="00491481">
        <w:t xml:space="preserve"> IPSL CM5A LR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0.126</w:t>
            </w:r>
          </w:p>
        </w:tc>
        <w:tc>
          <w:tcPr>
            <w:tcW w:w="1134" w:type="dxa"/>
          </w:tcPr>
          <w:p w:rsidR="00BC127B" w:rsidRPr="006464F6" w:rsidRDefault="00BC127B" w:rsidP="006464F6">
            <w:pPr>
              <w:pStyle w:val="Tabletextcentred"/>
            </w:pPr>
            <w:r w:rsidRPr="006464F6">
              <w:t>0.145</w:t>
            </w:r>
            <w:r w:rsidRPr="006464F6">
              <w:br/>
              <w:t>(+15.3%)</w:t>
            </w:r>
          </w:p>
        </w:tc>
        <w:tc>
          <w:tcPr>
            <w:tcW w:w="1418" w:type="dxa"/>
          </w:tcPr>
          <w:p w:rsidR="00BC127B" w:rsidRPr="006464F6" w:rsidRDefault="00BC127B" w:rsidP="006464F6">
            <w:pPr>
              <w:pStyle w:val="Tabletextcentred"/>
            </w:pPr>
            <w:r w:rsidRPr="006464F6">
              <w:t>0.158</w:t>
            </w:r>
            <w:r w:rsidRPr="006464F6">
              <w:br/>
              <w:t>(+25.5%)</w:t>
            </w:r>
          </w:p>
        </w:tc>
        <w:tc>
          <w:tcPr>
            <w:tcW w:w="1134" w:type="dxa"/>
          </w:tcPr>
          <w:p w:rsidR="00BC127B" w:rsidRPr="006464F6" w:rsidRDefault="00BC127B" w:rsidP="006464F6">
            <w:pPr>
              <w:pStyle w:val="Tabletextcentred"/>
            </w:pPr>
            <w:r w:rsidRPr="006464F6">
              <w:t>0.074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0.217</w:t>
            </w:r>
          </w:p>
        </w:tc>
        <w:tc>
          <w:tcPr>
            <w:tcW w:w="1134" w:type="dxa"/>
          </w:tcPr>
          <w:p w:rsidR="00BC127B" w:rsidRPr="006464F6" w:rsidRDefault="00BC127B" w:rsidP="006464F6">
            <w:pPr>
              <w:pStyle w:val="Tabletextcentred"/>
            </w:pPr>
            <w:r w:rsidRPr="006464F6">
              <w:t>0.213</w:t>
            </w:r>
            <w:r w:rsidRPr="006464F6">
              <w:br/>
              <w:t>(-1.9%)</w:t>
            </w:r>
          </w:p>
        </w:tc>
        <w:tc>
          <w:tcPr>
            <w:tcW w:w="1418" w:type="dxa"/>
          </w:tcPr>
          <w:p w:rsidR="00BC127B" w:rsidRPr="006464F6" w:rsidRDefault="00BC127B" w:rsidP="006464F6">
            <w:pPr>
              <w:pStyle w:val="Tabletextcentred"/>
            </w:pPr>
            <w:r w:rsidRPr="006464F6">
              <w:t>0.21</w:t>
            </w:r>
            <w:r w:rsidRPr="006464F6">
              <w:br/>
              <w:t>(-3.2%)</w:t>
            </w:r>
          </w:p>
        </w:tc>
        <w:tc>
          <w:tcPr>
            <w:tcW w:w="1134" w:type="dxa"/>
          </w:tcPr>
          <w:p w:rsidR="00BC127B" w:rsidRPr="006464F6" w:rsidRDefault="00BC127B" w:rsidP="006464F6">
            <w:pPr>
              <w:pStyle w:val="Tabletextcentred"/>
            </w:pPr>
            <w:r w:rsidRPr="006464F6">
              <w:t>0.142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0.143</w:t>
            </w:r>
          </w:p>
        </w:tc>
        <w:tc>
          <w:tcPr>
            <w:tcW w:w="1134" w:type="dxa"/>
          </w:tcPr>
          <w:p w:rsidR="00BC127B" w:rsidRPr="006464F6" w:rsidRDefault="00BC127B" w:rsidP="006464F6">
            <w:pPr>
              <w:pStyle w:val="Tabletextcentred"/>
            </w:pPr>
            <w:r w:rsidRPr="006464F6">
              <w:t>0.138</w:t>
            </w:r>
            <w:r w:rsidRPr="006464F6">
              <w:br/>
              <w:t>(-3.6%)</w:t>
            </w:r>
          </w:p>
        </w:tc>
        <w:tc>
          <w:tcPr>
            <w:tcW w:w="1418" w:type="dxa"/>
          </w:tcPr>
          <w:p w:rsidR="00BC127B" w:rsidRPr="006464F6" w:rsidRDefault="00BC127B" w:rsidP="006464F6">
            <w:pPr>
              <w:pStyle w:val="Tabletextcentred"/>
            </w:pPr>
            <w:r w:rsidRPr="006464F6">
              <w:t>0.135</w:t>
            </w:r>
            <w:r w:rsidRPr="006464F6">
              <w:br/>
              <w:t>(-6.0%)</w:t>
            </w:r>
          </w:p>
        </w:tc>
        <w:tc>
          <w:tcPr>
            <w:tcW w:w="1134" w:type="dxa"/>
          </w:tcPr>
          <w:p w:rsidR="00BC127B" w:rsidRPr="006464F6" w:rsidRDefault="00BC127B" w:rsidP="006464F6">
            <w:pPr>
              <w:pStyle w:val="Tabletextcentred"/>
            </w:pPr>
            <w:r w:rsidRPr="006464F6">
              <w:t>0.151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0.133</w:t>
            </w:r>
          </w:p>
        </w:tc>
        <w:tc>
          <w:tcPr>
            <w:tcW w:w="1134" w:type="dxa"/>
          </w:tcPr>
          <w:p w:rsidR="00BC127B" w:rsidRPr="006464F6" w:rsidRDefault="00BC127B" w:rsidP="006464F6">
            <w:pPr>
              <w:pStyle w:val="Tabletextcentred"/>
            </w:pPr>
            <w:r w:rsidRPr="006464F6">
              <w:t>0.136</w:t>
            </w:r>
            <w:r w:rsidRPr="006464F6">
              <w:br/>
              <w:t>(+2.0%)</w:t>
            </w:r>
          </w:p>
        </w:tc>
        <w:tc>
          <w:tcPr>
            <w:tcW w:w="1418" w:type="dxa"/>
          </w:tcPr>
          <w:p w:rsidR="00BC127B" w:rsidRPr="006464F6" w:rsidRDefault="00BC127B" w:rsidP="006464F6">
            <w:pPr>
              <w:pStyle w:val="Tabletextcentred"/>
            </w:pPr>
            <w:r w:rsidRPr="006464F6">
              <w:t>0.137</w:t>
            </w:r>
            <w:r w:rsidRPr="006464F6">
              <w:br/>
              <w:t>(+3.3%)</w:t>
            </w:r>
          </w:p>
        </w:tc>
        <w:tc>
          <w:tcPr>
            <w:tcW w:w="1134" w:type="dxa"/>
          </w:tcPr>
          <w:p w:rsidR="00BC127B" w:rsidRPr="006464F6" w:rsidRDefault="00BC127B" w:rsidP="006464F6">
            <w:pPr>
              <w:pStyle w:val="Tabletextcentred"/>
            </w:pPr>
            <w:r w:rsidRPr="006464F6">
              <w:t>0.138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0.203</w:t>
            </w:r>
          </w:p>
        </w:tc>
        <w:tc>
          <w:tcPr>
            <w:tcW w:w="1134" w:type="dxa"/>
          </w:tcPr>
          <w:p w:rsidR="00BC127B" w:rsidRPr="006464F6" w:rsidRDefault="00BC127B" w:rsidP="006464F6">
            <w:pPr>
              <w:pStyle w:val="Tabletextcentred"/>
            </w:pPr>
            <w:r w:rsidRPr="006464F6">
              <w:t>0.181</w:t>
            </w:r>
            <w:r w:rsidRPr="006464F6">
              <w:br/>
              <w:t>(-10.9%)</w:t>
            </w:r>
          </w:p>
        </w:tc>
        <w:tc>
          <w:tcPr>
            <w:tcW w:w="1418" w:type="dxa"/>
          </w:tcPr>
          <w:p w:rsidR="00BC127B" w:rsidRPr="006464F6" w:rsidRDefault="00BC127B" w:rsidP="006464F6">
            <w:pPr>
              <w:pStyle w:val="Tabletextcentred"/>
            </w:pPr>
            <w:r w:rsidRPr="006464F6">
              <w:t>0.166</w:t>
            </w:r>
            <w:r w:rsidRPr="006464F6">
              <w:br/>
              <w:t>(-18.2%)</w:t>
            </w:r>
          </w:p>
        </w:tc>
        <w:tc>
          <w:tcPr>
            <w:tcW w:w="1134" w:type="dxa"/>
          </w:tcPr>
          <w:p w:rsidR="00BC127B" w:rsidRPr="006464F6" w:rsidRDefault="00BC127B" w:rsidP="006464F6">
            <w:pPr>
              <w:pStyle w:val="Tabletextcentred"/>
            </w:pPr>
            <w:r w:rsidRPr="006464F6">
              <w:t>0.253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0.161</w:t>
            </w:r>
          </w:p>
        </w:tc>
        <w:tc>
          <w:tcPr>
            <w:tcW w:w="1134" w:type="dxa"/>
          </w:tcPr>
          <w:p w:rsidR="00BC127B" w:rsidRPr="006464F6" w:rsidRDefault="00BC127B" w:rsidP="006464F6">
            <w:pPr>
              <w:pStyle w:val="Tabletextcentred"/>
            </w:pPr>
            <w:r w:rsidRPr="006464F6">
              <w:t>0.168</w:t>
            </w:r>
            <w:r w:rsidRPr="006464F6">
              <w:br/>
              <w:t>(+4.8%)</w:t>
            </w:r>
          </w:p>
        </w:tc>
        <w:tc>
          <w:tcPr>
            <w:tcW w:w="1418" w:type="dxa"/>
          </w:tcPr>
          <w:p w:rsidR="00BC127B" w:rsidRPr="006464F6" w:rsidRDefault="00BC127B" w:rsidP="006464F6">
            <w:pPr>
              <w:pStyle w:val="Tabletextcentred"/>
            </w:pPr>
            <w:r w:rsidRPr="006464F6">
              <w:t>0.174</w:t>
            </w:r>
            <w:r w:rsidRPr="006464F6">
              <w:br/>
              <w:t>(+7.9%)</w:t>
            </w:r>
          </w:p>
        </w:tc>
        <w:tc>
          <w:tcPr>
            <w:tcW w:w="1134" w:type="dxa"/>
          </w:tcPr>
          <w:p w:rsidR="00BC127B" w:rsidRPr="006464F6" w:rsidRDefault="00BC127B" w:rsidP="006464F6">
            <w:pPr>
              <w:pStyle w:val="Tabletextcentred"/>
            </w:pPr>
            <w:r w:rsidRPr="006464F6">
              <w:t>0.154</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0.017</w:t>
            </w:r>
          </w:p>
        </w:tc>
        <w:tc>
          <w:tcPr>
            <w:tcW w:w="1134" w:type="dxa"/>
          </w:tcPr>
          <w:p w:rsidR="00BC127B" w:rsidRPr="006464F6" w:rsidRDefault="00BC127B" w:rsidP="006464F6">
            <w:pPr>
              <w:pStyle w:val="Tabletextcentred"/>
            </w:pPr>
            <w:r w:rsidRPr="006464F6">
              <w:t>0.019</w:t>
            </w:r>
            <w:r w:rsidRPr="006464F6">
              <w:br/>
              <w:t>(+11.1%)</w:t>
            </w:r>
          </w:p>
        </w:tc>
        <w:tc>
          <w:tcPr>
            <w:tcW w:w="1418" w:type="dxa"/>
          </w:tcPr>
          <w:p w:rsidR="00BC127B" w:rsidRPr="006464F6" w:rsidRDefault="00BC127B" w:rsidP="006464F6">
            <w:pPr>
              <w:pStyle w:val="Tabletextcentred"/>
            </w:pPr>
            <w:r w:rsidRPr="006464F6">
              <w:t>0.021</w:t>
            </w:r>
            <w:r w:rsidRPr="006464F6">
              <w:br/>
              <w:t>(+18.5%)</w:t>
            </w:r>
          </w:p>
        </w:tc>
        <w:tc>
          <w:tcPr>
            <w:tcW w:w="1134" w:type="dxa"/>
          </w:tcPr>
          <w:p w:rsidR="00BC127B" w:rsidRPr="006464F6" w:rsidRDefault="00BC127B" w:rsidP="006464F6">
            <w:pPr>
              <w:pStyle w:val="Tabletextcentred"/>
            </w:pPr>
            <w:r w:rsidRPr="006464F6">
              <w:t>0.089</w:t>
            </w:r>
          </w:p>
        </w:tc>
      </w:tr>
    </w:tbl>
    <w:p w:rsidR="00BC127B" w:rsidRPr="00491481" w:rsidRDefault="00BC127B" w:rsidP="00DE0A84">
      <w:pPr>
        <w:pStyle w:val="Tabletitle"/>
      </w:pPr>
      <w:r w:rsidRPr="00491481">
        <w:t xml:space="preserve">Table </w:t>
      </w:r>
      <w:r w:rsidR="00E57C2A">
        <w:t>B.16</w:t>
      </w:r>
      <w:r w:rsidRPr="00491481">
        <w:t xml:space="preserve"> </w:t>
      </w:r>
      <w:proofErr w:type="spellStart"/>
      <w:r w:rsidRPr="00491481">
        <w:t>NorESM</w:t>
      </w:r>
      <w:proofErr w:type="spellEnd"/>
      <w:r w:rsidRPr="00491481">
        <w:t xml:space="preserve"> 1M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TC5</w:t>
            </w:r>
          </w:p>
        </w:tc>
        <w:tc>
          <w:tcPr>
            <w:tcW w:w="1293" w:type="dxa"/>
          </w:tcPr>
          <w:p w:rsidR="00BC127B" w:rsidRPr="006464F6" w:rsidRDefault="00BC127B" w:rsidP="006464F6">
            <w:pPr>
              <w:pStyle w:val="Tabletextcentred"/>
            </w:pPr>
            <w:r w:rsidRPr="006464F6">
              <w:t>0.107</w:t>
            </w:r>
          </w:p>
        </w:tc>
        <w:tc>
          <w:tcPr>
            <w:tcW w:w="1134" w:type="dxa"/>
          </w:tcPr>
          <w:p w:rsidR="00BC127B" w:rsidRPr="006464F6" w:rsidRDefault="00BC127B" w:rsidP="006464F6">
            <w:pPr>
              <w:pStyle w:val="Tabletextcentred"/>
            </w:pPr>
            <w:r w:rsidRPr="006464F6">
              <w:t>0.084</w:t>
            </w:r>
            <w:r w:rsidRPr="006464F6">
              <w:br/>
              <w:t>(-21.1%)</w:t>
            </w:r>
          </w:p>
        </w:tc>
        <w:tc>
          <w:tcPr>
            <w:tcW w:w="1418" w:type="dxa"/>
          </w:tcPr>
          <w:p w:rsidR="00BC127B" w:rsidRPr="006464F6" w:rsidRDefault="00BC127B" w:rsidP="006464F6">
            <w:pPr>
              <w:pStyle w:val="Tabletextcentred"/>
            </w:pPr>
            <w:r w:rsidRPr="006464F6">
              <w:t>0.069</w:t>
            </w:r>
            <w:r w:rsidRPr="006464F6">
              <w:br/>
              <w:t>(-35.1%)</w:t>
            </w:r>
          </w:p>
        </w:tc>
        <w:tc>
          <w:tcPr>
            <w:tcW w:w="1134" w:type="dxa"/>
          </w:tcPr>
          <w:p w:rsidR="00BC127B" w:rsidRPr="006464F6" w:rsidRDefault="00BC127B" w:rsidP="006464F6">
            <w:pPr>
              <w:pStyle w:val="Tabletextcentred"/>
            </w:pPr>
            <w:r w:rsidRPr="006464F6">
              <w:t>0.074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TC4</w:t>
            </w:r>
          </w:p>
        </w:tc>
        <w:tc>
          <w:tcPr>
            <w:tcW w:w="1293" w:type="dxa"/>
          </w:tcPr>
          <w:p w:rsidR="00BC127B" w:rsidRPr="006464F6" w:rsidRDefault="00BC127B" w:rsidP="006464F6">
            <w:pPr>
              <w:pStyle w:val="Tabletextcentred"/>
            </w:pPr>
            <w:r w:rsidRPr="006464F6">
              <w:t>0.172</w:t>
            </w:r>
          </w:p>
        </w:tc>
        <w:tc>
          <w:tcPr>
            <w:tcW w:w="1134" w:type="dxa"/>
          </w:tcPr>
          <w:p w:rsidR="00BC127B" w:rsidRPr="006464F6" w:rsidRDefault="00BC127B" w:rsidP="006464F6">
            <w:pPr>
              <w:pStyle w:val="Tabletextcentred"/>
            </w:pPr>
            <w:r w:rsidRPr="006464F6">
              <w:t>0.142</w:t>
            </w:r>
            <w:r w:rsidRPr="006464F6">
              <w:br/>
              <w:t>(-17.4%)</w:t>
            </w:r>
          </w:p>
        </w:tc>
        <w:tc>
          <w:tcPr>
            <w:tcW w:w="1418" w:type="dxa"/>
          </w:tcPr>
          <w:p w:rsidR="00BC127B" w:rsidRPr="006464F6" w:rsidRDefault="00BC127B" w:rsidP="006464F6">
            <w:pPr>
              <w:pStyle w:val="Tabletextcentred"/>
            </w:pPr>
            <w:r w:rsidRPr="006464F6">
              <w:t>0.122</w:t>
            </w:r>
            <w:r w:rsidRPr="006464F6">
              <w:br/>
              <w:t>(-29.0%)</w:t>
            </w:r>
          </w:p>
        </w:tc>
        <w:tc>
          <w:tcPr>
            <w:tcW w:w="1134" w:type="dxa"/>
          </w:tcPr>
          <w:p w:rsidR="00BC127B" w:rsidRPr="006464F6" w:rsidRDefault="00BC127B" w:rsidP="006464F6">
            <w:pPr>
              <w:pStyle w:val="Tabletextcentred"/>
            </w:pPr>
            <w:r w:rsidRPr="006464F6">
              <w:t>0.142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TC3</w:t>
            </w:r>
          </w:p>
        </w:tc>
        <w:tc>
          <w:tcPr>
            <w:tcW w:w="1293" w:type="dxa"/>
          </w:tcPr>
          <w:p w:rsidR="00BC127B" w:rsidRPr="006464F6" w:rsidRDefault="00BC127B" w:rsidP="006464F6">
            <w:pPr>
              <w:pStyle w:val="Tabletextcentred"/>
            </w:pPr>
            <w:r w:rsidRPr="006464F6">
              <w:t>0.148</w:t>
            </w:r>
          </w:p>
        </w:tc>
        <w:tc>
          <w:tcPr>
            <w:tcW w:w="1134" w:type="dxa"/>
          </w:tcPr>
          <w:p w:rsidR="00BC127B" w:rsidRPr="006464F6" w:rsidRDefault="00BC127B" w:rsidP="006464F6">
            <w:pPr>
              <w:pStyle w:val="Tabletextcentred"/>
            </w:pPr>
            <w:r w:rsidRPr="006464F6">
              <w:t>0.115</w:t>
            </w:r>
            <w:r w:rsidRPr="006464F6">
              <w:br/>
              <w:t>(-22.0%)</w:t>
            </w:r>
          </w:p>
        </w:tc>
        <w:tc>
          <w:tcPr>
            <w:tcW w:w="1418" w:type="dxa"/>
          </w:tcPr>
          <w:p w:rsidR="00BC127B" w:rsidRPr="006464F6" w:rsidRDefault="00BC127B" w:rsidP="006464F6">
            <w:pPr>
              <w:pStyle w:val="Tabletextcentred"/>
            </w:pPr>
            <w:r w:rsidRPr="006464F6">
              <w:t>0.093</w:t>
            </w:r>
            <w:r w:rsidRPr="006464F6">
              <w:br/>
              <w:t>(-36.7%)</w:t>
            </w:r>
          </w:p>
        </w:tc>
        <w:tc>
          <w:tcPr>
            <w:tcW w:w="1134" w:type="dxa"/>
          </w:tcPr>
          <w:p w:rsidR="00BC127B" w:rsidRPr="006464F6" w:rsidRDefault="00BC127B" w:rsidP="006464F6">
            <w:pPr>
              <w:pStyle w:val="Tabletextcentred"/>
            </w:pPr>
            <w:r w:rsidRPr="006464F6">
              <w:t>0.151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TC2</w:t>
            </w:r>
          </w:p>
        </w:tc>
        <w:tc>
          <w:tcPr>
            <w:tcW w:w="1293" w:type="dxa"/>
          </w:tcPr>
          <w:p w:rsidR="00BC127B" w:rsidRPr="006464F6" w:rsidRDefault="00BC127B" w:rsidP="006464F6">
            <w:pPr>
              <w:pStyle w:val="Tabletextcentred"/>
            </w:pPr>
            <w:r w:rsidRPr="006464F6">
              <w:t>0.127</w:t>
            </w:r>
          </w:p>
        </w:tc>
        <w:tc>
          <w:tcPr>
            <w:tcW w:w="1134" w:type="dxa"/>
          </w:tcPr>
          <w:p w:rsidR="00BC127B" w:rsidRPr="006464F6" w:rsidRDefault="00BC127B" w:rsidP="006464F6">
            <w:pPr>
              <w:pStyle w:val="Tabletextcentred"/>
            </w:pPr>
            <w:r w:rsidRPr="006464F6">
              <w:t>0.09</w:t>
            </w:r>
            <w:r w:rsidRPr="006464F6">
              <w:br/>
              <w:t>(-29.3%)</w:t>
            </w:r>
          </w:p>
        </w:tc>
        <w:tc>
          <w:tcPr>
            <w:tcW w:w="1418" w:type="dxa"/>
          </w:tcPr>
          <w:p w:rsidR="00BC127B" w:rsidRPr="006464F6" w:rsidRDefault="00BC127B" w:rsidP="006464F6">
            <w:pPr>
              <w:pStyle w:val="Tabletextcentred"/>
            </w:pPr>
            <w:r w:rsidRPr="006464F6">
              <w:t>0.065</w:t>
            </w:r>
            <w:r w:rsidRPr="006464F6">
              <w:br/>
              <w:t>(-48.8%)</w:t>
            </w:r>
          </w:p>
        </w:tc>
        <w:tc>
          <w:tcPr>
            <w:tcW w:w="1134" w:type="dxa"/>
          </w:tcPr>
          <w:p w:rsidR="00BC127B" w:rsidRPr="006464F6" w:rsidRDefault="00BC127B" w:rsidP="006464F6">
            <w:pPr>
              <w:pStyle w:val="Tabletextcentred"/>
            </w:pPr>
            <w:r w:rsidRPr="006464F6">
              <w:t>0.138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TC1</w:t>
            </w:r>
          </w:p>
        </w:tc>
        <w:tc>
          <w:tcPr>
            <w:tcW w:w="1293" w:type="dxa"/>
          </w:tcPr>
          <w:p w:rsidR="00BC127B" w:rsidRPr="006464F6" w:rsidRDefault="00BC127B" w:rsidP="006464F6">
            <w:pPr>
              <w:pStyle w:val="Tabletextcentred"/>
            </w:pPr>
            <w:r w:rsidRPr="006464F6">
              <w:t>0.172</w:t>
            </w:r>
          </w:p>
        </w:tc>
        <w:tc>
          <w:tcPr>
            <w:tcW w:w="1134" w:type="dxa"/>
          </w:tcPr>
          <w:p w:rsidR="00BC127B" w:rsidRPr="006464F6" w:rsidRDefault="00BC127B" w:rsidP="006464F6">
            <w:pPr>
              <w:pStyle w:val="Tabletextcentred"/>
            </w:pPr>
            <w:r w:rsidRPr="006464F6">
              <w:t>0.178</w:t>
            </w:r>
            <w:r w:rsidRPr="006464F6">
              <w:br/>
              <w:t>(+3.9%)</w:t>
            </w:r>
          </w:p>
        </w:tc>
        <w:tc>
          <w:tcPr>
            <w:tcW w:w="1418" w:type="dxa"/>
          </w:tcPr>
          <w:p w:rsidR="00BC127B" w:rsidRPr="006464F6" w:rsidRDefault="00BC127B" w:rsidP="006464F6">
            <w:pPr>
              <w:pStyle w:val="Tabletextcentred"/>
            </w:pPr>
            <w:r w:rsidRPr="006464F6">
              <w:t>0.183</w:t>
            </w:r>
            <w:r w:rsidRPr="006464F6">
              <w:br/>
              <w:t>(+6.5%)</w:t>
            </w:r>
          </w:p>
        </w:tc>
        <w:tc>
          <w:tcPr>
            <w:tcW w:w="1134" w:type="dxa"/>
          </w:tcPr>
          <w:p w:rsidR="00BC127B" w:rsidRPr="006464F6" w:rsidRDefault="00BC127B" w:rsidP="006464F6">
            <w:pPr>
              <w:pStyle w:val="Tabletextcentred"/>
            </w:pPr>
            <w:r w:rsidRPr="006464F6">
              <w:t>0.253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464F6" w:rsidRDefault="00BC127B" w:rsidP="006464F6">
            <w:pPr>
              <w:pStyle w:val="Tabletextcentred"/>
            </w:pPr>
            <w:r w:rsidRPr="006464F6">
              <w:t>TS</w:t>
            </w:r>
          </w:p>
        </w:tc>
        <w:tc>
          <w:tcPr>
            <w:tcW w:w="1293" w:type="dxa"/>
          </w:tcPr>
          <w:p w:rsidR="00BC127B" w:rsidRPr="006464F6" w:rsidRDefault="00BC127B" w:rsidP="006464F6">
            <w:pPr>
              <w:pStyle w:val="Tabletextcentred"/>
            </w:pPr>
            <w:r w:rsidRPr="006464F6">
              <w:t>0.247</w:t>
            </w:r>
          </w:p>
        </w:tc>
        <w:tc>
          <w:tcPr>
            <w:tcW w:w="1134" w:type="dxa"/>
          </w:tcPr>
          <w:p w:rsidR="00BC127B" w:rsidRPr="006464F6" w:rsidRDefault="00BC127B" w:rsidP="006464F6">
            <w:pPr>
              <w:pStyle w:val="Tabletextcentred"/>
            </w:pPr>
            <w:r w:rsidRPr="006464F6">
              <w:t>0.297</w:t>
            </w:r>
            <w:r w:rsidRPr="006464F6">
              <w:br/>
              <w:t>(+19.8%)</w:t>
            </w:r>
          </w:p>
        </w:tc>
        <w:tc>
          <w:tcPr>
            <w:tcW w:w="1418" w:type="dxa"/>
          </w:tcPr>
          <w:p w:rsidR="00BC127B" w:rsidRPr="006464F6" w:rsidRDefault="00BC127B" w:rsidP="006464F6">
            <w:pPr>
              <w:pStyle w:val="Tabletextcentred"/>
            </w:pPr>
            <w:r w:rsidRPr="006464F6">
              <w:t>0.329</w:t>
            </w:r>
            <w:r w:rsidRPr="006464F6">
              <w:br/>
              <w:t>(+33.1%)</w:t>
            </w:r>
          </w:p>
        </w:tc>
        <w:tc>
          <w:tcPr>
            <w:tcW w:w="1134" w:type="dxa"/>
          </w:tcPr>
          <w:p w:rsidR="00BC127B" w:rsidRPr="006464F6" w:rsidRDefault="00BC127B" w:rsidP="006464F6">
            <w:pPr>
              <w:pStyle w:val="Tabletextcentred"/>
            </w:pPr>
            <w:r w:rsidRPr="006464F6">
              <w:t>0.154</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464F6" w:rsidRDefault="00BC127B" w:rsidP="006464F6">
            <w:pPr>
              <w:pStyle w:val="Tabletextcentred"/>
            </w:pPr>
            <w:r w:rsidRPr="006464F6">
              <w:t>TD</w:t>
            </w:r>
          </w:p>
        </w:tc>
        <w:tc>
          <w:tcPr>
            <w:tcW w:w="1293" w:type="dxa"/>
          </w:tcPr>
          <w:p w:rsidR="00BC127B" w:rsidRPr="006464F6" w:rsidRDefault="00BC127B" w:rsidP="006464F6">
            <w:pPr>
              <w:pStyle w:val="Tabletextcentred"/>
            </w:pPr>
            <w:r w:rsidRPr="006464F6">
              <w:t>0.027</w:t>
            </w:r>
          </w:p>
        </w:tc>
        <w:tc>
          <w:tcPr>
            <w:tcW w:w="1134" w:type="dxa"/>
          </w:tcPr>
          <w:p w:rsidR="00BC127B" w:rsidRPr="006464F6" w:rsidRDefault="00BC127B" w:rsidP="006464F6">
            <w:pPr>
              <w:pStyle w:val="Tabletextcentred"/>
            </w:pPr>
            <w:r w:rsidRPr="006464F6">
              <w:t>0.094</w:t>
            </w:r>
            <w:r w:rsidRPr="006464F6">
              <w:br/>
              <w:t>(+241.6%)</w:t>
            </w:r>
          </w:p>
        </w:tc>
        <w:tc>
          <w:tcPr>
            <w:tcW w:w="1418" w:type="dxa"/>
          </w:tcPr>
          <w:p w:rsidR="00BC127B" w:rsidRPr="006464F6" w:rsidRDefault="00BC127B" w:rsidP="006464F6">
            <w:pPr>
              <w:pStyle w:val="Tabletextcentred"/>
            </w:pPr>
            <w:r w:rsidRPr="006464F6">
              <w:t>0.138</w:t>
            </w:r>
            <w:r w:rsidRPr="006464F6">
              <w:br/>
              <w:t>(+402.7%)</w:t>
            </w:r>
          </w:p>
        </w:tc>
        <w:tc>
          <w:tcPr>
            <w:tcW w:w="1134" w:type="dxa"/>
          </w:tcPr>
          <w:p w:rsidR="00BC127B" w:rsidRPr="006464F6" w:rsidRDefault="00BC127B" w:rsidP="006464F6">
            <w:pPr>
              <w:pStyle w:val="Tabletextcentred"/>
            </w:pPr>
            <w:r w:rsidRPr="006464F6">
              <w:t>0.089</w:t>
            </w:r>
          </w:p>
        </w:tc>
      </w:tr>
    </w:tbl>
    <w:p w:rsidR="00BC127B" w:rsidRPr="007609A5" w:rsidRDefault="00BC127B" w:rsidP="00DE0A84">
      <w:pPr>
        <w:pStyle w:val="Tabletitle"/>
      </w:pPr>
      <w:r>
        <w:br w:type="page"/>
      </w:r>
      <w:r w:rsidRPr="007609A5">
        <w:lastRenderedPageBreak/>
        <w:t xml:space="preserve">Table </w:t>
      </w:r>
      <w:r w:rsidR="00E57C2A">
        <w:t>B.17</w:t>
      </w:r>
      <w:r w:rsidRPr="007609A5">
        <w:t xml:space="preserve"> CSIRO Mk 3.5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TC5</w:t>
            </w:r>
          </w:p>
        </w:tc>
        <w:tc>
          <w:tcPr>
            <w:tcW w:w="1293" w:type="dxa"/>
          </w:tcPr>
          <w:p w:rsidR="00BC127B" w:rsidRPr="006F3804" w:rsidRDefault="00BC127B" w:rsidP="003954B6">
            <w:pPr>
              <w:pStyle w:val="Tabletextcentred"/>
            </w:pPr>
            <w:r w:rsidRPr="006F3804">
              <w:t>0.096</w:t>
            </w:r>
          </w:p>
        </w:tc>
        <w:tc>
          <w:tcPr>
            <w:tcW w:w="1134" w:type="dxa"/>
          </w:tcPr>
          <w:p w:rsidR="00BC127B" w:rsidRPr="006F3804" w:rsidRDefault="00BC127B" w:rsidP="003954B6">
            <w:pPr>
              <w:pStyle w:val="Tabletextcentred"/>
            </w:pPr>
            <w:r w:rsidRPr="006F3804">
              <w:t>0.13</w:t>
            </w:r>
            <w:r w:rsidRPr="006F3804">
              <w:br/>
              <w:t>(+35.2%)</w:t>
            </w:r>
          </w:p>
        </w:tc>
        <w:tc>
          <w:tcPr>
            <w:tcW w:w="1418" w:type="dxa"/>
          </w:tcPr>
          <w:p w:rsidR="00BC127B" w:rsidRPr="006F3804" w:rsidRDefault="00BC127B" w:rsidP="003954B6">
            <w:pPr>
              <w:pStyle w:val="Tabletextcentred"/>
            </w:pPr>
            <w:r w:rsidRPr="006F3804">
              <w:t>0.152</w:t>
            </w:r>
            <w:r w:rsidRPr="006F3804">
              <w:br/>
              <w:t>(+58.6%)</w:t>
            </w:r>
          </w:p>
        </w:tc>
        <w:tc>
          <w:tcPr>
            <w:tcW w:w="1134" w:type="dxa"/>
          </w:tcPr>
          <w:p w:rsidR="00BC127B" w:rsidRPr="006F3804" w:rsidRDefault="00BC127B" w:rsidP="003954B6">
            <w:pPr>
              <w:pStyle w:val="Tabletextcentred"/>
            </w:pPr>
            <w:r w:rsidRPr="006F3804">
              <w:t>0.074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TC4</w:t>
            </w:r>
          </w:p>
        </w:tc>
        <w:tc>
          <w:tcPr>
            <w:tcW w:w="1293" w:type="dxa"/>
          </w:tcPr>
          <w:p w:rsidR="00BC127B" w:rsidRPr="006F3804" w:rsidRDefault="00BC127B" w:rsidP="003954B6">
            <w:pPr>
              <w:pStyle w:val="Tabletextcentred"/>
            </w:pPr>
            <w:r w:rsidRPr="006F3804">
              <w:t>0.144</w:t>
            </w:r>
          </w:p>
        </w:tc>
        <w:tc>
          <w:tcPr>
            <w:tcW w:w="1134" w:type="dxa"/>
          </w:tcPr>
          <w:p w:rsidR="00BC127B" w:rsidRPr="006F3804" w:rsidRDefault="00BC127B" w:rsidP="003954B6">
            <w:pPr>
              <w:pStyle w:val="Tabletextcentred"/>
            </w:pPr>
            <w:r w:rsidRPr="006F3804">
              <w:t>0.133</w:t>
            </w:r>
            <w:r w:rsidRPr="006F3804">
              <w:br/>
              <w:t>(-7.9%)</w:t>
            </w:r>
          </w:p>
        </w:tc>
        <w:tc>
          <w:tcPr>
            <w:tcW w:w="1418" w:type="dxa"/>
          </w:tcPr>
          <w:p w:rsidR="00BC127B" w:rsidRPr="006F3804" w:rsidRDefault="00BC127B" w:rsidP="003954B6">
            <w:pPr>
              <w:pStyle w:val="Tabletextcentred"/>
            </w:pPr>
            <w:r w:rsidRPr="006F3804">
              <w:t>0.125</w:t>
            </w:r>
            <w:r w:rsidRPr="006F3804">
              <w:br/>
              <w:t>(-13.2%)</w:t>
            </w:r>
          </w:p>
        </w:tc>
        <w:tc>
          <w:tcPr>
            <w:tcW w:w="1134" w:type="dxa"/>
          </w:tcPr>
          <w:p w:rsidR="00BC127B" w:rsidRPr="006F3804" w:rsidRDefault="00BC127B" w:rsidP="003954B6">
            <w:pPr>
              <w:pStyle w:val="Tabletextcentred"/>
            </w:pPr>
            <w:r w:rsidRPr="006F3804">
              <w:t>0.142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TC3</w:t>
            </w:r>
          </w:p>
        </w:tc>
        <w:tc>
          <w:tcPr>
            <w:tcW w:w="1293" w:type="dxa"/>
          </w:tcPr>
          <w:p w:rsidR="00BC127B" w:rsidRPr="006F3804" w:rsidRDefault="00BC127B" w:rsidP="003954B6">
            <w:pPr>
              <w:pStyle w:val="Tabletextcentred"/>
            </w:pPr>
            <w:r w:rsidRPr="006F3804">
              <w:t>0.155</w:t>
            </w:r>
          </w:p>
        </w:tc>
        <w:tc>
          <w:tcPr>
            <w:tcW w:w="1134" w:type="dxa"/>
          </w:tcPr>
          <w:p w:rsidR="00BC127B" w:rsidRPr="006F3804" w:rsidRDefault="00BC127B" w:rsidP="003954B6">
            <w:pPr>
              <w:pStyle w:val="Tabletextcentred"/>
            </w:pPr>
            <w:r w:rsidRPr="006F3804">
              <w:t>0.128</w:t>
            </w:r>
            <w:r w:rsidRPr="006F3804">
              <w:br/>
              <w:t>(-17.8%)</w:t>
            </w:r>
          </w:p>
        </w:tc>
        <w:tc>
          <w:tcPr>
            <w:tcW w:w="1418" w:type="dxa"/>
          </w:tcPr>
          <w:p w:rsidR="00BC127B" w:rsidRPr="006F3804" w:rsidRDefault="00BC127B" w:rsidP="003954B6">
            <w:pPr>
              <w:pStyle w:val="Tabletextcentred"/>
            </w:pPr>
            <w:r w:rsidRPr="006F3804">
              <w:t>0.109</w:t>
            </w:r>
            <w:r w:rsidRPr="006F3804">
              <w:br/>
              <w:t>(-29.6%)</w:t>
            </w:r>
          </w:p>
        </w:tc>
        <w:tc>
          <w:tcPr>
            <w:tcW w:w="1134" w:type="dxa"/>
          </w:tcPr>
          <w:p w:rsidR="00BC127B" w:rsidRPr="006F3804" w:rsidRDefault="00BC127B" w:rsidP="003954B6">
            <w:pPr>
              <w:pStyle w:val="Tabletextcentred"/>
            </w:pPr>
            <w:r w:rsidRPr="006F3804">
              <w:t>0.151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TC2</w:t>
            </w:r>
          </w:p>
        </w:tc>
        <w:tc>
          <w:tcPr>
            <w:tcW w:w="1293" w:type="dxa"/>
          </w:tcPr>
          <w:p w:rsidR="00BC127B" w:rsidRPr="006F3804" w:rsidRDefault="00BC127B" w:rsidP="003954B6">
            <w:pPr>
              <w:pStyle w:val="Tabletextcentred"/>
            </w:pPr>
            <w:r w:rsidRPr="006F3804">
              <w:t>0.099</w:t>
            </w:r>
          </w:p>
        </w:tc>
        <w:tc>
          <w:tcPr>
            <w:tcW w:w="1134" w:type="dxa"/>
          </w:tcPr>
          <w:p w:rsidR="00BC127B" w:rsidRPr="006F3804" w:rsidRDefault="00BC127B" w:rsidP="003954B6">
            <w:pPr>
              <w:pStyle w:val="Tabletextcentred"/>
            </w:pPr>
            <w:r w:rsidRPr="006F3804">
              <w:t>0.115</w:t>
            </w:r>
            <w:r w:rsidRPr="006F3804">
              <w:br/>
              <w:t>(+15.9%)</w:t>
            </w:r>
          </w:p>
        </w:tc>
        <w:tc>
          <w:tcPr>
            <w:tcW w:w="1418" w:type="dxa"/>
          </w:tcPr>
          <w:p w:rsidR="00BC127B" w:rsidRPr="006F3804" w:rsidRDefault="00BC127B" w:rsidP="003954B6">
            <w:pPr>
              <w:pStyle w:val="Tabletextcentred"/>
            </w:pPr>
            <w:r w:rsidRPr="006F3804">
              <w:t>0.125</w:t>
            </w:r>
            <w:r w:rsidRPr="006F3804">
              <w:br/>
              <w:t>(+26.4%)</w:t>
            </w:r>
          </w:p>
        </w:tc>
        <w:tc>
          <w:tcPr>
            <w:tcW w:w="1134" w:type="dxa"/>
          </w:tcPr>
          <w:p w:rsidR="00BC127B" w:rsidRPr="006F3804" w:rsidRDefault="00BC127B" w:rsidP="003954B6">
            <w:pPr>
              <w:pStyle w:val="Tabletextcentred"/>
            </w:pPr>
            <w:r w:rsidRPr="006F3804">
              <w:t>0.138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TC1</w:t>
            </w:r>
          </w:p>
        </w:tc>
        <w:tc>
          <w:tcPr>
            <w:tcW w:w="1293" w:type="dxa"/>
          </w:tcPr>
          <w:p w:rsidR="00BC127B" w:rsidRPr="006F3804" w:rsidRDefault="00BC127B" w:rsidP="003954B6">
            <w:pPr>
              <w:pStyle w:val="Tabletextcentred"/>
            </w:pPr>
            <w:r w:rsidRPr="006F3804">
              <w:t>0.195</w:t>
            </w:r>
          </w:p>
        </w:tc>
        <w:tc>
          <w:tcPr>
            <w:tcW w:w="1134" w:type="dxa"/>
          </w:tcPr>
          <w:p w:rsidR="00BC127B" w:rsidRPr="006F3804" w:rsidRDefault="00BC127B" w:rsidP="003954B6">
            <w:pPr>
              <w:pStyle w:val="Tabletextcentred"/>
            </w:pPr>
            <w:r w:rsidRPr="006F3804">
              <w:t>0.176</w:t>
            </w:r>
            <w:r w:rsidRPr="006F3804">
              <w:br/>
              <w:t>(-9.5%)</w:t>
            </w:r>
          </w:p>
        </w:tc>
        <w:tc>
          <w:tcPr>
            <w:tcW w:w="1418" w:type="dxa"/>
          </w:tcPr>
          <w:p w:rsidR="00BC127B" w:rsidRPr="006F3804" w:rsidRDefault="00BC127B" w:rsidP="003954B6">
            <w:pPr>
              <w:pStyle w:val="Tabletextcentred"/>
            </w:pPr>
            <w:r w:rsidRPr="006F3804">
              <w:t>0.164</w:t>
            </w:r>
            <w:r w:rsidRPr="006F3804">
              <w:br/>
              <w:t>(-15.8%)</w:t>
            </w:r>
          </w:p>
        </w:tc>
        <w:tc>
          <w:tcPr>
            <w:tcW w:w="1134" w:type="dxa"/>
          </w:tcPr>
          <w:p w:rsidR="00BC127B" w:rsidRPr="006F3804" w:rsidRDefault="00BC127B" w:rsidP="003954B6">
            <w:pPr>
              <w:pStyle w:val="Tabletextcentred"/>
            </w:pPr>
            <w:r w:rsidRPr="006F3804">
              <w:t>0.253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TS</w:t>
            </w:r>
          </w:p>
        </w:tc>
        <w:tc>
          <w:tcPr>
            <w:tcW w:w="1293" w:type="dxa"/>
          </w:tcPr>
          <w:p w:rsidR="00BC127B" w:rsidRPr="006F3804" w:rsidRDefault="00BC127B" w:rsidP="003954B6">
            <w:pPr>
              <w:pStyle w:val="Tabletextcentred"/>
            </w:pPr>
            <w:r w:rsidRPr="006F3804">
              <w:t>0.189</w:t>
            </w:r>
          </w:p>
        </w:tc>
        <w:tc>
          <w:tcPr>
            <w:tcW w:w="1134" w:type="dxa"/>
          </w:tcPr>
          <w:p w:rsidR="00BC127B" w:rsidRPr="006F3804" w:rsidRDefault="00BC127B" w:rsidP="003954B6">
            <w:pPr>
              <w:pStyle w:val="Tabletextcentred"/>
            </w:pPr>
            <w:r w:rsidRPr="006F3804">
              <w:t>0.216</w:t>
            </w:r>
            <w:r w:rsidRPr="006F3804">
              <w:br/>
              <w:t>(+14.3%)</w:t>
            </w:r>
          </w:p>
        </w:tc>
        <w:tc>
          <w:tcPr>
            <w:tcW w:w="1418" w:type="dxa"/>
          </w:tcPr>
          <w:p w:rsidR="00BC127B" w:rsidRPr="006F3804" w:rsidRDefault="00BC127B" w:rsidP="003954B6">
            <w:pPr>
              <w:pStyle w:val="Tabletextcentred"/>
            </w:pPr>
            <w:r w:rsidRPr="006F3804">
              <w:t>0.234</w:t>
            </w:r>
            <w:r w:rsidRPr="006F3804">
              <w:br/>
              <w:t>(+23.8%)</w:t>
            </w:r>
          </w:p>
        </w:tc>
        <w:tc>
          <w:tcPr>
            <w:tcW w:w="1134" w:type="dxa"/>
          </w:tcPr>
          <w:p w:rsidR="00BC127B" w:rsidRPr="006F3804" w:rsidRDefault="00BC127B" w:rsidP="003954B6">
            <w:pPr>
              <w:pStyle w:val="Tabletextcentred"/>
            </w:pPr>
            <w:r w:rsidRPr="006F3804">
              <w:t>0.154</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TD</w:t>
            </w:r>
          </w:p>
        </w:tc>
        <w:tc>
          <w:tcPr>
            <w:tcW w:w="1293" w:type="dxa"/>
          </w:tcPr>
          <w:p w:rsidR="00BC127B" w:rsidRPr="006F3804" w:rsidRDefault="00BC127B" w:rsidP="003954B6">
            <w:pPr>
              <w:pStyle w:val="Tabletextcentred"/>
            </w:pPr>
            <w:r w:rsidRPr="006F3804">
              <w:t>0.121</w:t>
            </w:r>
          </w:p>
        </w:tc>
        <w:tc>
          <w:tcPr>
            <w:tcW w:w="1134" w:type="dxa"/>
          </w:tcPr>
          <w:p w:rsidR="00BC127B" w:rsidRPr="006F3804" w:rsidRDefault="00BC127B" w:rsidP="003954B6">
            <w:pPr>
              <w:pStyle w:val="Tabletextcentred"/>
            </w:pPr>
            <w:r w:rsidRPr="006F3804">
              <w:t>0.102</w:t>
            </w:r>
            <w:r w:rsidRPr="006F3804">
              <w:br/>
              <w:t>(-15.6%)</w:t>
            </w:r>
          </w:p>
        </w:tc>
        <w:tc>
          <w:tcPr>
            <w:tcW w:w="1418" w:type="dxa"/>
          </w:tcPr>
          <w:p w:rsidR="00BC127B" w:rsidRPr="006F3804" w:rsidRDefault="00BC127B" w:rsidP="003954B6">
            <w:pPr>
              <w:pStyle w:val="Tabletextcentred"/>
            </w:pPr>
            <w:r w:rsidRPr="006F3804">
              <w:t>0.09</w:t>
            </w:r>
            <w:r w:rsidRPr="006F3804">
              <w:br/>
              <w:t>(-26.0%)</w:t>
            </w:r>
          </w:p>
        </w:tc>
        <w:tc>
          <w:tcPr>
            <w:tcW w:w="1134" w:type="dxa"/>
          </w:tcPr>
          <w:p w:rsidR="00BC127B" w:rsidRPr="006F3804" w:rsidRDefault="00BC127B" w:rsidP="003954B6">
            <w:pPr>
              <w:pStyle w:val="Tabletextcentred"/>
            </w:pPr>
            <w:r w:rsidRPr="006F3804">
              <w:t>0.089</w:t>
            </w:r>
          </w:p>
        </w:tc>
      </w:tr>
    </w:tbl>
    <w:p w:rsidR="00BC127B" w:rsidRPr="007609A5" w:rsidRDefault="00BC127B" w:rsidP="00DE0A84">
      <w:pPr>
        <w:pStyle w:val="Tabletitle"/>
      </w:pPr>
      <w:r w:rsidRPr="007609A5">
        <w:t xml:space="preserve">Table </w:t>
      </w:r>
      <w:r w:rsidR="00E57C2A">
        <w:t>B.18</w:t>
      </w:r>
      <w:r w:rsidRPr="007609A5">
        <w:t xml:space="preserve"> ECHAM5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TC5</w:t>
            </w:r>
          </w:p>
        </w:tc>
        <w:tc>
          <w:tcPr>
            <w:tcW w:w="1293" w:type="dxa"/>
          </w:tcPr>
          <w:p w:rsidR="00BC127B" w:rsidRPr="006F3804" w:rsidRDefault="00BC127B" w:rsidP="003954B6">
            <w:pPr>
              <w:pStyle w:val="Tabletextcentred"/>
            </w:pPr>
            <w:r w:rsidRPr="006F3804">
              <w:t>0.091</w:t>
            </w:r>
          </w:p>
        </w:tc>
        <w:tc>
          <w:tcPr>
            <w:tcW w:w="1134" w:type="dxa"/>
          </w:tcPr>
          <w:p w:rsidR="00BC127B" w:rsidRPr="006F3804" w:rsidRDefault="00BC127B" w:rsidP="003954B6">
            <w:pPr>
              <w:pStyle w:val="Tabletextcentred"/>
            </w:pPr>
            <w:r w:rsidRPr="006F3804">
              <w:t>0.095</w:t>
            </w:r>
            <w:r w:rsidRPr="006F3804">
              <w:br/>
              <w:t>(+4.2%)</w:t>
            </w:r>
          </w:p>
        </w:tc>
        <w:tc>
          <w:tcPr>
            <w:tcW w:w="1418" w:type="dxa"/>
          </w:tcPr>
          <w:p w:rsidR="00BC127B" w:rsidRPr="006F3804" w:rsidRDefault="00BC127B" w:rsidP="003954B6">
            <w:pPr>
              <w:pStyle w:val="Tabletextcentred"/>
            </w:pPr>
            <w:r w:rsidRPr="006F3804">
              <w:t>0.098</w:t>
            </w:r>
            <w:r w:rsidRPr="006F3804">
              <w:br/>
              <w:t>(+6.9%)</w:t>
            </w:r>
          </w:p>
        </w:tc>
        <w:tc>
          <w:tcPr>
            <w:tcW w:w="1134" w:type="dxa"/>
          </w:tcPr>
          <w:p w:rsidR="00BC127B" w:rsidRPr="006F3804" w:rsidRDefault="00BC127B" w:rsidP="003954B6">
            <w:pPr>
              <w:pStyle w:val="Tabletextcentred"/>
            </w:pPr>
            <w:r w:rsidRPr="006F3804">
              <w:t>0.074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TC4</w:t>
            </w:r>
          </w:p>
        </w:tc>
        <w:tc>
          <w:tcPr>
            <w:tcW w:w="1293" w:type="dxa"/>
          </w:tcPr>
          <w:p w:rsidR="00BC127B" w:rsidRPr="006F3804" w:rsidRDefault="00BC127B" w:rsidP="003954B6">
            <w:pPr>
              <w:pStyle w:val="Tabletextcentred"/>
            </w:pPr>
            <w:r w:rsidRPr="006F3804">
              <w:t>0.172</w:t>
            </w:r>
          </w:p>
        </w:tc>
        <w:tc>
          <w:tcPr>
            <w:tcW w:w="1134" w:type="dxa"/>
          </w:tcPr>
          <w:p w:rsidR="00BC127B" w:rsidRPr="006F3804" w:rsidRDefault="00BC127B" w:rsidP="003954B6">
            <w:pPr>
              <w:pStyle w:val="Tabletextcentred"/>
            </w:pPr>
            <w:r w:rsidRPr="006F3804">
              <w:t>0.137</w:t>
            </w:r>
            <w:r w:rsidRPr="006F3804">
              <w:br/>
              <w:t>(-20.4%)</w:t>
            </w:r>
          </w:p>
        </w:tc>
        <w:tc>
          <w:tcPr>
            <w:tcW w:w="1418" w:type="dxa"/>
          </w:tcPr>
          <w:p w:rsidR="00BC127B" w:rsidRPr="006F3804" w:rsidRDefault="00BC127B" w:rsidP="003954B6">
            <w:pPr>
              <w:pStyle w:val="Tabletextcentred"/>
            </w:pPr>
            <w:r w:rsidRPr="006F3804">
              <w:t>0.113</w:t>
            </w:r>
            <w:r w:rsidRPr="006F3804">
              <w:br/>
              <w:t>(-34.0%)</w:t>
            </w:r>
          </w:p>
        </w:tc>
        <w:tc>
          <w:tcPr>
            <w:tcW w:w="1134" w:type="dxa"/>
          </w:tcPr>
          <w:p w:rsidR="00BC127B" w:rsidRPr="006F3804" w:rsidRDefault="00BC127B" w:rsidP="003954B6">
            <w:pPr>
              <w:pStyle w:val="Tabletextcentred"/>
            </w:pPr>
            <w:r w:rsidRPr="006F3804">
              <w:t>0.142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TC3</w:t>
            </w:r>
          </w:p>
        </w:tc>
        <w:tc>
          <w:tcPr>
            <w:tcW w:w="1293" w:type="dxa"/>
          </w:tcPr>
          <w:p w:rsidR="00BC127B" w:rsidRPr="006F3804" w:rsidRDefault="00BC127B" w:rsidP="003954B6">
            <w:pPr>
              <w:pStyle w:val="Tabletextcentred"/>
            </w:pPr>
            <w:r w:rsidRPr="006F3804">
              <w:t>0.168</w:t>
            </w:r>
          </w:p>
        </w:tc>
        <w:tc>
          <w:tcPr>
            <w:tcW w:w="1134" w:type="dxa"/>
          </w:tcPr>
          <w:p w:rsidR="00BC127B" w:rsidRPr="006F3804" w:rsidRDefault="00BC127B" w:rsidP="003954B6">
            <w:pPr>
              <w:pStyle w:val="Tabletextcentred"/>
            </w:pPr>
            <w:r w:rsidRPr="006F3804">
              <w:t>0.197</w:t>
            </w:r>
            <w:r w:rsidRPr="006F3804">
              <w:br/>
              <w:t>(+17.4%)</w:t>
            </w:r>
          </w:p>
        </w:tc>
        <w:tc>
          <w:tcPr>
            <w:tcW w:w="1418" w:type="dxa"/>
          </w:tcPr>
          <w:p w:rsidR="00BC127B" w:rsidRPr="006F3804" w:rsidRDefault="00BC127B" w:rsidP="003954B6">
            <w:pPr>
              <w:pStyle w:val="Tabletextcentred"/>
            </w:pPr>
            <w:r w:rsidRPr="006F3804">
              <w:t>0.216</w:t>
            </w:r>
            <w:r w:rsidRPr="006F3804">
              <w:br/>
              <w:t>(+29.0%)</w:t>
            </w:r>
          </w:p>
        </w:tc>
        <w:tc>
          <w:tcPr>
            <w:tcW w:w="1134" w:type="dxa"/>
          </w:tcPr>
          <w:p w:rsidR="00BC127B" w:rsidRPr="006F3804" w:rsidRDefault="00BC127B" w:rsidP="003954B6">
            <w:pPr>
              <w:pStyle w:val="Tabletextcentred"/>
            </w:pPr>
            <w:r w:rsidRPr="006F3804">
              <w:t>0.151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TC2</w:t>
            </w:r>
          </w:p>
        </w:tc>
        <w:tc>
          <w:tcPr>
            <w:tcW w:w="1293" w:type="dxa"/>
          </w:tcPr>
          <w:p w:rsidR="00BC127B" w:rsidRPr="006F3804" w:rsidRDefault="00BC127B" w:rsidP="003954B6">
            <w:pPr>
              <w:pStyle w:val="Tabletextcentred"/>
            </w:pPr>
            <w:r w:rsidRPr="006F3804">
              <w:t>0.161</w:t>
            </w:r>
          </w:p>
        </w:tc>
        <w:tc>
          <w:tcPr>
            <w:tcW w:w="1134" w:type="dxa"/>
          </w:tcPr>
          <w:p w:rsidR="00BC127B" w:rsidRPr="006F3804" w:rsidRDefault="00BC127B" w:rsidP="003954B6">
            <w:pPr>
              <w:pStyle w:val="Tabletextcentred"/>
            </w:pPr>
            <w:r w:rsidRPr="006F3804">
              <w:t>0.191</w:t>
            </w:r>
            <w:r w:rsidRPr="006F3804">
              <w:br/>
              <w:t>(+18.5%)</w:t>
            </w:r>
          </w:p>
        </w:tc>
        <w:tc>
          <w:tcPr>
            <w:tcW w:w="1418" w:type="dxa"/>
          </w:tcPr>
          <w:p w:rsidR="00BC127B" w:rsidRPr="006F3804" w:rsidRDefault="00BC127B" w:rsidP="003954B6">
            <w:pPr>
              <w:pStyle w:val="Tabletextcentred"/>
            </w:pPr>
            <w:r w:rsidRPr="006F3804">
              <w:t>0.211</w:t>
            </w:r>
            <w:r w:rsidRPr="006F3804">
              <w:br/>
              <w:t>(+30.8%)</w:t>
            </w:r>
          </w:p>
        </w:tc>
        <w:tc>
          <w:tcPr>
            <w:tcW w:w="1134" w:type="dxa"/>
          </w:tcPr>
          <w:p w:rsidR="00BC127B" w:rsidRPr="006F3804" w:rsidRDefault="00BC127B" w:rsidP="003954B6">
            <w:pPr>
              <w:pStyle w:val="Tabletextcentred"/>
            </w:pPr>
            <w:r w:rsidRPr="006F3804">
              <w:t>0.138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TC1</w:t>
            </w:r>
          </w:p>
        </w:tc>
        <w:tc>
          <w:tcPr>
            <w:tcW w:w="1293" w:type="dxa"/>
          </w:tcPr>
          <w:p w:rsidR="00BC127B" w:rsidRPr="006F3804" w:rsidRDefault="00BC127B" w:rsidP="003954B6">
            <w:pPr>
              <w:pStyle w:val="Tabletextcentred"/>
            </w:pPr>
            <w:r w:rsidRPr="006F3804">
              <w:t>0.195</w:t>
            </w:r>
          </w:p>
        </w:tc>
        <w:tc>
          <w:tcPr>
            <w:tcW w:w="1134" w:type="dxa"/>
          </w:tcPr>
          <w:p w:rsidR="00BC127B" w:rsidRPr="006F3804" w:rsidRDefault="00BC127B" w:rsidP="003954B6">
            <w:pPr>
              <w:pStyle w:val="Tabletextcentred"/>
            </w:pPr>
            <w:r w:rsidRPr="006F3804">
              <w:t>0.205</w:t>
            </w:r>
            <w:r w:rsidRPr="006F3804">
              <w:br/>
              <w:t>(+4.8%)</w:t>
            </w:r>
          </w:p>
        </w:tc>
        <w:tc>
          <w:tcPr>
            <w:tcW w:w="1418" w:type="dxa"/>
          </w:tcPr>
          <w:p w:rsidR="00BC127B" w:rsidRPr="006F3804" w:rsidRDefault="00BC127B" w:rsidP="003954B6">
            <w:pPr>
              <w:pStyle w:val="Tabletextcentred"/>
            </w:pPr>
            <w:r w:rsidRPr="006F3804">
              <w:t>0.211</w:t>
            </w:r>
            <w:r w:rsidRPr="006F3804">
              <w:br/>
              <w:t>(+8.1%)</w:t>
            </w:r>
          </w:p>
        </w:tc>
        <w:tc>
          <w:tcPr>
            <w:tcW w:w="1134" w:type="dxa"/>
          </w:tcPr>
          <w:p w:rsidR="00BC127B" w:rsidRPr="006F3804" w:rsidRDefault="00BC127B" w:rsidP="003954B6">
            <w:pPr>
              <w:pStyle w:val="Tabletextcentred"/>
            </w:pPr>
            <w:r w:rsidRPr="006F3804">
              <w:t>0.253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TS</w:t>
            </w:r>
          </w:p>
        </w:tc>
        <w:tc>
          <w:tcPr>
            <w:tcW w:w="1293" w:type="dxa"/>
          </w:tcPr>
          <w:p w:rsidR="00BC127B" w:rsidRPr="006F3804" w:rsidRDefault="00BC127B" w:rsidP="003954B6">
            <w:pPr>
              <w:pStyle w:val="Tabletextcentred"/>
            </w:pPr>
            <w:r w:rsidRPr="006F3804">
              <w:t>0.149</w:t>
            </w:r>
          </w:p>
        </w:tc>
        <w:tc>
          <w:tcPr>
            <w:tcW w:w="1134" w:type="dxa"/>
          </w:tcPr>
          <w:p w:rsidR="00BC127B" w:rsidRPr="006F3804" w:rsidRDefault="00BC127B" w:rsidP="003954B6">
            <w:pPr>
              <w:pStyle w:val="Tabletextcentred"/>
            </w:pPr>
            <w:r w:rsidRPr="006F3804">
              <w:t>0.132</w:t>
            </w:r>
            <w:r w:rsidRPr="006F3804">
              <w:br/>
              <w:t>(-11.0%)</w:t>
            </w:r>
          </w:p>
        </w:tc>
        <w:tc>
          <w:tcPr>
            <w:tcW w:w="1418" w:type="dxa"/>
          </w:tcPr>
          <w:p w:rsidR="00BC127B" w:rsidRPr="006F3804" w:rsidRDefault="00BC127B" w:rsidP="003954B6">
            <w:pPr>
              <w:pStyle w:val="Tabletextcentred"/>
            </w:pPr>
            <w:r w:rsidRPr="006F3804">
              <w:t>0.121</w:t>
            </w:r>
            <w:r w:rsidRPr="006F3804">
              <w:br/>
              <w:t>(-18.3%)</w:t>
            </w:r>
          </w:p>
        </w:tc>
        <w:tc>
          <w:tcPr>
            <w:tcW w:w="1134" w:type="dxa"/>
          </w:tcPr>
          <w:p w:rsidR="00BC127B" w:rsidRPr="006F3804" w:rsidRDefault="00BC127B" w:rsidP="003954B6">
            <w:pPr>
              <w:pStyle w:val="Tabletextcentred"/>
            </w:pPr>
            <w:r w:rsidRPr="006F3804">
              <w:t>0.154</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TD</w:t>
            </w:r>
          </w:p>
        </w:tc>
        <w:tc>
          <w:tcPr>
            <w:tcW w:w="1293" w:type="dxa"/>
          </w:tcPr>
          <w:p w:rsidR="00BC127B" w:rsidRPr="006F3804" w:rsidRDefault="00BC127B" w:rsidP="003954B6">
            <w:pPr>
              <w:pStyle w:val="Tabletextcentred"/>
            </w:pPr>
            <w:r w:rsidRPr="006F3804">
              <w:t>0.064</w:t>
            </w:r>
          </w:p>
        </w:tc>
        <w:tc>
          <w:tcPr>
            <w:tcW w:w="1134" w:type="dxa"/>
          </w:tcPr>
          <w:p w:rsidR="00BC127B" w:rsidRPr="006F3804" w:rsidRDefault="00BC127B" w:rsidP="003954B6">
            <w:pPr>
              <w:pStyle w:val="Tabletextcentred"/>
            </w:pPr>
            <w:r w:rsidRPr="006F3804">
              <w:t>0.043</w:t>
            </w:r>
            <w:r w:rsidRPr="006F3804">
              <w:br/>
              <w:t>(-32.7%)</w:t>
            </w:r>
          </w:p>
        </w:tc>
        <w:tc>
          <w:tcPr>
            <w:tcW w:w="1418" w:type="dxa"/>
          </w:tcPr>
          <w:p w:rsidR="00BC127B" w:rsidRPr="006F3804" w:rsidRDefault="00BC127B" w:rsidP="003954B6">
            <w:pPr>
              <w:pStyle w:val="Tabletextcentred"/>
            </w:pPr>
            <w:r w:rsidRPr="006F3804">
              <w:t>0.029</w:t>
            </w:r>
            <w:r w:rsidRPr="006F3804">
              <w:br/>
              <w:t>(-54.4%)</w:t>
            </w:r>
          </w:p>
        </w:tc>
        <w:tc>
          <w:tcPr>
            <w:tcW w:w="1134" w:type="dxa"/>
          </w:tcPr>
          <w:p w:rsidR="00BC127B" w:rsidRPr="006F3804" w:rsidRDefault="00BC127B" w:rsidP="003954B6">
            <w:pPr>
              <w:pStyle w:val="Tabletextcentred"/>
            </w:pPr>
            <w:r w:rsidRPr="006F3804">
              <w:t>0.089</w:t>
            </w:r>
          </w:p>
        </w:tc>
      </w:tr>
    </w:tbl>
    <w:p w:rsidR="00BC127B" w:rsidRPr="007609A5" w:rsidRDefault="00BC127B" w:rsidP="00DE0A84">
      <w:pPr>
        <w:pStyle w:val="Tabletitle"/>
      </w:pPr>
      <w:r>
        <w:br w:type="page"/>
      </w:r>
      <w:r w:rsidRPr="007609A5">
        <w:lastRenderedPageBreak/>
        <w:t xml:space="preserve">Table </w:t>
      </w:r>
      <w:r w:rsidR="00E57C2A">
        <w:t xml:space="preserve">B.19 </w:t>
      </w:r>
      <w:r w:rsidRPr="007609A5">
        <w:t>GFDL CM2.0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A01A35"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TC5</w:t>
            </w:r>
          </w:p>
        </w:tc>
        <w:tc>
          <w:tcPr>
            <w:tcW w:w="1293" w:type="dxa"/>
          </w:tcPr>
          <w:p w:rsidR="00BC127B" w:rsidRPr="006F3804" w:rsidRDefault="00BC127B" w:rsidP="003954B6">
            <w:pPr>
              <w:pStyle w:val="Tabletextcentred"/>
            </w:pPr>
            <w:r w:rsidRPr="006F3804">
              <w:t>0.086</w:t>
            </w:r>
          </w:p>
        </w:tc>
        <w:tc>
          <w:tcPr>
            <w:tcW w:w="1134" w:type="dxa"/>
          </w:tcPr>
          <w:p w:rsidR="00BC127B" w:rsidRPr="006F3804" w:rsidRDefault="00BC127B" w:rsidP="003954B6">
            <w:pPr>
              <w:pStyle w:val="Tabletextcentred"/>
            </w:pPr>
            <w:r w:rsidRPr="006F3804">
              <w:t>0.085</w:t>
            </w:r>
            <w:r w:rsidRPr="006F3804">
              <w:br/>
              <w:t>(-1.0%)</w:t>
            </w:r>
          </w:p>
        </w:tc>
        <w:tc>
          <w:tcPr>
            <w:tcW w:w="1418" w:type="dxa"/>
          </w:tcPr>
          <w:p w:rsidR="00BC127B" w:rsidRPr="006F3804" w:rsidRDefault="00BC127B" w:rsidP="003954B6">
            <w:pPr>
              <w:pStyle w:val="Tabletextcentred"/>
            </w:pPr>
            <w:r w:rsidRPr="006F3804">
              <w:t>0.085</w:t>
            </w:r>
            <w:r w:rsidRPr="006F3804">
              <w:br/>
              <w:t>(-1.7%)</w:t>
            </w:r>
          </w:p>
        </w:tc>
        <w:tc>
          <w:tcPr>
            <w:tcW w:w="1134" w:type="dxa"/>
          </w:tcPr>
          <w:p w:rsidR="00BC127B" w:rsidRPr="006F3804" w:rsidRDefault="00BC127B" w:rsidP="003954B6">
            <w:pPr>
              <w:pStyle w:val="Tabletextcentred"/>
            </w:pPr>
            <w:r w:rsidRPr="006F3804">
              <w:t>0.074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TC4</w:t>
            </w:r>
          </w:p>
        </w:tc>
        <w:tc>
          <w:tcPr>
            <w:tcW w:w="1293" w:type="dxa"/>
          </w:tcPr>
          <w:p w:rsidR="00BC127B" w:rsidRPr="006F3804" w:rsidRDefault="00BC127B" w:rsidP="003954B6">
            <w:pPr>
              <w:pStyle w:val="Tabletextcentred"/>
            </w:pPr>
            <w:r w:rsidRPr="006F3804">
              <w:t>0.11</w:t>
            </w:r>
          </w:p>
        </w:tc>
        <w:tc>
          <w:tcPr>
            <w:tcW w:w="1134" w:type="dxa"/>
          </w:tcPr>
          <w:p w:rsidR="00BC127B" w:rsidRPr="006F3804" w:rsidRDefault="00BC127B" w:rsidP="003954B6">
            <w:pPr>
              <w:pStyle w:val="Tabletextcentred"/>
            </w:pPr>
            <w:r w:rsidRPr="006F3804">
              <w:t>0.142</w:t>
            </w:r>
            <w:r w:rsidRPr="006F3804">
              <w:br/>
              <w:t>(+29.2%)</w:t>
            </w:r>
          </w:p>
        </w:tc>
        <w:tc>
          <w:tcPr>
            <w:tcW w:w="1418" w:type="dxa"/>
          </w:tcPr>
          <w:p w:rsidR="00BC127B" w:rsidRPr="006F3804" w:rsidRDefault="00BC127B" w:rsidP="003954B6">
            <w:pPr>
              <w:pStyle w:val="Tabletextcentred"/>
            </w:pPr>
            <w:r w:rsidRPr="006F3804">
              <w:t>0.163</w:t>
            </w:r>
            <w:r w:rsidRPr="006F3804">
              <w:br/>
              <w:t>(+48.7%)</w:t>
            </w:r>
          </w:p>
        </w:tc>
        <w:tc>
          <w:tcPr>
            <w:tcW w:w="1134" w:type="dxa"/>
          </w:tcPr>
          <w:p w:rsidR="00BC127B" w:rsidRPr="006F3804" w:rsidRDefault="00BC127B" w:rsidP="003954B6">
            <w:pPr>
              <w:pStyle w:val="Tabletextcentred"/>
            </w:pPr>
            <w:r w:rsidRPr="006F3804">
              <w:t>0.142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TC3</w:t>
            </w:r>
          </w:p>
        </w:tc>
        <w:tc>
          <w:tcPr>
            <w:tcW w:w="1293" w:type="dxa"/>
          </w:tcPr>
          <w:p w:rsidR="00BC127B" w:rsidRPr="006F3804" w:rsidRDefault="00BC127B" w:rsidP="003954B6">
            <w:pPr>
              <w:pStyle w:val="Tabletextcentred"/>
            </w:pPr>
            <w:r w:rsidRPr="006F3804">
              <w:t>0.148</w:t>
            </w:r>
          </w:p>
        </w:tc>
        <w:tc>
          <w:tcPr>
            <w:tcW w:w="1134" w:type="dxa"/>
          </w:tcPr>
          <w:p w:rsidR="00BC127B" w:rsidRPr="006F3804" w:rsidRDefault="00BC127B" w:rsidP="003954B6">
            <w:pPr>
              <w:pStyle w:val="Tabletextcentred"/>
            </w:pPr>
            <w:r w:rsidRPr="006F3804">
              <w:t>0.156</w:t>
            </w:r>
            <w:r w:rsidRPr="006F3804">
              <w:br/>
              <w:t>(+4.8%)</w:t>
            </w:r>
          </w:p>
        </w:tc>
        <w:tc>
          <w:tcPr>
            <w:tcW w:w="1418" w:type="dxa"/>
          </w:tcPr>
          <w:p w:rsidR="00BC127B" w:rsidRPr="006F3804" w:rsidRDefault="00BC127B" w:rsidP="003954B6">
            <w:pPr>
              <w:pStyle w:val="Tabletextcentred"/>
            </w:pPr>
            <w:r w:rsidRPr="006F3804">
              <w:t>0.16</w:t>
            </w:r>
            <w:r w:rsidRPr="006F3804">
              <w:br/>
              <w:t>(+8.1%)</w:t>
            </w:r>
          </w:p>
        </w:tc>
        <w:tc>
          <w:tcPr>
            <w:tcW w:w="1134" w:type="dxa"/>
          </w:tcPr>
          <w:p w:rsidR="00BC127B" w:rsidRPr="006F3804" w:rsidRDefault="00BC127B" w:rsidP="003954B6">
            <w:pPr>
              <w:pStyle w:val="Tabletextcentred"/>
            </w:pPr>
            <w:r w:rsidRPr="006F3804">
              <w:t>0.151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TC2</w:t>
            </w:r>
          </w:p>
        </w:tc>
        <w:tc>
          <w:tcPr>
            <w:tcW w:w="1293" w:type="dxa"/>
          </w:tcPr>
          <w:p w:rsidR="00BC127B" w:rsidRPr="006F3804" w:rsidRDefault="00BC127B" w:rsidP="003954B6">
            <w:pPr>
              <w:pStyle w:val="Tabletextcentred"/>
            </w:pPr>
            <w:r w:rsidRPr="006F3804">
              <w:t>0.119</w:t>
            </w:r>
          </w:p>
        </w:tc>
        <w:tc>
          <w:tcPr>
            <w:tcW w:w="1134" w:type="dxa"/>
          </w:tcPr>
          <w:p w:rsidR="00BC127B" w:rsidRPr="006F3804" w:rsidRDefault="00BC127B" w:rsidP="003954B6">
            <w:pPr>
              <w:pStyle w:val="Tabletextcentred"/>
            </w:pPr>
            <w:r w:rsidRPr="006F3804">
              <w:t>0.128</w:t>
            </w:r>
            <w:r w:rsidRPr="006F3804">
              <w:br/>
              <w:t>(+7.8%)</w:t>
            </w:r>
          </w:p>
        </w:tc>
        <w:tc>
          <w:tcPr>
            <w:tcW w:w="1418" w:type="dxa"/>
          </w:tcPr>
          <w:p w:rsidR="00BC127B" w:rsidRPr="006F3804" w:rsidRDefault="00BC127B" w:rsidP="003954B6">
            <w:pPr>
              <w:pStyle w:val="Tabletextcentred"/>
            </w:pPr>
            <w:r w:rsidRPr="006F3804">
              <w:t>0.134</w:t>
            </w:r>
            <w:r w:rsidRPr="006F3804">
              <w:br/>
              <w:t>(+13.0%)</w:t>
            </w:r>
          </w:p>
        </w:tc>
        <w:tc>
          <w:tcPr>
            <w:tcW w:w="1134" w:type="dxa"/>
          </w:tcPr>
          <w:p w:rsidR="00BC127B" w:rsidRPr="006F3804" w:rsidRDefault="00BC127B" w:rsidP="003954B6">
            <w:pPr>
              <w:pStyle w:val="Tabletextcentred"/>
            </w:pPr>
            <w:r w:rsidRPr="006F3804">
              <w:t>0.138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TC1</w:t>
            </w:r>
          </w:p>
        </w:tc>
        <w:tc>
          <w:tcPr>
            <w:tcW w:w="1293" w:type="dxa"/>
          </w:tcPr>
          <w:p w:rsidR="00BC127B" w:rsidRPr="006F3804" w:rsidRDefault="00BC127B" w:rsidP="003954B6">
            <w:pPr>
              <w:pStyle w:val="Tabletextcentred"/>
            </w:pPr>
            <w:r w:rsidRPr="006F3804">
              <w:t>0.175</w:t>
            </w:r>
          </w:p>
        </w:tc>
        <w:tc>
          <w:tcPr>
            <w:tcW w:w="1134" w:type="dxa"/>
          </w:tcPr>
          <w:p w:rsidR="00BC127B" w:rsidRPr="006F3804" w:rsidRDefault="00BC127B" w:rsidP="003954B6">
            <w:pPr>
              <w:pStyle w:val="Tabletextcentred"/>
            </w:pPr>
            <w:r w:rsidRPr="006F3804">
              <w:t>0.187</w:t>
            </w:r>
            <w:r w:rsidRPr="006F3804">
              <w:br/>
              <w:t>(+6.9%)</w:t>
            </w:r>
          </w:p>
        </w:tc>
        <w:tc>
          <w:tcPr>
            <w:tcW w:w="1418" w:type="dxa"/>
          </w:tcPr>
          <w:p w:rsidR="00BC127B" w:rsidRPr="006F3804" w:rsidRDefault="00BC127B" w:rsidP="003954B6">
            <w:pPr>
              <w:pStyle w:val="Tabletextcentred"/>
            </w:pPr>
            <w:r w:rsidRPr="006F3804">
              <w:t>0.195</w:t>
            </w:r>
            <w:r w:rsidRPr="006F3804">
              <w:br/>
              <w:t>(+11.6%)</w:t>
            </w:r>
          </w:p>
        </w:tc>
        <w:tc>
          <w:tcPr>
            <w:tcW w:w="1134" w:type="dxa"/>
          </w:tcPr>
          <w:p w:rsidR="00BC127B" w:rsidRPr="006F3804" w:rsidRDefault="00BC127B" w:rsidP="003954B6">
            <w:pPr>
              <w:pStyle w:val="Tabletextcentred"/>
            </w:pPr>
            <w:r w:rsidRPr="006F3804">
              <w:t>0.253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3954B6">
            <w:pPr>
              <w:pStyle w:val="Tabletextcentred"/>
            </w:pPr>
            <w:r w:rsidRPr="00573ED2">
              <w:t>TS</w:t>
            </w:r>
          </w:p>
        </w:tc>
        <w:tc>
          <w:tcPr>
            <w:tcW w:w="1293" w:type="dxa"/>
          </w:tcPr>
          <w:p w:rsidR="00BC127B" w:rsidRPr="006F3804" w:rsidRDefault="00BC127B" w:rsidP="003954B6">
            <w:pPr>
              <w:pStyle w:val="Tabletextcentred"/>
            </w:pPr>
            <w:r w:rsidRPr="006F3804">
              <w:t>0.255</w:t>
            </w:r>
          </w:p>
        </w:tc>
        <w:tc>
          <w:tcPr>
            <w:tcW w:w="1134" w:type="dxa"/>
          </w:tcPr>
          <w:p w:rsidR="00BC127B" w:rsidRPr="006F3804" w:rsidRDefault="00BC127B" w:rsidP="003954B6">
            <w:pPr>
              <w:pStyle w:val="Tabletextcentred"/>
            </w:pPr>
            <w:r w:rsidRPr="006F3804">
              <w:t>0.218</w:t>
            </w:r>
            <w:r w:rsidRPr="006F3804">
              <w:br/>
              <w:t>(-14.8%)</w:t>
            </w:r>
          </w:p>
        </w:tc>
        <w:tc>
          <w:tcPr>
            <w:tcW w:w="1418" w:type="dxa"/>
          </w:tcPr>
          <w:p w:rsidR="00BC127B" w:rsidRPr="006F3804" w:rsidRDefault="00BC127B" w:rsidP="003954B6">
            <w:pPr>
              <w:pStyle w:val="Tabletextcentred"/>
            </w:pPr>
            <w:r w:rsidRPr="006F3804">
              <w:t>0.192</w:t>
            </w:r>
            <w:r w:rsidRPr="006F3804">
              <w:br/>
              <w:t>(-24.6%)</w:t>
            </w:r>
          </w:p>
        </w:tc>
        <w:tc>
          <w:tcPr>
            <w:tcW w:w="1134" w:type="dxa"/>
          </w:tcPr>
          <w:p w:rsidR="00BC127B" w:rsidRPr="006F3804" w:rsidRDefault="00BC127B" w:rsidP="003954B6">
            <w:pPr>
              <w:pStyle w:val="Tabletextcentred"/>
            </w:pPr>
            <w:r w:rsidRPr="006F3804">
              <w:t>0.154</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3954B6">
            <w:pPr>
              <w:pStyle w:val="Tabletextcentred"/>
            </w:pPr>
            <w:r w:rsidRPr="00573ED2">
              <w:t>TD</w:t>
            </w:r>
          </w:p>
        </w:tc>
        <w:tc>
          <w:tcPr>
            <w:tcW w:w="1293" w:type="dxa"/>
          </w:tcPr>
          <w:p w:rsidR="00BC127B" w:rsidRPr="006F3804" w:rsidRDefault="00BC127B" w:rsidP="003954B6">
            <w:pPr>
              <w:pStyle w:val="Tabletextcentred"/>
            </w:pPr>
            <w:r w:rsidRPr="006F3804">
              <w:t>0.107</w:t>
            </w:r>
          </w:p>
        </w:tc>
        <w:tc>
          <w:tcPr>
            <w:tcW w:w="1134" w:type="dxa"/>
          </w:tcPr>
          <w:p w:rsidR="00BC127B" w:rsidRPr="006F3804" w:rsidRDefault="00BC127B" w:rsidP="003954B6">
            <w:pPr>
              <w:pStyle w:val="Tabletextcentred"/>
            </w:pPr>
            <w:r w:rsidRPr="006F3804">
              <w:t>0.085</w:t>
            </w:r>
            <w:r w:rsidRPr="006F3804">
              <w:br/>
              <w:t>(-20.7%)</w:t>
            </w:r>
          </w:p>
        </w:tc>
        <w:tc>
          <w:tcPr>
            <w:tcW w:w="1418" w:type="dxa"/>
          </w:tcPr>
          <w:p w:rsidR="00BC127B" w:rsidRPr="006F3804" w:rsidRDefault="00BC127B" w:rsidP="003954B6">
            <w:pPr>
              <w:pStyle w:val="Tabletextcentred"/>
            </w:pPr>
            <w:r w:rsidRPr="006F3804">
              <w:t>0.07</w:t>
            </w:r>
            <w:r w:rsidRPr="006F3804">
              <w:br/>
              <w:t>(-34.5%)</w:t>
            </w:r>
          </w:p>
        </w:tc>
        <w:tc>
          <w:tcPr>
            <w:tcW w:w="1134" w:type="dxa"/>
          </w:tcPr>
          <w:p w:rsidR="00BC127B" w:rsidRPr="006F3804" w:rsidRDefault="00BC127B" w:rsidP="003954B6">
            <w:pPr>
              <w:pStyle w:val="Tabletextcentred"/>
            </w:pPr>
            <w:r w:rsidRPr="006F3804">
              <w:t>0.089</w:t>
            </w:r>
          </w:p>
        </w:tc>
      </w:tr>
    </w:tbl>
    <w:p w:rsidR="00BC127B" w:rsidRPr="007609A5" w:rsidRDefault="00BC127B" w:rsidP="00DE0A84">
      <w:pPr>
        <w:pStyle w:val="Tabletitle"/>
      </w:pPr>
      <w:r w:rsidRPr="007609A5">
        <w:t xml:space="preserve">Table </w:t>
      </w:r>
      <w:r w:rsidR="00E57C2A">
        <w:t>B.20</w:t>
      </w:r>
      <w:r w:rsidRPr="007609A5">
        <w:t xml:space="preserve"> GFDL CM2.1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Tr="003954B6">
        <w:trPr>
          <w:cnfStyle w:val="100000000000" w:firstRow="1" w:lastRow="0" w:firstColumn="0" w:lastColumn="0" w:oddVBand="0" w:evenVBand="0" w:oddHBand="0" w:evenHBand="0" w:firstRowFirstColumn="0" w:firstRowLastColumn="0" w:lastRowFirstColumn="0" w:lastRowLastColumn="0"/>
          <w:cantSplit w:val="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F3804" w:rsidRDefault="00BC127B" w:rsidP="006F3804">
            <w:pPr>
              <w:pStyle w:val="Tabletextcentred"/>
            </w:pPr>
            <w:r w:rsidRPr="006F3804">
              <w:t>TC5</w:t>
            </w:r>
          </w:p>
        </w:tc>
        <w:tc>
          <w:tcPr>
            <w:tcW w:w="1293" w:type="dxa"/>
          </w:tcPr>
          <w:p w:rsidR="00BC127B" w:rsidRPr="006F3804" w:rsidRDefault="00BC127B" w:rsidP="006F3804">
            <w:pPr>
              <w:pStyle w:val="Tabletextcentred"/>
            </w:pPr>
            <w:r w:rsidRPr="006F3804">
              <w:t>0.068</w:t>
            </w:r>
          </w:p>
        </w:tc>
        <w:tc>
          <w:tcPr>
            <w:tcW w:w="1134" w:type="dxa"/>
          </w:tcPr>
          <w:p w:rsidR="00BC127B" w:rsidRPr="006F3804" w:rsidRDefault="00BC127B" w:rsidP="006F3804">
            <w:pPr>
              <w:pStyle w:val="Tabletextcentred"/>
            </w:pPr>
            <w:r w:rsidRPr="006F3804">
              <w:t>0.065</w:t>
            </w:r>
            <w:r w:rsidRPr="006F3804">
              <w:br/>
              <w:t>(-4.9%)</w:t>
            </w:r>
          </w:p>
        </w:tc>
        <w:tc>
          <w:tcPr>
            <w:tcW w:w="1418" w:type="dxa"/>
          </w:tcPr>
          <w:p w:rsidR="00BC127B" w:rsidRPr="006F3804" w:rsidRDefault="00BC127B" w:rsidP="006F3804">
            <w:pPr>
              <w:pStyle w:val="Tabletextcentred"/>
            </w:pPr>
            <w:r w:rsidRPr="006F3804">
              <w:t>0.062</w:t>
            </w:r>
            <w:r w:rsidRPr="006F3804">
              <w:br/>
              <w:t>(-8.1%)</w:t>
            </w:r>
          </w:p>
        </w:tc>
        <w:tc>
          <w:tcPr>
            <w:tcW w:w="1134" w:type="dxa"/>
          </w:tcPr>
          <w:p w:rsidR="00BC127B" w:rsidRPr="006F3804" w:rsidRDefault="00BC127B" w:rsidP="006F3804">
            <w:pPr>
              <w:pStyle w:val="Tabletextcentred"/>
            </w:pPr>
            <w:r w:rsidRPr="006F3804">
              <w:t>0.074</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F3804" w:rsidRDefault="00BC127B" w:rsidP="006F3804">
            <w:pPr>
              <w:pStyle w:val="Tabletextcentred"/>
            </w:pPr>
            <w:r w:rsidRPr="006F3804">
              <w:t>TC4</w:t>
            </w:r>
          </w:p>
        </w:tc>
        <w:tc>
          <w:tcPr>
            <w:tcW w:w="1293" w:type="dxa"/>
          </w:tcPr>
          <w:p w:rsidR="00BC127B" w:rsidRPr="006F3804" w:rsidRDefault="00BC127B" w:rsidP="006F3804">
            <w:pPr>
              <w:pStyle w:val="Tabletextcentred"/>
            </w:pPr>
            <w:r w:rsidRPr="006F3804">
              <w:t>0.126</w:t>
            </w:r>
          </w:p>
        </w:tc>
        <w:tc>
          <w:tcPr>
            <w:tcW w:w="1134" w:type="dxa"/>
          </w:tcPr>
          <w:p w:rsidR="00BC127B" w:rsidRPr="006F3804" w:rsidRDefault="00BC127B" w:rsidP="006F3804">
            <w:pPr>
              <w:pStyle w:val="Tabletextcentred"/>
            </w:pPr>
            <w:r w:rsidRPr="006F3804">
              <w:t>0.108</w:t>
            </w:r>
            <w:r w:rsidRPr="006F3804">
              <w:br/>
              <w:t>(-14.5%)</w:t>
            </w:r>
          </w:p>
        </w:tc>
        <w:tc>
          <w:tcPr>
            <w:tcW w:w="1418" w:type="dxa"/>
          </w:tcPr>
          <w:p w:rsidR="00BC127B" w:rsidRPr="006F3804" w:rsidRDefault="00BC127B" w:rsidP="006F3804">
            <w:pPr>
              <w:pStyle w:val="Tabletextcentred"/>
            </w:pPr>
            <w:r w:rsidRPr="006F3804">
              <w:t>0.096</w:t>
            </w:r>
            <w:r w:rsidRPr="006F3804">
              <w:br/>
              <w:t>(-24.1%)</w:t>
            </w:r>
          </w:p>
        </w:tc>
        <w:tc>
          <w:tcPr>
            <w:tcW w:w="1134" w:type="dxa"/>
          </w:tcPr>
          <w:p w:rsidR="00BC127B" w:rsidRPr="006F3804" w:rsidRDefault="00BC127B" w:rsidP="006F3804">
            <w:pPr>
              <w:pStyle w:val="Tabletextcentred"/>
            </w:pPr>
            <w:r w:rsidRPr="006F3804">
              <w:t>0.142</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F3804" w:rsidRDefault="00BC127B" w:rsidP="006F3804">
            <w:pPr>
              <w:pStyle w:val="Tabletextcentred"/>
            </w:pPr>
            <w:r w:rsidRPr="006F3804">
              <w:t>TC3</w:t>
            </w:r>
          </w:p>
        </w:tc>
        <w:tc>
          <w:tcPr>
            <w:tcW w:w="1293" w:type="dxa"/>
          </w:tcPr>
          <w:p w:rsidR="00BC127B" w:rsidRPr="006F3804" w:rsidRDefault="00BC127B" w:rsidP="006F3804">
            <w:pPr>
              <w:pStyle w:val="Tabletextcentred"/>
            </w:pPr>
            <w:r w:rsidRPr="006F3804">
              <w:t>0.159</w:t>
            </w:r>
          </w:p>
        </w:tc>
        <w:tc>
          <w:tcPr>
            <w:tcW w:w="1134" w:type="dxa"/>
          </w:tcPr>
          <w:p w:rsidR="00BC127B" w:rsidRPr="006F3804" w:rsidRDefault="00BC127B" w:rsidP="006F3804">
            <w:pPr>
              <w:pStyle w:val="Tabletextcentred"/>
            </w:pPr>
            <w:r w:rsidRPr="006F3804">
              <w:t>0.138</w:t>
            </w:r>
            <w:r w:rsidRPr="006F3804">
              <w:br/>
              <w:t>(-12.7%)</w:t>
            </w:r>
          </w:p>
        </w:tc>
        <w:tc>
          <w:tcPr>
            <w:tcW w:w="1418" w:type="dxa"/>
          </w:tcPr>
          <w:p w:rsidR="00BC127B" w:rsidRPr="006F3804" w:rsidRDefault="00BC127B" w:rsidP="006F3804">
            <w:pPr>
              <w:pStyle w:val="Tabletextcentred"/>
            </w:pPr>
            <w:r w:rsidRPr="006F3804">
              <w:t>0.125</w:t>
            </w:r>
            <w:r w:rsidRPr="006F3804">
              <w:br/>
              <w:t>(-21.2%)</w:t>
            </w:r>
          </w:p>
        </w:tc>
        <w:tc>
          <w:tcPr>
            <w:tcW w:w="1134" w:type="dxa"/>
          </w:tcPr>
          <w:p w:rsidR="00BC127B" w:rsidRPr="006F3804" w:rsidRDefault="00BC127B" w:rsidP="006F3804">
            <w:pPr>
              <w:pStyle w:val="Tabletextcentred"/>
            </w:pPr>
            <w:r w:rsidRPr="006F3804">
              <w:t>0.151</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F3804" w:rsidRDefault="00BC127B" w:rsidP="006F3804">
            <w:pPr>
              <w:pStyle w:val="Tabletextcentred"/>
            </w:pPr>
            <w:r w:rsidRPr="006F3804">
              <w:t>TC2</w:t>
            </w:r>
          </w:p>
        </w:tc>
        <w:tc>
          <w:tcPr>
            <w:tcW w:w="1293" w:type="dxa"/>
          </w:tcPr>
          <w:p w:rsidR="00BC127B" w:rsidRPr="006F3804" w:rsidRDefault="00BC127B" w:rsidP="006F3804">
            <w:pPr>
              <w:pStyle w:val="Tabletextcentred"/>
            </w:pPr>
            <w:r w:rsidRPr="006F3804">
              <w:t>0.126</w:t>
            </w:r>
          </w:p>
        </w:tc>
        <w:tc>
          <w:tcPr>
            <w:tcW w:w="1134" w:type="dxa"/>
          </w:tcPr>
          <w:p w:rsidR="00BC127B" w:rsidRPr="006F3804" w:rsidRDefault="00BC127B" w:rsidP="006F3804">
            <w:pPr>
              <w:pStyle w:val="Tabletextcentred"/>
            </w:pPr>
            <w:r w:rsidRPr="006F3804">
              <w:t>0.147</w:t>
            </w:r>
            <w:r w:rsidRPr="006F3804">
              <w:br/>
              <w:t>(+17.1%)</w:t>
            </w:r>
          </w:p>
        </w:tc>
        <w:tc>
          <w:tcPr>
            <w:tcW w:w="1418" w:type="dxa"/>
          </w:tcPr>
          <w:p w:rsidR="00BC127B" w:rsidRPr="006F3804" w:rsidRDefault="00BC127B" w:rsidP="006F3804">
            <w:pPr>
              <w:pStyle w:val="Tabletextcentred"/>
            </w:pPr>
            <w:r w:rsidRPr="006F3804">
              <w:t>0.162</w:t>
            </w:r>
            <w:r w:rsidRPr="006F3804">
              <w:br/>
              <w:t>(+28.4%)</w:t>
            </w:r>
          </w:p>
        </w:tc>
        <w:tc>
          <w:tcPr>
            <w:tcW w:w="1134" w:type="dxa"/>
          </w:tcPr>
          <w:p w:rsidR="00BC127B" w:rsidRPr="006F3804" w:rsidRDefault="00BC127B" w:rsidP="006F3804">
            <w:pPr>
              <w:pStyle w:val="Tabletextcentred"/>
            </w:pPr>
            <w:r w:rsidRPr="006F3804">
              <w:t>0.138</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F3804" w:rsidRDefault="00BC127B" w:rsidP="006F3804">
            <w:pPr>
              <w:pStyle w:val="Tabletextcentred"/>
            </w:pPr>
            <w:r w:rsidRPr="006F3804">
              <w:t>TC1</w:t>
            </w:r>
          </w:p>
        </w:tc>
        <w:tc>
          <w:tcPr>
            <w:tcW w:w="1293" w:type="dxa"/>
          </w:tcPr>
          <w:p w:rsidR="00BC127B" w:rsidRPr="006F3804" w:rsidRDefault="00BC127B" w:rsidP="006F3804">
            <w:pPr>
              <w:pStyle w:val="Tabletextcentred"/>
            </w:pPr>
            <w:r w:rsidRPr="006F3804">
              <w:t>0.217</w:t>
            </w:r>
          </w:p>
        </w:tc>
        <w:tc>
          <w:tcPr>
            <w:tcW w:w="1134" w:type="dxa"/>
          </w:tcPr>
          <w:p w:rsidR="00BC127B" w:rsidRPr="006F3804" w:rsidRDefault="00BC127B" w:rsidP="006F3804">
            <w:pPr>
              <w:pStyle w:val="Tabletextcentred"/>
            </w:pPr>
            <w:r w:rsidRPr="006F3804">
              <w:t>0.206</w:t>
            </w:r>
            <w:r w:rsidRPr="006F3804">
              <w:br/>
              <w:t>(-5.0%)</w:t>
            </w:r>
          </w:p>
        </w:tc>
        <w:tc>
          <w:tcPr>
            <w:tcW w:w="1418" w:type="dxa"/>
          </w:tcPr>
          <w:p w:rsidR="00BC127B" w:rsidRPr="006F3804" w:rsidRDefault="00BC127B" w:rsidP="006F3804">
            <w:pPr>
              <w:pStyle w:val="Tabletextcentred"/>
            </w:pPr>
            <w:r w:rsidRPr="006F3804">
              <w:t>0.199</w:t>
            </w:r>
            <w:r w:rsidRPr="006F3804">
              <w:br/>
              <w:t>(-8.4%)</w:t>
            </w:r>
          </w:p>
        </w:tc>
        <w:tc>
          <w:tcPr>
            <w:tcW w:w="1134" w:type="dxa"/>
          </w:tcPr>
          <w:p w:rsidR="00BC127B" w:rsidRPr="006F3804" w:rsidRDefault="00BC127B" w:rsidP="006F3804">
            <w:pPr>
              <w:pStyle w:val="Tabletextcentred"/>
            </w:pPr>
            <w:r w:rsidRPr="006F3804">
              <w:t>0.253</w:t>
            </w:r>
          </w:p>
        </w:tc>
      </w:tr>
      <w:tr w:rsidR="00BC127B" w:rsidTr="003954B6">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6F3804" w:rsidRDefault="00BC127B" w:rsidP="006F3804">
            <w:pPr>
              <w:pStyle w:val="Tabletextcentred"/>
            </w:pPr>
            <w:r w:rsidRPr="006F3804">
              <w:t>TS</w:t>
            </w:r>
          </w:p>
        </w:tc>
        <w:tc>
          <w:tcPr>
            <w:tcW w:w="1293" w:type="dxa"/>
          </w:tcPr>
          <w:p w:rsidR="00BC127B" w:rsidRPr="006F3804" w:rsidRDefault="00BC127B" w:rsidP="006F3804">
            <w:pPr>
              <w:pStyle w:val="Tabletextcentred"/>
            </w:pPr>
            <w:r w:rsidRPr="006F3804">
              <w:t>0.229</w:t>
            </w:r>
          </w:p>
        </w:tc>
        <w:tc>
          <w:tcPr>
            <w:tcW w:w="1134" w:type="dxa"/>
          </w:tcPr>
          <w:p w:rsidR="00BC127B" w:rsidRPr="006F3804" w:rsidRDefault="00BC127B" w:rsidP="006F3804">
            <w:pPr>
              <w:pStyle w:val="Tabletextcentred"/>
            </w:pPr>
            <w:r w:rsidRPr="006F3804">
              <w:t>0.233</w:t>
            </w:r>
            <w:r w:rsidRPr="006F3804">
              <w:br/>
              <w:t>(+1.6%)</w:t>
            </w:r>
          </w:p>
        </w:tc>
        <w:tc>
          <w:tcPr>
            <w:tcW w:w="1418" w:type="dxa"/>
          </w:tcPr>
          <w:p w:rsidR="00BC127B" w:rsidRPr="006F3804" w:rsidRDefault="00BC127B" w:rsidP="006F3804">
            <w:pPr>
              <w:pStyle w:val="Tabletextcentred"/>
            </w:pPr>
            <w:r w:rsidRPr="006F3804">
              <w:t>0.235</w:t>
            </w:r>
            <w:r w:rsidRPr="006F3804">
              <w:br/>
              <w:t>(+2.7%)</w:t>
            </w:r>
          </w:p>
        </w:tc>
        <w:tc>
          <w:tcPr>
            <w:tcW w:w="1134" w:type="dxa"/>
          </w:tcPr>
          <w:p w:rsidR="00BC127B" w:rsidRPr="006F3804" w:rsidRDefault="00BC127B" w:rsidP="006F3804">
            <w:pPr>
              <w:pStyle w:val="Tabletextcentred"/>
            </w:pPr>
            <w:r w:rsidRPr="006F3804">
              <w:t>0.154</w:t>
            </w:r>
          </w:p>
        </w:tc>
      </w:tr>
      <w:tr w:rsidR="00BC127B" w:rsidTr="003954B6">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6F3804" w:rsidRDefault="00BC127B" w:rsidP="006F3804">
            <w:pPr>
              <w:pStyle w:val="Tabletextcentred"/>
            </w:pPr>
            <w:r w:rsidRPr="006F3804">
              <w:t>TD</w:t>
            </w:r>
          </w:p>
        </w:tc>
        <w:tc>
          <w:tcPr>
            <w:tcW w:w="1293" w:type="dxa"/>
          </w:tcPr>
          <w:p w:rsidR="00BC127B" w:rsidRPr="006F3804" w:rsidRDefault="00BC127B" w:rsidP="006F3804">
            <w:pPr>
              <w:pStyle w:val="Tabletextcentred"/>
            </w:pPr>
            <w:r w:rsidRPr="006F3804">
              <w:t>0.076</w:t>
            </w:r>
          </w:p>
        </w:tc>
        <w:tc>
          <w:tcPr>
            <w:tcW w:w="1134" w:type="dxa"/>
          </w:tcPr>
          <w:p w:rsidR="00BC127B" w:rsidRPr="006F3804" w:rsidRDefault="00BC127B" w:rsidP="006F3804">
            <w:pPr>
              <w:pStyle w:val="Tabletextcentred"/>
            </w:pPr>
            <w:r w:rsidRPr="006F3804">
              <w:t>0.103</w:t>
            </w:r>
            <w:r w:rsidRPr="006F3804">
              <w:br/>
              <w:t>(+36.3%)</w:t>
            </w:r>
          </w:p>
        </w:tc>
        <w:tc>
          <w:tcPr>
            <w:tcW w:w="1418" w:type="dxa"/>
          </w:tcPr>
          <w:p w:rsidR="00BC127B" w:rsidRPr="006F3804" w:rsidRDefault="00BC127B" w:rsidP="006F3804">
            <w:pPr>
              <w:pStyle w:val="Tabletextcentred"/>
            </w:pPr>
            <w:r w:rsidRPr="006F3804">
              <w:t>0.121</w:t>
            </w:r>
            <w:r w:rsidRPr="006F3804">
              <w:br/>
              <w:t>(+60.6%)</w:t>
            </w:r>
          </w:p>
        </w:tc>
        <w:tc>
          <w:tcPr>
            <w:tcW w:w="1134" w:type="dxa"/>
          </w:tcPr>
          <w:p w:rsidR="00BC127B" w:rsidRPr="006F3804" w:rsidRDefault="00BC127B" w:rsidP="006F3804">
            <w:pPr>
              <w:pStyle w:val="Tabletextcentred"/>
            </w:pPr>
            <w:r w:rsidRPr="006F3804">
              <w:t>0.089</w:t>
            </w:r>
          </w:p>
        </w:tc>
      </w:tr>
    </w:tbl>
    <w:p w:rsidR="00BC127B" w:rsidRPr="007609A5" w:rsidRDefault="00BC127B" w:rsidP="00DE0A84">
      <w:pPr>
        <w:pStyle w:val="Tabletitle"/>
      </w:pPr>
      <w:r>
        <w:br w:type="page"/>
      </w:r>
      <w:r w:rsidRPr="007609A5">
        <w:lastRenderedPageBreak/>
        <w:t xml:space="preserve">Table </w:t>
      </w:r>
      <w:r w:rsidR="00E57C2A">
        <w:t>B.21</w:t>
      </w:r>
      <w:r w:rsidRPr="007609A5">
        <w:t xml:space="preserve"> HadCM3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7609A5" w:rsidTr="000E70CF">
        <w:trPr>
          <w:cnfStyle w:val="100000000000" w:firstRow="1" w:lastRow="0" w:firstColumn="0" w:lastColumn="0" w:oddVBand="0" w:evenVBand="0" w:oddHBand="0" w:evenHBand="0" w:firstRowFirstColumn="0" w:firstRowLastColumn="0" w:lastRowFirstColumn="0" w:lastRowLastColumn="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7609A5">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6F3804">
            <w:pPr>
              <w:pStyle w:val="Tabletextcentred"/>
            </w:pPr>
            <w:r w:rsidRPr="00573ED2">
              <w:t>TC5</w:t>
            </w:r>
          </w:p>
        </w:tc>
        <w:tc>
          <w:tcPr>
            <w:tcW w:w="1293" w:type="dxa"/>
          </w:tcPr>
          <w:p w:rsidR="00BC127B" w:rsidRDefault="00BC127B" w:rsidP="00F82AE9">
            <w:pPr>
              <w:pStyle w:val="Tabletextcentred"/>
            </w:pPr>
            <w:r>
              <w:t>0.069</w:t>
            </w:r>
          </w:p>
        </w:tc>
        <w:tc>
          <w:tcPr>
            <w:tcW w:w="1134" w:type="dxa"/>
          </w:tcPr>
          <w:p w:rsidR="00BC127B" w:rsidRDefault="00BC127B" w:rsidP="00F82AE9">
            <w:pPr>
              <w:pStyle w:val="Tabletextcentred"/>
            </w:pPr>
            <w:r>
              <w:t>0.077</w:t>
            </w:r>
            <w:r>
              <w:br/>
              <w:t>(+12.4%)</w:t>
            </w:r>
          </w:p>
        </w:tc>
        <w:tc>
          <w:tcPr>
            <w:tcW w:w="1418" w:type="dxa"/>
          </w:tcPr>
          <w:p w:rsidR="00BC127B" w:rsidRDefault="00BC127B" w:rsidP="00F82AE9">
            <w:pPr>
              <w:pStyle w:val="Tabletextcentred"/>
            </w:pPr>
            <w:r>
              <w:t>0.083</w:t>
            </w:r>
            <w:r>
              <w:br/>
              <w:t>(+20.7%)</w:t>
            </w:r>
          </w:p>
        </w:tc>
        <w:tc>
          <w:tcPr>
            <w:tcW w:w="1134" w:type="dxa"/>
          </w:tcPr>
          <w:p w:rsidR="00BC127B" w:rsidRDefault="00BC127B" w:rsidP="00F82AE9">
            <w:pPr>
              <w:pStyle w:val="Tabletextcentred"/>
            </w:pPr>
            <w:r>
              <w:t>0.074</w:t>
            </w:r>
          </w:p>
        </w:tc>
      </w:tr>
      <w:tr w:rsidR="00BC127B" w:rsidTr="007609A5">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6F3804">
            <w:pPr>
              <w:pStyle w:val="Tabletextcentred"/>
            </w:pPr>
            <w:r w:rsidRPr="00573ED2">
              <w:t>TC4</w:t>
            </w:r>
          </w:p>
        </w:tc>
        <w:tc>
          <w:tcPr>
            <w:tcW w:w="1293" w:type="dxa"/>
          </w:tcPr>
          <w:p w:rsidR="00BC127B" w:rsidRDefault="00BC127B" w:rsidP="00F82AE9">
            <w:pPr>
              <w:pStyle w:val="Tabletextcentred"/>
            </w:pPr>
            <w:r>
              <w:t>0.163</w:t>
            </w:r>
          </w:p>
        </w:tc>
        <w:tc>
          <w:tcPr>
            <w:tcW w:w="1134" w:type="dxa"/>
          </w:tcPr>
          <w:p w:rsidR="00BC127B" w:rsidRDefault="00BC127B" w:rsidP="00F82AE9">
            <w:pPr>
              <w:pStyle w:val="Tabletextcentred"/>
            </w:pPr>
            <w:r>
              <w:t>0.154</w:t>
            </w:r>
            <w:r>
              <w:br/>
              <w:t>(-5.6%)</w:t>
            </w:r>
          </w:p>
        </w:tc>
        <w:tc>
          <w:tcPr>
            <w:tcW w:w="1418" w:type="dxa"/>
          </w:tcPr>
          <w:p w:rsidR="00BC127B" w:rsidRDefault="00BC127B" w:rsidP="00F82AE9">
            <w:pPr>
              <w:pStyle w:val="Tabletextcentred"/>
            </w:pPr>
            <w:r>
              <w:t>0.147</w:t>
            </w:r>
            <w:r>
              <w:br/>
              <w:t>(-9.4%)</w:t>
            </w:r>
          </w:p>
        </w:tc>
        <w:tc>
          <w:tcPr>
            <w:tcW w:w="1134" w:type="dxa"/>
          </w:tcPr>
          <w:p w:rsidR="00BC127B" w:rsidRDefault="00BC127B" w:rsidP="00F82AE9">
            <w:pPr>
              <w:pStyle w:val="Tabletextcentred"/>
            </w:pPr>
            <w:r>
              <w:t>0.142</w:t>
            </w:r>
          </w:p>
        </w:tc>
      </w:tr>
      <w:tr w:rsidR="00BC127B" w:rsidTr="007609A5">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6F3804">
            <w:pPr>
              <w:pStyle w:val="Tabletextcentred"/>
            </w:pPr>
            <w:r w:rsidRPr="00573ED2">
              <w:t>TC3</w:t>
            </w:r>
          </w:p>
        </w:tc>
        <w:tc>
          <w:tcPr>
            <w:tcW w:w="1293" w:type="dxa"/>
          </w:tcPr>
          <w:p w:rsidR="00BC127B" w:rsidRDefault="00BC127B" w:rsidP="00F82AE9">
            <w:pPr>
              <w:pStyle w:val="Tabletextcentred"/>
            </w:pPr>
            <w:r>
              <w:t>0.194</w:t>
            </w:r>
          </w:p>
        </w:tc>
        <w:tc>
          <w:tcPr>
            <w:tcW w:w="1134" w:type="dxa"/>
          </w:tcPr>
          <w:p w:rsidR="00BC127B" w:rsidRDefault="00BC127B" w:rsidP="00F82AE9">
            <w:pPr>
              <w:pStyle w:val="Tabletextcentred"/>
            </w:pPr>
            <w:r>
              <w:t>0.193</w:t>
            </w:r>
            <w:r>
              <w:br/>
              <w:t>(-0.7%)</w:t>
            </w:r>
          </w:p>
        </w:tc>
        <w:tc>
          <w:tcPr>
            <w:tcW w:w="1418" w:type="dxa"/>
          </w:tcPr>
          <w:p w:rsidR="00BC127B" w:rsidRDefault="00BC127B" w:rsidP="00F82AE9">
            <w:pPr>
              <w:pStyle w:val="Tabletextcentred"/>
            </w:pPr>
            <w:r>
              <w:t>0.192</w:t>
            </w:r>
            <w:r>
              <w:br/>
              <w:t>(-1.1%)</w:t>
            </w:r>
          </w:p>
        </w:tc>
        <w:tc>
          <w:tcPr>
            <w:tcW w:w="1134" w:type="dxa"/>
          </w:tcPr>
          <w:p w:rsidR="00BC127B" w:rsidRDefault="00BC127B" w:rsidP="00F82AE9">
            <w:pPr>
              <w:pStyle w:val="Tabletextcentred"/>
            </w:pPr>
            <w:r>
              <w:t>0.151</w:t>
            </w:r>
          </w:p>
        </w:tc>
      </w:tr>
      <w:tr w:rsidR="00BC127B" w:rsidTr="007609A5">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6F3804">
            <w:pPr>
              <w:pStyle w:val="Tabletextcentred"/>
            </w:pPr>
            <w:r w:rsidRPr="00573ED2">
              <w:t>TC2</w:t>
            </w:r>
          </w:p>
        </w:tc>
        <w:tc>
          <w:tcPr>
            <w:tcW w:w="1293" w:type="dxa"/>
          </w:tcPr>
          <w:p w:rsidR="00BC127B" w:rsidRDefault="00BC127B" w:rsidP="00F82AE9">
            <w:pPr>
              <w:pStyle w:val="Tabletextcentred"/>
            </w:pPr>
            <w:r>
              <w:t>0.169</w:t>
            </w:r>
          </w:p>
        </w:tc>
        <w:tc>
          <w:tcPr>
            <w:tcW w:w="1134" w:type="dxa"/>
          </w:tcPr>
          <w:p w:rsidR="00BC127B" w:rsidRDefault="00BC127B" w:rsidP="00F82AE9">
            <w:pPr>
              <w:pStyle w:val="Tabletextcentred"/>
            </w:pPr>
            <w:r>
              <w:t>0.184</w:t>
            </w:r>
            <w:r>
              <w:br/>
              <w:t>(+9.0%)</w:t>
            </w:r>
          </w:p>
        </w:tc>
        <w:tc>
          <w:tcPr>
            <w:tcW w:w="1418" w:type="dxa"/>
          </w:tcPr>
          <w:p w:rsidR="00BC127B" w:rsidRDefault="00BC127B" w:rsidP="00F82AE9">
            <w:pPr>
              <w:pStyle w:val="Tabletextcentred"/>
            </w:pPr>
            <w:r>
              <w:t>0.194</w:t>
            </w:r>
            <w:r>
              <w:br/>
              <w:t>(+15.0%)</w:t>
            </w:r>
          </w:p>
        </w:tc>
        <w:tc>
          <w:tcPr>
            <w:tcW w:w="1134" w:type="dxa"/>
          </w:tcPr>
          <w:p w:rsidR="00BC127B" w:rsidRDefault="00BC127B" w:rsidP="00F82AE9">
            <w:pPr>
              <w:pStyle w:val="Tabletextcentred"/>
            </w:pPr>
            <w:r>
              <w:t>0.138</w:t>
            </w:r>
          </w:p>
        </w:tc>
      </w:tr>
      <w:tr w:rsidR="00BC127B" w:rsidTr="007609A5">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6F3804">
            <w:pPr>
              <w:pStyle w:val="Tabletextcentred"/>
            </w:pPr>
            <w:r w:rsidRPr="00573ED2">
              <w:t>TC1</w:t>
            </w:r>
          </w:p>
        </w:tc>
        <w:tc>
          <w:tcPr>
            <w:tcW w:w="1293" w:type="dxa"/>
          </w:tcPr>
          <w:p w:rsidR="00BC127B" w:rsidRDefault="00BC127B" w:rsidP="00F82AE9">
            <w:pPr>
              <w:pStyle w:val="Tabletextcentred"/>
            </w:pPr>
            <w:r>
              <w:t>0.196</w:t>
            </w:r>
          </w:p>
        </w:tc>
        <w:tc>
          <w:tcPr>
            <w:tcW w:w="1134" w:type="dxa"/>
          </w:tcPr>
          <w:p w:rsidR="00BC127B" w:rsidRDefault="00BC127B" w:rsidP="00F82AE9">
            <w:pPr>
              <w:pStyle w:val="Tabletextcentred"/>
            </w:pPr>
            <w:r>
              <w:t>0.209</w:t>
            </w:r>
            <w:r>
              <w:br/>
              <w:t>(+6.8%)</w:t>
            </w:r>
          </w:p>
        </w:tc>
        <w:tc>
          <w:tcPr>
            <w:tcW w:w="1418" w:type="dxa"/>
          </w:tcPr>
          <w:p w:rsidR="00BC127B" w:rsidRDefault="00BC127B" w:rsidP="00F82AE9">
            <w:pPr>
              <w:pStyle w:val="Tabletextcentred"/>
            </w:pPr>
            <w:r>
              <w:t>0.218</w:t>
            </w:r>
            <w:r>
              <w:br/>
              <w:t>(+11.3%)</w:t>
            </w:r>
          </w:p>
        </w:tc>
        <w:tc>
          <w:tcPr>
            <w:tcW w:w="1134" w:type="dxa"/>
          </w:tcPr>
          <w:p w:rsidR="00BC127B" w:rsidRDefault="00BC127B" w:rsidP="00F82AE9">
            <w:pPr>
              <w:pStyle w:val="Tabletextcentred"/>
            </w:pPr>
            <w:r>
              <w:t>0.253</w:t>
            </w:r>
          </w:p>
        </w:tc>
      </w:tr>
      <w:tr w:rsidR="00BC127B" w:rsidTr="007609A5">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6F3804">
            <w:pPr>
              <w:pStyle w:val="Tabletextcentred"/>
            </w:pPr>
            <w:r w:rsidRPr="00573ED2">
              <w:t>TS</w:t>
            </w:r>
          </w:p>
        </w:tc>
        <w:tc>
          <w:tcPr>
            <w:tcW w:w="1293" w:type="dxa"/>
          </w:tcPr>
          <w:p w:rsidR="00BC127B" w:rsidRDefault="00BC127B" w:rsidP="00F82AE9">
            <w:pPr>
              <w:pStyle w:val="Tabletextcentred"/>
            </w:pPr>
            <w:r>
              <w:t>0.165</w:t>
            </w:r>
          </w:p>
        </w:tc>
        <w:tc>
          <w:tcPr>
            <w:tcW w:w="1134" w:type="dxa"/>
          </w:tcPr>
          <w:p w:rsidR="00BC127B" w:rsidRDefault="00BC127B" w:rsidP="00F82AE9">
            <w:pPr>
              <w:pStyle w:val="Tabletextcentred"/>
            </w:pPr>
            <w:r>
              <w:t>0.137</w:t>
            </w:r>
            <w:r>
              <w:br/>
              <w:t>(-16.6%)</w:t>
            </w:r>
          </w:p>
        </w:tc>
        <w:tc>
          <w:tcPr>
            <w:tcW w:w="1418" w:type="dxa"/>
          </w:tcPr>
          <w:p w:rsidR="00BC127B" w:rsidRDefault="00BC127B" w:rsidP="00F82AE9">
            <w:pPr>
              <w:pStyle w:val="Tabletextcentred"/>
            </w:pPr>
            <w:r>
              <w:t>0.119</w:t>
            </w:r>
            <w:r>
              <w:br/>
              <w:t>(-27.6%)</w:t>
            </w:r>
          </w:p>
        </w:tc>
        <w:tc>
          <w:tcPr>
            <w:tcW w:w="1134" w:type="dxa"/>
          </w:tcPr>
          <w:p w:rsidR="00BC127B" w:rsidRDefault="00BC127B" w:rsidP="00F82AE9">
            <w:pPr>
              <w:pStyle w:val="Tabletextcentred"/>
            </w:pPr>
            <w:r>
              <w:t>0.154</w:t>
            </w:r>
          </w:p>
        </w:tc>
      </w:tr>
      <w:tr w:rsidR="00BC127B" w:rsidTr="007609A5">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6F3804">
            <w:pPr>
              <w:pStyle w:val="Tabletextcentred"/>
            </w:pPr>
            <w:r w:rsidRPr="00573ED2">
              <w:t>TD</w:t>
            </w:r>
          </w:p>
        </w:tc>
        <w:tc>
          <w:tcPr>
            <w:tcW w:w="1293" w:type="dxa"/>
          </w:tcPr>
          <w:p w:rsidR="00BC127B" w:rsidRDefault="00BC127B" w:rsidP="00F82AE9">
            <w:pPr>
              <w:pStyle w:val="Tabletextcentred"/>
            </w:pPr>
            <w:r>
              <w:t>0.045</w:t>
            </w:r>
          </w:p>
        </w:tc>
        <w:tc>
          <w:tcPr>
            <w:tcW w:w="1134" w:type="dxa"/>
          </w:tcPr>
          <w:p w:rsidR="00BC127B" w:rsidRDefault="00BC127B" w:rsidP="00F82AE9">
            <w:pPr>
              <w:pStyle w:val="Tabletextcentred"/>
            </w:pPr>
            <w:r>
              <w:t>0.046</w:t>
            </w:r>
            <w:r>
              <w:br/>
              <w:t>(+1.8%)</w:t>
            </w:r>
          </w:p>
        </w:tc>
        <w:tc>
          <w:tcPr>
            <w:tcW w:w="1418" w:type="dxa"/>
          </w:tcPr>
          <w:p w:rsidR="00BC127B" w:rsidRDefault="00BC127B" w:rsidP="00F82AE9">
            <w:pPr>
              <w:pStyle w:val="Tabletextcentred"/>
            </w:pPr>
            <w:r>
              <w:t>0.046</w:t>
            </w:r>
            <w:r>
              <w:br/>
              <w:t>(+3.0%)</w:t>
            </w:r>
          </w:p>
        </w:tc>
        <w:tc>
          <w:tcPr>
            <w:tcW w:w="1134" w:type="dxa"/>
          </w:tcPr>
          <w:p w:rsidR="00BC127B" w:rsidRDefault="00BC127B" w:rsidP="00F82AE9">
            <w:pPr>
              <w:pStyle w:val="Tabletextcentred"/>
            </w:pPr>
            <w:r>
              <w:t>0.089</w:t>
            </w:r>
          </w:p>
        </w:tc>
      </w:tr>
    </w:tbl>
    <w:p w:rsidR="00BC127B" w:rsidRPr="007609A5" w:rsidRDefault="00BC127B" w:rsidP="00DE0A84">
      <w:pPr>
        <w:pStyle w:val="Tabletitle"/>
      </w:pPr>
      <w:bookmarkStart w:id="84" w:name="_Ref356291252"/>
      <w:r w:rsidRPr="007609A5">
        <w:t xml:space="preserve">Table </w:t>
      </w:r>
      <w:bookmarkEnd w:id="84"/>
      <w:r w:rsidR="00E57C2A">
        <w:t>B.22</w:t>
      </w:r>
      <w:r w:rsidRPr="007609A5">
        <w:t xml:space="preserve"> MIROC 3.2 northern hemisphere relative distribution of intensity.</w:t>
      </w:r>
    </w:p>
    <w:tbl>
      <w:tblPr>
        <w:tblStyle w:val="TableGAHeaderRow"/>
        <w:tblW w:w="0" w:type="auto"/>
        <w:tblLayout w:type="fixed"/>
        <w:tblLook w:val="04A0" w:firstRow="1" w:lastRow="0" w:firstColumn="1" w:lastColumn="0" w:noHBand="0" w:noVBand="1"/>
        <w:tblDescription w:val="Due to the complexity of this figure no alternative description has been provided. Please email Geoscience Australia at clientservices@ga.gov.au for an alternate description."/>
      </w:tblPr>
      <w:tblGrid>
        <w:gridCol w:w="1083"/>
        <w:gridCol w:w="1293"/>
        <w:gridCol w:w="1134"/>
        <w:gridCol w:w="1418"/>
        <w:gridCol w:w="1134"/>
      </w:tblGrid>
      <w:tr w:rsidR="00BC127B" w:rsidRPr="000E70CF" w:rsidTr="000E70CF">
        <w:trPr>
          <w:cnfStyle w:val="100000000000" w:firstRow="1" w:lastRow="0" w:firstColumn="0" w:lastColumn="0" w:oddVBand="0" w:evenVBand="0" w:oddHBand="0" w:evenHBand="0" w:firstRowFirstColumn="0" w:firstRowLastColumn="0" w:lastRowFirstColumn="0" w:lastRowLastColumn="0"/>
          <w:tblHeader/>
        </w:trPr>
        <w:tc>
          <w:tcPr>
            <w:tcW w:w="1083" w:type="dxa"/>
          </w:tcPr>
          <w:p w:rsidR="00BC127B" w:rsidRPr="006F3804" w:rsidRDefault="00BC127B" w:rsidP="006F3804">
            <w:pPr>
              <w:pStyle w:val="Tableheadingcentred"/>
            </w:pPr>
            <w:r w:rsidRPr="006F3804">
              <w:t>Category</w:t>
            </w:r>
          </w:p>
        </w:tc>
        <w:tc>
          <w:tcPr>
            <w:tcW w:w="1293" w:type="dxa"/>
          </w:tcPr>
          <w:p w:rsidR="00BC127B" w:rsidRPr="006F3804" w:rsidRDefault="00BC127B" w:rsidP="006F3804">
            <w:pPr>
              <w:pStyle w:val="Tableheadingcentred"/>
            </w:pPr>
            <w:r w:rsidRPr="006F3804">
              <w:t>1981-2000</w:t>
            </w:r>
          </w:p>
        </w:tc>
        <w:tc>
          <w:tcPr>
            <w:tcW w:w="1134" w:type="dxa"/>
          </w:tcPr>
          <w:p w:rsidR="00BC127B" w:rsidRPr="006F3804" w:rsidRDefault="00BC127B" w:rsidP="006F3804">
            <w:pPr>
              <w:pStyle w:val="Tableheadingcentred"/>
            </w:pPr>
            <w:r w:rsidRPr="006F3804">
              <w:t>2050</w:t>
            </w:r>
          </w:p>
        </w:tc>
        <w:tc>
          <w:tcPr>
            <w:tcW w:w="1418" w:type="dxa"/>
          </w:tcPr>
          <w:p w:rsidR="00BC127B" w:rsidRPr="006F3804" w:rsidRDefault="00BC127B" w:rsidP="006F3804">
            <w:pPr>
              <w:pStyle w:val="Tableheadingcentred"/>
            </w:pPr>
            <w:r w:rsidRPr="006F3804">
              <w:t>2081-2100</w:t>
            </w:r>
          </w:p>
        </w:tc>
        <w:tc>
          <w:tcPr>
            <w:tcW w:w="1134" w:type="dxa"/>
          </w:tcPr>
          <w:p w:rsidR="00BC127B" w:rsidRPr="006F3804" w:rsidRDefault="00BC127B" w:rsidP="006F3804">
            <w:pPr>
              <w:pStyle w:val="Tableheadingcentred"/>
            </w:pPr>
            <w:r w:rsidRPr="006F3804">
              <w:t>Baseline</w:t>
            </w:r>
          </w:p>
        </w:tc>
      </w:tr>
      <w:tr w:rsidR="00BC127B" w:rsidTr="007609A5">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6F3804">
            <w:pPr>
              <w:pStyle w:val="Tabletextcentred"/>
            </w:pPr>
            <w:r w:rsidRPr="00573ED2">
              <w:t>TC5</w:t>
            </w:r>
          </w:p>
        </w:tc>
        <w:tc>
          <w:tcPr>
            <w:tcW w:w="1293" w:type="dxa"/>
          </w:tcPr>
          <w:p w:rsidR="00BC127B" w:rsidRDefault="00BC127B" w:rsidP="00F82AE9">
            <w:pPr>
              <w:pStyle w:val="Tabletextcentred"/>
            </w:pPr>
            <w:r>
              <w:t>0.141</w:t>
            </w:r>
          </w:p>
        </w:tc>
        <w:tc>
          <w:tcPr>
            <w:tcW w:w="1134" w:type="dxa"/>
          </w:tcPr>
          <w:p w:rsidR="00BC127B" w:rsidRDefault="00BC127B" w:rsidP="00F82AE9">
            <w:pPr>
              <w:pStyle w:val="Tabletextcentred"/>
            </w:pPr>
            <w:r>
              <w:t>0.098</w:t>
            </w:r>
            <w:r>
              <w:br/>
              <w:t>(-30.5%)</w:t>
            </w:r>
          </w:p>
        </w:tc>
        <w:tc>
          <w:tcPr>
            <w:tcW w:w="1418" w:type="dxa"/>
          </w:tcPr>
          <w:p w:rsidR="00BC127B" w:rsidRDefault="00BC127B" w:rsidP="00F82AE9">
            <w:pPr>
              <w:pStyle w:val="Tabletextcentred"/>
            </w:pPr>
            <w:r>
              <w:t>0.069</w:t>
            </w:r>
            <w:r>
              <w:br/>
              <w:t>(-50.8%)</w:t>
            </w:r>
          </w:p>
        </w:tc>
        <w:tc>
          <w:tcPr>
            <w:tcW w:w="1134" w:type="dxa"/>
          </w:tcPr>
          <w:p w:rsidR="00BC127B" w:rsidRDefault="00BC127B" w:rsidP="00F82AE9">
            <w:pPr>
              <w:pStyle w:val="Tabletextcentred"/>
            </w:pPr>
            <w:r>
              <w:t>0.074</w:t>
            </w:r>
          </w:p>
        </w:tc>
      </w:tr>
      <w:tr w:rsidR="00BC127B" w:rsidTr="007609A5">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6F3804">
            <w:pPr>
              <w:pStyle w:val="Tabletextcentred"/>
            </w:pPr>
            <w:r w:rsidRPr="00573ED2">
              <w:t>TC4</w:t>
            </w:r>
          </w:p>
        </w:tc>
        <w:tc>
          <w:tcPr>
            <w:tcW w:w="1293" w:type="dxa"/>
          </w:tcPr>
          <w:p w:rsidR="00BC127B" w:rsidRDefault="00BC127B" w:rsidP="00F82AE9">
            <w:pPr>
              <w:pStyle w:val="Tabletextcentred"/>
            </w:pPr>
            <w:r>
              <w:t>0.164</w:t>
            </w:r>
          </w:p>
        </w:tc>
        <w:tc>
          <w:tcPr>
            <w:tcW w:w="1134" w:type="dxa"/>
          </w:tcPr>
          <w:p w:rsidR="00BC127B" w:rsidRDefault="00BC127B" w:rsidP="00F82AE9">
            <w:pPr>
              <w:pStyle w:val="Tabletextcentred"/>
            </w:pPr>
            <w:r>
              <w:t>0.133</w:t>
            </w:r>
            <w:r>
              <w:br/>
              <w:t>(-19.1%)</w:t>
            </w:r>
          </w:p>
        </w:tc>
        <w:tc>
          <w:tcPr>
            <w:tcW w:w="1418" w:type="dxa"/>
          </w:tcPr>
          <w:p w:rsidR="00BC127B" w:rsidRDefault="00BC127B" w:rsidP="00F82AE9">
            <w:pPr>
              <w:pStyle w:val="Tabletextcentred"/>
            </w:pPr>
            <w:r>
              <w:t>0.112</w:t>
            </w:r>
            <w:r>
              <w:br/>
              <w:t>(-31.8%)</w:t>
            </w:r>
          </w:p>
        </w:tc>
        <w:tc>
          <w:tcPr>
            <w:tcW w:w="1134" w:type="dxa"/>
          </w:tcPr>
          <w:p w:rsidR="00BC127B" w:rsidRDefault="00BC127B" w:rsidP="00F82AE9">
            <w:pPr>
              <w:pStyle w:val="Tabletextcentred"/>
            </w:pPr>
            <w:r>
              <w:t>0.142</w:t>
            </w:r>
          </w:p>
        </w:tc>
      </w:tr>
      <w:tr w:rsidR="00BC127B" w:rsidTr="007609A5">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6F3804">
            <w:pPr>
              <w:pStyle w:val="Tabletextcentred"/>
            </w:pPr>
            <w:r w:rsidRPr="00573ED2">
              <w:t>TC3</w:t>
            </w:r>
          </w:p>
        </w:tc>
        <w:tc>
          <w:tcPr>
            <w:tcW w:w="1293" w:type="dxa"/>
          </w:tcPr>
          <w:p w:rsidR="00BC127B" w:rsidRDefault="00BC127B" w:rsidP="00F82AE9">
            <w:pPr>
              <w:pStyle w:val="Tabletextcentred"/>
            </w:pPr>
            <w:r>
              <w:t>0.167</w:t>
            </w:r>
          </w:p>
        </w:tc>
        <w:tc>
          <w:tcPr>
            <w:tcW w:w="1134" w:type="dxa"/>
          </w:tcPr>
          <w:p w:rsidR="00BC127B" w:rsidRDefault="00BC127B" w:rsidP="00F82AE9">
            <w:pPr>
              <w:pStyle w:val="Tabletextcentred"/>
            </w:pPr>
            <w:r>
              <w:t>0.186</w:t>
            </w:r>
            <w:r>
              <w:br/>
              <w:t>(+11.1%)</w:t>
            </w:r>
          </w:p>
        </w:tc>
        <w:tc>
          <w:tcPr>
            <w:tcW w:w="1418" w:type="dxa"/>
          </w:tcPr>
          <w:p w:rsidR="00BC127B" w:rsidRDefault="00BC127B" w:rsidP="00F82AE9">
            <w:pPr>
              <w:pStyle w:val="Tabletextcentred"/>
            </w:pPr>
            <w:r>
              <w:t>0.198</w:t>
            </w:r>
            <w:r>
              <w:br/>
              <w:t>(+18.5%)</w:t>
            </w:r>
          </w:p>
        </w:tc>
        <w:tc>
          <w:tcPr>
            <w:tcW w:w="1134" w:type="dxa"/>
          </w:tcPr>
          <w:p w:rsidR="00BC127B" w:rsidRDefault="00BC127B" w:rsidP="00F82AE9">
            <w:pPr>
              <w:pStyle w:val="Tabletextcentred"/>
            </w:pPr>
            <w:r>
              <w:t>0.151</w:t>
            </w:r>
          </w:p>
        </w:tc>
      </w:tr>
      <w:tr w:rsidR="00BC127B" w:rsidTr="007609A5">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6F3804">
            <w:pPr>
              <w:pStyle w:val="Tabletextcentred"/>
            </w:pPr>
            <w:r w:rsidRPr="00573ED2">
              <w:t>TC2</w:t>
            </w:r>
          </w:p>
        </w:tc>
        <w:tc>
          <w:tcPr>
            <w:tcW w:w="1293" w:type="dxa"/>
          </w:tcPr>
          <w:p w:rsidR="00BC127B" w:rsidRDefault="00BC127B" w:rsidP="00F82AE9">
            <w:pPr>
              <w:pStyle w:val="Tabletextcentred"/>
            </w:pPr>
            <w:r>
              <w:t>0.162</w:t>
            </w:r>
          </w:p>
        </w:tc>
        <w:tc>
          <w:tcPr>
            <w:tcW w:w="1134" w:type="dxa"/>
          </w:tcPr>
          <w:p w:rsidR="00BC127B" w:rsidRDefault="00BC127B" w:rsidP="00F82AE9">
            <w:pPr>
              <w:pStyle w:val="Tabletextcentred"/>
            </w:pPr>
            <w:r>
              <w:t>0.182</w:t>
            </w:r>
            <w:r>
              <w:br/>
              <w:t>(+12.2%)</w:t>
            </w:r>
          </w:p>
        </w:tc>
        <w:tc>
          <w:tcPr>
            <w:tcW w:w="1418" w:type="dxa"/>
          </w:tcPr>
          <w:p w:rsidR="00BC127B" w:rsidRDefault="00BC127B" w:rsidP="00F82AE9">
            <w:pPr>
              <w:pStyle w:val="Tabletextcentred"/>
            </w:pPr>
            <w:r>
              <w:t>0.195</w:t>
            </w:r>
            <w:r>
              <w:br/>
              <w:t>(+20.3%)</w:t>
            </w:r>
          </w:p>
        </w:tc>
        <w:tc>
          <w:tcPr>
            <w:tcW w:w="1134" w:type="dxa"/>
          </w:tcPr>
          <w:p w:rsidR="00BC127B" w:rsidRDefault="00BC127B" w:rsidP="00F82AE9">
            <w:pPr>
              <w:pStyle w:val="Tabletextcentred"/>
            </w:pPr>
            <w:r>
              <w:t>0.138</w:t>
            </w:r>
          </w:p>
        </w:tc>
      </w:tr>
      <w:tr w:rsidR="00BC127B" w:rsidTr="007609A5">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6F3804">
            <w:pPr>
              <w:pStyle w:val="Tabletextcentred"/>
            </w:pPr>
            <w:r w:rsidRPr="00573ED2">
              <w:t>TC1</w:t>
            </w:r>
          </w:p>
        </w:tc>
        <w:tc>
          <w:tcPr>
            <w:tcW w:w="1293" w:type="dxa"/>
          </w:tcPr>
          <w:p w:rsidR="00BC127B" w:rsidRDefault="00BC127B" w:rsidP="00F82AE9">
            <w:pPr>
              <w:pStyle w:val="Tabletextcentred"/>
            </w:pPr>
            <w:r>
              <w:t>0.191</w:t>
            </w:r>
          </w:p>
        </w:tc>
        <w:tc>
          <w:tcPr>
            <w:tcW w:w="1134" w:type="dxa"/>
          </w:tcPr>
          <w:p w:rsidR="00BC127B" w:rsidRDefault="00BC127B" w:rsidP="00F82AE9">
            <w:pPr>
              <w:pStyle w:val="Tabletextcentred"/>
            </w:pPr>
            <w:r>
              <w:t>0.219</w:t>
            </w:r>
            <w:r>
              <w:br/>
              <w:t>(+14.8%)</w:t>
            </w:r>
          </w:p>
        </w:tc>
        <w:tc>
          <w:tcPr>
            <w:tcW w:w="1418" w:type="dxa"/>
          </w:tcPr>
          <w:p w:rsidR="00BC127B" w:rsidRDefault="00BC127B" w:rsidP="00F82AE9">
            <w:pPr>
              <w:pStyle w:val="Tabletextcentred"/>
            </w:pPr>
            <w:r>
              <w:t>0.238</w:t>
            </w:r>
            <w:r>
              <w:br/>
              <w:t>(+24.7%)</w:t>
            </w:r>
          </w:p>
        </w:tc>
        <w:tc>
          <w:tcPr>
            <w:tcW w:w="1134" w:type="dxa"/>
          </w:tcPr>
          <w:p w:rsidR="00BC127B" w:rsidRDefault="00BC127B" w:rsidP="00F82AE9">
            <w:pPr>
              <w:pStyle w:val="Tabletextcentred"/>
            </w:pPr>
            <w:r>
              <w:t>0.253</w:t>
            </w:r>
          </w:p>
        </w:tc>
      </w:tr>
      <w:tr w:rsidR="00BC127B" w:rsidTr="007609A5">
        <w:trPr>
          <w:cnfStyle w:val="000000010000" w:firstRow="0" w:lastRow="0" w:firstColumn="0" w:lastColumn="0" w:oddVBand="0" w:evenVBand="0" w:oddHBand="0" w:evenHBand="1" w:firstRowFirstColumn="0" w:firstRowLastColumn="0" w:lastRowFirstColumn="0" w:lastRowLastColumn="0"/>
        </w:trPr>
        <w:tc>
          <w:tcPr>
            <w:tcW w:w="1083" w:type="dxa"/>
          </w:tcPr>
          <w:p w:rsidR="00BC127B" w:rsidRPr="00573ED2" w:rsidRDefault="00BC127B" w:rsidP="006F3804">
            <w:pPr>
              <w:pStyle w:val="Tabletextcentred"/>
            </w:pPr>
            <w:r w:rsidRPr="00573ED2">
              <w:t>TS</w:t>
            </w:r>
          </w:p>
        </w:tc>
        <w:tc>
          <w:tcPr>
            <w:tcW w:w="1293" w:type="dxa"/>
          </w:tcPr>
          <w:p w:rsidR="00BC127B" w:rsidRDefault="00BC127B" w:rsidP="00F82AE9">
            <w:pPr>
              <w:pStyle w:val="Tabletextcentred"/>
            </w:pPr>
            <w:r>
              <w:t>0.149</w:t>
            </w:r>
          </w:p>
        </w:tc>
        <w:tc>
          <w:tcPr>
            <w:tcW w:w="1134" w:type="dxa"/>
          </w:tcPr>
          <w:p w:rsidR="00BC127B" w:rsidRDefault="00BC127B" w:rsidP="00F82AE9">
            <w:pPr>
              <w:pStyle w:val="Tabletextcentred"/>
            </w:pPr>
            <w:r>
              <w:t>0.149</w:t>
            </w:r>
            <w:r>
              <w:br/>
              <w:t>(-0.1%)</w:t>
            </w:r>
          </w:p>
        </w:tc>
        <w:tc>
          <w:tcPr>
            <w:tcW w:w="1418" w:type="dxa"/>
          </w:tcPr>
          <w:p w:rsidR="00BC127B" w:rsidRDefault="00BC127B" w:rsidP="00F82AE9">
            <w:pPr>
              <w:pStyle w:val="Tabletextcentred"/>
            </w:pPr>
            <w:r>
              <w:t>0.149</w:t>
            </w:r>
            <w:r>
              <w:br/>
              <w:t>(-0.2%)</w:t>
            </w:r>
          </w:p>
        </w:tc>
        <w:tc>
          <w:tcPr>
            <w:tcW w:w="1134" w:type="dxa"/>
          </w:tcPr>
          <w:p w:rsidR="00BC127B" w:rsidRDefault="00BC127B" w:rsidP="00F82AE9">
            <w:pPr>
              <w:pStyle w:val="Tabletextcentred"/>
            </w:pPr>
            <w:r>
              <w:t>0.154</w:t>
            </w:r>
          </w:p>
        </w:tc>
      </w:tr>
      <w:tr w:rsidR="00BC127B" w:rsidTr="007609A5">
        <w:trPr>
          <w:cnfStyle w:val="000000100000" w:firstRow="0" w:lastRow="0" w:firstColumn="0" w:lastColumn="0" w:oddVBand="0" w:evenVBand="0" w:oddHBand="1" w:evenHBand="0" w:firstRowFirstColumn="0" w:firstRowLastColumn="0" w:lastRowFirstColumn="0" w:lastRowLastColumn="0"/>
        </w:trPr>
        <w:tc>
          <w:tcPr>
            <w:tcW w:w="1083" w:type="dxa"/>
          </w:tcPr>
          <w:p w:rsidR="00BC127B" w:rsidRPr="00573ED2" w:rsidRDefault="00BC127B" w:rsidP="006F3804">
            <w:pPr>
              <w:pStyle w:val="Tabletextcentred"/>
            </w:pPr>
            <w:r w:rsidRPr="00573ED2">
              <w:t>TD</w:t>
            </w:r>
          </w:p>
        </w:tc>
        <w:tc>
          <w:tcPr>
            <w:tcW w:w="1293" w:type="dxa"/>
          </w:tcPr>
          <w:p w:rsidR="00BC127B" w:rsidRDefault="00BC127B" w:rsidP="00F82AE9">
            <w:pPr>
              <w:pStyle w:val="Tabletextcentred"/>
            </w:pPr>
            <w:r>
              <w:t>0.026</w:t>
            </w:r>
          </w:p>
        </w:tc>
        <w:tc>
          <w:tcPr>
            <w:tcW w:w="1134" w:type="dxa"/>
          </w:tcPr>
          <w:p w:rsidR="00BC127B" w:rsidRDefault="00BC127B" w:rsidP="00F82AE9">
            <w:pPr>
              <w:pStyle w:val="Tabletextcentred"/>
            </w:pPr>
            <w:r>
              <w:t>0.034</w:t>
            </w:r>
            <w:r>
              <w:br/>
              <w:t>(+31.0%)</w:t>
            </w:r>
          </w:p>
        </w:tc>
        <w:tc>
          <w:tcPr>
            <w:tcW w:w="1418" w:type="dxa"/>
          </w:tcPr>
          <w:p w:rsidR="00BC127B" w:rsidRDefault="00BC127B" w:rsidP="00F82AE9">
            <w:pPr>
              <w:pStyle w:val="Tabletextcentred"/>
            </w:pPr>
            <w:r>
              <w:t>0.04</w:t>
            </w:r>
            <w:r>
              <w:br/>
              <w:t>(+51.7%)</w:t>
            </w:r>
          </w:p>
        </w:tc>
        <w:tc>
          <w:tcPr>
            <w:tcW w:w="1134" w:type="dxa"/>
          </w:tcPr>
          <w:p w:rsidR="00BC127B" w:rsidRDefault="00BC127B" w:rsidP="00F82AE9">
            <w:pPr>
              <w:pStyle w:val="Tabletextcentred"/>
            </w:pPr>
            <w:r>
              <w:t>0.089</w:t>
            </w:r>
          </w:p>
        </w:tc>
      </w:tr>
    </w:tbl>
    <w:p w:rsidR="00BC127B" w:rsidRDefault="00BC127B" w:rsidP="00E57C2A">
      <w:pPr>
        <w:pStyle w:val="Head1nonumbers"/>
      </w:pPr>
      <w:bookmarkStart w:id="85" w:name="_Toc356827210"/>
      <w:bookmarkStart w:id="86" w:name="_Toc357065188"/>
      <w:bookmarkStart w:id="87" w:name="_Toc361914699"/>
      <w:r>
        <w:lastRenderedPageBreak/>
        <w:t>References</w:t>
      </w:r>
      <w:bookmarkEnd w:id="85"/>
      <w:bookmarkEnd w:id="86"/>
      <w:bookmarkEnd w:id="87"/>
    </w:p>
    <w:p w:rsidR="00BC127B" w:rsidRDefault="00BC127B" w:rsidP="001617F2">
      <w:pPr>
        <w:pStyle w:val="BodyText"/>
        <w:rPr>
          <w:noProof/>
        </w:rPr>
      </w:pPr>
      <w:r>
        <w:fldChar w:fldCharType="begin"/>
      </w:r>
      <w:r>
        <w:instrText xml:space="preserve"> ADDIN EN.REFLIST </w:instrText>
      </w:r>
      <w:r>
        <w:fldChar w:fldCharType="separate"/>
      </w:r>
      <w:bookmarkStart w:id="88" w:name="_ENREF_1"/>
      <w:r>
        <w:rPr>
          <w:noProof/>
        </w:rPr>
        <w:t xml:space="preserve">Abbs, D., 2012: The impact of climate change on the climatology of tropical cyclones in the Australian region. </w:t>
      </w:r>
      <w:r w:rsidRPr="00DF55AC">
        <w:rPr>
          <w:i/>
          <w:noProof/>
        </w:rPr>
        <w:t>CSIRO Climate Adaptation Flagship working paper series</w:t>
      </w:r>
      <w:r>
        <w:rPr>
          <w:noProof/>
        </w:rPr>
        <w:t>, CSIRO,</w:t>
      </w:r>
      <w:r w:rsidRPr="00DF55AC">
        <w:rPr>
          <w:b/>
          <w:noProof/>
        </w:rPr>
        <w:t xml:space="preserve"> </w:t>
      </w:r>
      <w:r>
        <w:rPr>
          <w:noProof/>
        </w:rPr>
        <w:t>pp 16.</w:t>
      </w:r>
      <w:bookmarkEnd w:id="88"/>
    </w:p>
    <w:p w:rsidR="00BC127B" w:rsidRDefault="00BC127B" w:rsidP="001617F2">
      <w:pPr>
        <w:pStyle w:val="BodyText"/>
        <w:rPr>
          <w:noProof/>
        </w:rPr>
      </w:pPr>
      <w:r w:rsidRPr="00A35965">
        <w:rPr>
          <w:noProof/>
        </w:rPr>
        <w:t xml:space="preserve">Abbs, D. J., S. Aryal, E. Campbell, J. McGregor, K. Nguyen, M. Palmer, T. Rafter, I. Watterson, and B. Bates, 2006: </w:t>
      </w:r>
      <w:r w:rsidRPr="00A35965">
        <w:rPr>
          <w:i/>
          <w:noProof/>
        </w:rPr>
        <w:t>Projections of Extreme Rainfall and Cyclones: Final Report to the Australian Greenhouse Office</w:t>
      </w:r>
      <w:r w:rsidRPr="00A35965">
        <w:rPr>
          <w:noProof/>
        </w:rPr>
        <w:t xml:space="preserve">, </w:t>
      </w:r>
      <w:r>
        <w:rPr>
          <w:noProof/>
        </w:rPr>
        <w:t xml:space="preserve">CSIRO Marine and Atmospheric Research, Aspendale, </w:t>
      </w:r>
      <w:r w:rsidRPr="00A35965">
        <w:rPr>
          <w:noProof/>
        </w:rPr>
        <w:t>Report N</w:t>
      </w:r>
      <w:r>
        <w:rPr>
          <w:noProof/>
        </w:rPr>
        <w:t>º</w:t>
      </w:r>
      <w:r w:rsidRPr="00A35965">
        <w:rPr>
          <w:noProof/>
        </w:rPr>
        <w:t xml:space="preserve">.:C/0971. </w:t>
      </w:r>
      <w:r>
        <w:rPr>
          <w:noProof/>
        </w:rPr>
        <w:t xml:space="preserve"> </w:t>
      </w:r>
    </w:p>
    <w:p w:rsidR="00BC127B" w:rsidRPr="00542AA3" w:rsidRDefault="00BC127B" w:rsidP="001617F2">
      <w:pPr>
        <w:pStyle w:val="BodyText"/>
        <w:rPr>
          <w:noProof/>
        </w:rPr>
      </w:pPr>
      <w:r>
        <w:rPr>
          <w:noProof/>
        </w:rPr>
        <w:t xml:space="preserve">Brunt, A. T., 1969: Low latitude cyclones. </w:t>
      </w:r>
      <w:r>
        <w:rPr>
          <w:i/>
          <w:noProof/>
        </w:rPr>
        <w:t>Australian Meteorological Magazine</w:t>
      </w:r>
      <w:r>
        <w:rPr>
          <w:noProof/>
        </w:rPr>
        <w:t xml:space="preserve">, </w:t>
      </w:r>
      <w:r>
        <w:rPr>
          <w:b/>
          <w:noProof/>
        </w:rPr>
        <w:t>17</w:t>
      </w:r>
      <w:r>
        <w:rPr>
          <w:noProof/>
        </w:rPr>
        <w:t>, 67–90</w:t>
      </w:r>
    </w:p>
    <w:p w:rsidR="00BC127B" w:rsidRDefault="00BC127B" w:rsidP="001617F2">
      <w:pPr>
        <w:pStyle w:val="BodyText"/>
        <w:rPr>
          <w:noProof/>
        </w:rPr>
      </w:pPr>
      <w:r>
        <w:rPr>
          <w:noProof/>
        </w:rPr>
        <w:t xml:space="preserve">Bureau of Meteorology and CSIRO, 2011: Climate Change in the Pacific: Scientific Assessment and New Research: Volume 1: Regional Overview, CSIRO: available online at </w:t>
      </w:r>
      <w:r w:rsidRPr="00626D80">
        <w:rPr>
          <w:noProof/>
        </w:rPr>
        <w:t>http://www.pacificclimatechangescience.org/</w:t>
      </w:r>
    </w:p>
    <w:p w:rsidR="00BC127B" w:rsidRDefault="00BC127B" w:rsidP="001617F2">
      <w:pPr>
        <w:pStyle w:val="BodyText"/>
        <w:rPr>
          <w:noProof/>
        </w:rPr>
      </w:pPr>
      <w:bookmarkStart w:id="89" w:name="_ENREF_2"/>
      <w:r>
        <w:rPr>
          <w:noProof/>
        </w:rPr>
        <w:t>Harper, B. A., 2002: Tropical Cyclone Parameter Estimation in the Australian Region: Wind Pressure Relationships and Related Issues for Engineering Planning and Design.</w:t>
      </w:r>
      <w:bookmarkEnd w:id="89"/>
    </w:p>
    <w:p w:rsidR="00BC127B" w:rsidRDefault="00BC127B" w:rsidP="001617F2">
      <w:pPr>
        <w:pStyle w:val="BodyText"/>
        <w:rPr>
          <w:noProof/>
        </w:rPr>
      </w:pPr>
      <w:bookmarkStart w:id="90" w:name="_ENREF_3"/>
      <w:r>
        <w:rPr>
          <w:noProof/>
        </w:rPr>
        <w:t>Harper, B. A., J. D. Kepert, and J. D. Ginger, 2010: Guidelines for converting between various wind averaging periods in tropical cyclone conditions. WMO/TD-N</w:t>
      </w:r>
      <w:r w:rsidRPr="00104BE1">
        <w:rPr>
          <w:noProof/>
        </w:rPr>
        <w:t>º</w:t>
      </w:r>
      <w:r>
        <w:rPr>
          <w:noProof/>
        </w:rPr>
        <w:t>.1555.</w:t>
      </w:r>
      <w:bookmarkEnd w:id="90"/>
    </w:p>
    <w:p w:rsidR="00BC127B" w:rsidRDefault="00BC127B" w:rsidP="001617F2">
      <w:pPr>
        <w:pStyle w:val="BodyText"/>
        <w:rPr>
          <w:noProof/>
        </w:rPr>
      </w:pPr>
      <w:bookmarkStart w:id="91" w:name="_ENREF_4"/>
      <w:r>
        <w:rPr>
          <w:noProof/>
        </w:rPr>
        <w:t xml:space="preserve">Hemer, M. A., K. L. McInnes, and R. Ranasinghe, 2012: Climate and variability bias adjustment of climate model-derived winds for a southeast Australian dynamical wave model. </w:t>
      </w:r>
      <w:r w:rsidRPr="00DF55AC">
        <w:rPr>
          <w:i/>
          <w:noProof/>
        </w:rPr>
        <w:t>Ocean Dynamics</w:t>
      </w:r>
      <w:r>
        <w:rPr>
          <w:noProof/>
        </w:rPr>
        <w:t xml:space="preserve">, </w:t>
      </w:r>
      <w:r w:rsidRPr="00DF55AC">
        <w:rPr>
          <w:b/>
          <w:noProof/>
        </w:rPr>
        <w:t>62,</w:t>
      </w:r>
      <w:r>
        <w:rPr>
          <w:noProof/>
        </w:rPr>
        <w:t xml:space="preserve"> 87-104.</w:t>
      </w:r>
      <w:bookmarkEnd w:id="91"/>
    </w:p>
    <w:p w:rsidR="00BC127B" w:rsidRDefault="00BC127B" w:rsidP="001617F2">
      <w:pPr>
        <w:pStyle w:val="BodyText"/>
        <w:rPr>
          <w:noProof/>
        </w:rPr>
      </w:pPr>
      <w:bookmarkStart w:id="92" w:name="_ENREF_5"/>
      <w:r>
        <w:rPr>
          <w:noProof/>
        </w:rPr>
        <w:t xml:space="preserve">Holland, G., 2008: A Revised Hurricane Pressure-Wind Model. </w:t>
      </w:r>
      <w:r w:rsidRPr="00DF55AC">
        <w:rPr>
          <w:i/>
          <w:noProof/>
        </w:rPr>
        <w:t>Monthly Weather Review</w:t>
      </w:r>
      <w:r>
        <w:rPr>
          <w:noProof/>
        </w:rPr>
        <w:t xml:space="preserve">, </w:t>
      </w:r>
      <w:r w:rsidRPr="00DF55AC">
        <w:rPr>
          <w:b/>
          <w:noProof/>
        </w:rPr>
        <w:t>136,</w:t>
      </w:r>
      <w:r>
        <w:rPr>
          <w:noProof/>
        </w:rPr>
        <w:t xml:space="preserve"> 3432-3445.</w:t>
      </w:r>
      <w:bookmarkEnd w:id="92"/>
    </w:p>
    <w:p w:rsidR="00BC127B" w:rsidRDefault="00BC127B" w:rsidP="001617F2">
      <w:pPr>
        <w:pStyle w:val="BodyText"/>
        <w:rPr>
          <w:noProof/>
        </w:rPr>
      </w:pPr>
      <w:bookmarkStart w:id="93" w:name="_ENREF_6"/>
      <w:r>
        <w:rPr>
          <w:noProof/>
        </w:rPr>
        <w:t xml:space="preserve">Holland, G. J., and C. L. Bruyère, 2013: Recent intense hurricane response to global climate change. </w:t>
      </w:r>
      <w:r w:rsidRPr="00DF55AC">
        <w:rPr>
          <w:i/>
          <w:noProof/>
        </w:rPr>
        <w:t>Climate Dynamics</w:t>
      </w:r>
      <w:r w:rsidRPr="00DF55AC">
        <w:rPr>
          <w:b/>
          <w:noProof/>
        </w:rPr>
        <w:t>,</w:t>
      </w:r>
      <w:r>
        <w:rPr>
          <w:noProof/>
        </w:rPr>
        <w:t xml:space="preserve"> 11-11.</w:t>
      </w:r>
      <w:bookmarkEnd w:id="93"/>
    </w:p>
    <w:p w:rsidR="00BC127B" w:rsidRDefault="00BC127B" w:rsidP="001617F2">
      <w:pPr>
        <w:pStyle w:val="BodyText"/>
        <w:rPr>
          <w:noProof/>
        </w:rPr>
      </w:pPr>
      <w:bookmarkStart w:id="94" w:name="_ENREF_7"/>
      <w:r>
        <w:rPr>
          <w:noProof/>
        </w:rPr>
        <w:t xml:space="preserve">Katzfey, J., J. McGregor, K. Nguyen, and M. Thatcher, 2009: Dynamical downscaling techniques: Impacts on regional climate change signals. </w:t>
      </w:r>
      <w:r w:rsidRPr="00DF55AC">
        <w:rPr>
          <w:i/>
          <w:noProof/>
        </w:rPr>
        <w:t>MODSIM09 Int. Congress on Mode</w:t>
      </w:r>
      <w:r>
        <w:rPr>
          <w:i/>
          <w:noProof/>
        </w:rPr>
        <w:t>lling and Simulation. www.</w:t>
      </w:r>
      <w:r w:rsidRPr="00DF55AC">
        <w:rPr>
          <w:i/>
          <w:noProof/>
        </w:rPr>
        <w:t>mssanz.org.au/modsim09 I</w:t>
      </w:r>
      <w:r>
        <w:rPr>
          <w:noProof/>
        </w:rPr>
        <w:t>, 2377-2383.</w:t>
      </w:r>
      <w:bookmarkEnd w:id="94"/>
    </w:p>
    <w:p w:rsidR="00BC127B" w:rsidRDefault="00BC127B" w:rsidP="001617F2">
      <w:pPr>
        <w:pStyle w:val="BodyText"/>
        <w:rPr>
          <w:noProof/>
        </w:rPr>
      </w:pPr>
      <w:bookmarkStart w:id="95" w:name="_ENREF_8"/>
      <w:r>
        <w:rPr>
          <w:noProof/>
        </w:rPr>
        <w:t xml:space="preserve">Knapp, K. R., M. C. Kruk, D. H. Levinson, H. J. Diamond, and C. J. Neumann, 2010: The International Best Track Archive for Climate Stewardship (IBTrACS): Unifying tropical cyclone best track data. </w:t>
      </w:r>
      <w:r w:rsidRPr="00DF55AC">
        <w:rPr>
          <w:i/>
          <w:noProof/>
        </w:rPr>
        <w:t>Bulletin of the American Meteorological Society</w:t>
      </w:r>
      <w:r>
        <w:rPr>
          <w:noProof/>
        </w:rPr>
        <w:t xml:space="preserve">, </w:t>
      </w:r>
      <w:r w:rsidRPr="00DF55AC">
        <w:rPr>
          <w:b/>
          <w:noProof/>
        </w:rPr>
        <w:t>91,</w:t>
      </w:r>
      <w:r>
        <w:rPr>
          <w:noProof/>
        </w:rPr>
        <w:t xml:space="preserve"> 363-376.</w:t>
      </w:r>
      <w:bookmarkEnd w:id="95"/>
    </w:p>
    <w:p w:rsidR="00BC127B" w:rsidRDefault="00BC127B" w:rsidP="001617F2">
      <w:pPr>
        <w:pStyle w:val="BodyText"/>
        <w:rPr>
          <w:noProof/>
        </w:rPr>
      </w:pPr>
      <w:bookmarkStart w:id="96" w:name="_ENREF_9"/>
      <w:r>
        <w:rPr>
          <w:noProof/>
        </w:rPr>
        <w:t xml:space="preserve">McGregor, J., M. R. Dix, K. Hamilton, and W. Ohfuchi, 2008: An Updated Description of the Conformal-Cubic Atmospheric Model. </w:t>
      </w:r>
      <w:r w:rsidRPr="00DF55AC">
        <w:rPr>
          <w:i/>
          <w:noProof/>
        </w:rPr>
        <w:t>High Resolution Numerical Modelling of the Atmosphere and Ocean</w:t>
      </w:r>
      <w:r>
        <w:rPr>
          <w:noProof/>
        </w:rPr>
        <w:t>, Springer,</w:t>
      </w:r>
      <w:r w:rsidRPr="00DF55AC">
        <w:rPr>
          <w:b/>
          <w:noProof/>
        </w:rPr>
        <w:t xml:space="preserve"> </w:t>
      </w:r>
      <w:r>
        <w:rPr>
          <w:noProof/>
        </w:rPr>
        <w:t>51-75.</w:t>
      </w:r>
      <w:bookmarkEnd w:id="96"/>
    </w:p>
    <w:p w:rsidR="00BC127B" w:rsidRDefault="00BC127B" w:rsidP="001617F2">
      <w:pPr>
        <w:pStyle w:val="BodyText"/>
        <w:rPr>
          <w:noProof/>
        </w:rPr>
      </w:pPr>
      <w:bookmarkStart w:id="97" w:name="_ENREF_10"/>
      <w:r>
        <w:rPr>
          <w:noProof/>
        </w:rPr>
        <w:t xml:space="preserve">Meehl, G. A., and Coauthors, 2012: Relative outcomes of climate change mitigation related to global temperature versus sea-level rise. </w:t>
      </w:r>
      <w:r w:rsidRPr="00DF55AC">
        <w:rPr>
          <w:i/>
          <w:noProof/>
        </w:rPr>
        <w:t>Nature Climate Change</w:t>
      </w:r>
      <w:r>
        <w:rPr>
          <w:noProof/>
        </w:rPr>
        <w:t xml:space="preserve">, </w:t>
      </w:r>
      <w:r w:rsidRPr="00DF55AC">
        <w:rPr>
          <w:b/>
          <w:noProof/>
        </w:rPr>
        <w:t>2,</w:t>
      </w:r>
      <w:r>
        <w:rPr>
          <w:noProof/>
        </w:rPr>
        <w:t xml:space="preserve"> 576-580.</w:t>
      </w:r>
      <w:bookmarkEnd w:id="97"/>
    </w:p>
    <w:p w:rsidR="00BC127B" w:rsidRDefault="00BC127B" w:rsidP="001617F2">
      <w:pPr>
        <w:pStyle w:val="BodyText"/>
        <w:rPr>
          <w:noProof/>
        </w:rPr>
      </w:pPr>
      <w:bookmarkStart w:id="98" w:name="_ENREF_11"/>
      <w:r>
        <w:rPr>
          <w:noProof/>
        </w:rPr>
        <w:lastRenderedPageBreak/>
        <w:t xml:space="preserve">Meehl, G. A., and Coauthors, 2007: Global Climate Projections. </w:t>
      </w:r>
      <w:r w:rsidRPr="00DF55AC">
        <w:rPr>
          <w:i/>
          <w:noProof/>
        </w:rPr>
        <w:t>Climate Change 2007: The Physical Science Basis. Contribution of Working Group I to the Fourth Assessment Report of the Intergovernmental Panel on Climate Change</w:t>
      </w:r>
      <w:r>
        <w:rPr>
          <w:noProof/>
        </w:rPr>
        <w:t>, Cambridge University Press,</w:t>
      </w:r>
      <w:r w:rsidRPr="00DF55AC">
        <w:rPr>
          <w:b/>
          <w:noProof/>
        </w:rPr>
        <w:t xml:space="preserve"> </w:t>
      </w:r>
      <w:r>
        <w:rPr>
          <w:noProof/>
        </w:rPr>
        <w:t>747-846.</w:t>
      </w:r>
      <w:bookmarkEnd w:id="98"/>
    </w:p>
    <w:p w:rsidR="00BC127B" w:rsidRDefault="00BC127B" w:rsidP="001617F2">
      <w:pPr>
        <w:pStyle w:val="BodyText"/>
        <w:rPr>
          <w:noProof/>
        </w:rPr>
      </w:pPr>
      <w:bookmarkStart w:id="99" w:name="_ENREF_12"/>
      <w:r>
        <w:rPr>
          <w:noProof/>
        </w:rPr>
        <w:t xml:space="preserve">Nakicenovic, N., and R. Swart, 2000: </w:t>
      </w:r>
      <w:r w:rsidRPr="00DF55AC">
        <w:rPr>
          <w:i/>
          <w:noProof/>
        </w:rPr>
        <w:t>Special Report on Emissions Scenarios.</w:t>
      </w:r>
      <w:r>
        <w:rPr>
          <w:noProof/>
        </w:rPr>
        <w:t xml:space="preserve">  Cambridge University Press.</w:t>
      </w:r>
      <w:bookmarkEnd w:id="99"/>
    </w:p>
    <w:p w:rsidR="00BC127B" w:rsidRDefault="00BC127B" w:rsidP="001617F2">
      <w:pPr>
        <w:pStyle w:val="BodyText"/>
        <w:rPr>
          <w:noProof/>
        </w:rPr>
      </w:pPr>
      <w:r w:rsidRPr="007949D7">
        <w:t xml:space="preserve">Nguyen, K. C., and K.J.E. Walsh, 2001: Interannual, </w:t>
      </w:r>
      <w:r w:rsidR="001617F2" w:rsidRPr="007949D7">
        <w:t>decadal</w:t>
      </w:r>
      <w:r w:rsidRPr="007949D7">
        <w:t xml:space="preserve"> and transient greenhouse simulation of tropical cyclone-like vortices in a regional climate model of the South Pacific. </w:t>
      </w:r>
      <w:r w:rsidRPr="007949D7">
        <w:rPr>
          <w:i/>
          <w:iCs/>
        </w:rPr>
        <w:t>Journal of Climate</w:t>
      </w:r>
      <w:r w:rsidRPr="007949D7">
        <w:t xml:space="preserve">, </w:t>
      </w:r>
      <w:r w:rsidRPr="007949D7">
        <w:rPr>
          <w:b/>
          <w:bCs/>
        </w:rPr>
        <w:t>14</w:t>
      </w:r>
      <w:r w:rsidRPr="007949D7">
        <w:t>, 3043-3054</w:t>
      </w:r>
    </w:p>
    <w:p w:rsidR="00BC127B" w:rsidRDefault="00BC127B" w:rsidP="001617F2">
      <w:pPr>
        <w:pStyle w:val="BodyText"/>
        <w:rPr>
          <w:noProof/>
        </w:rPr>
      </w:pPr>
      <w:bookmarkStart w:id="100" w:name="_ENREF_13"/>
      <w:r>
        <w:rPr>
          <w:noProof/>
        </w:rPr>
        <w:t xml:space="preserve">van Vuuren, D. P., and Coauthors, 2011: The representative concentration pathways: an overview. </w:t>
      </w:r>
      <w:r w:rsidRPr="00DF55AC">
        <w:rPr>
          <w:i/>
          <w:noProof/>
        </w:rPr>
        <w:t>Climatic Change</w:t>
      </w:r>
      <w:r>
        <w:rPr>
          <w:noProof/>
        </w:rPr>
        <w:t xml:space="preserve">, </w:t>
      </w:r>
      <w:r w:rsidRPr="00DF55AC">
        <w:rPr>
          <w:b/>
          <w:noProof/>
        </w:rPr>
        <w:t>109,</w:t>
      </w:r>
      <w:r>
        <w:rPr>
          <w:noProof/>
        </w:rPr>
        <w:t xml:space="preserve"> 5-13.</w:t>
      </w:r>
      <w:bookmarkEnd w:id="100"/>
    </w:p>
    <w:p w:rsidR="006A5A7F" w:rsidRPr="00BC127B" w:rsidRDefault="00BC127B" w:rsidP="001617F2">
      <w:pPr>
        <w:pStyle w:val="BodyText"/>
      </w:pPr>
      <w:r w:rsidRPr="007949D7">
        <w:t xml:space="preserve">Walsh, K. J. E., and J.I. Syktus, 2003: Simulations of observed interannual variability of tropical cyclone formation east of Australia. </w:t>
      </w:r>
      <w:r w:rsidRPr="007949D7">
        <w:rPr>
          <w:i/>
          <w:iCs/>
        </w:rPr>
        <w:t>Atmospheric Science Letters</w:t>
      </w:r>
      <w:r w:rsidRPr="007949D7">
        <w:t xml:space="preserve">, </w:t>
      </w:r>
      <w:r w:rsidRPr="007949D7">
        <w:rPr>
          <w:b/>
          <w:bCs/>
        </w:rPr>
        <w:t>4</w:t>
      </w:r>
      <w:r>
        <w:rPr>
          <w:b/>
          <w:bCs/>
        </w:rPr>
        <w:t xml:space="preserve"> </w:t>
      </w:r>
      <w:r w:rsidRPr="00A35965">
        <w:rPr>
          <w:bCs/>
        </w:rPr>
        <w:t>(1-4)</w:t>
      </w:r>
      <w:r w:rsidRPr="007949D7">
        <w:t>, 28-40.</w:t>
      </w:r>
      <w:r>
        <w:fldChar w:fldCharType="end"/>
      </w:r>
    </w:p>
    <w:sectPr w:rsidR="006A5A7F" w:rsidRPr="00BC127B" w:rsidSect="00EF41F0">
      <w:headerReference w:type="even" r:id="rId39"/>
      <w:headerReference w:type="default" r:id="rId40"/>
      <w:footerReference w:type="even" r:id="rId41"/>
      <w:footerReference w:type="default" r:id="rId42"/>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CA2" w:rsidRDefault="00105CA2">
      <w:r>
        <w:separator/>
      </w:r>
    </w:p>
    <w:p w:rsidR="00105CA2" w:rsidRDefault="00105CA2"/>
    <w:p w:rsidR="00105CA2" w:rsidRDefault="00105CA2"/>
    <w:p w:rsidR="00105CA2" w:rsidRDefault="00105CA2"/>
    <w:p w:rsidR="00105CA2" w:rsidRDefault="00105CA2"/>
    <w:p w:rsidR="00105CA2" w:rsidRDefault="00105CA2"/>
  </w:endnote>
  <w:endnote w:type="continuationSeparator" w:id="0">
    <w:p w:rsidR="00105CA2" w:rsidRDefault="00105CA2">
      <w:r>
        <w:continuationSeparator/>
      </w:r>
    </w:p>
    <w:p w:rsidR="00105CA2" w:rsidRDefault="00105CA2"/>
    <w:p w:rsidR="00105CA2" w:rsidRDefault="00105CA2"/>
    <w:p w:rsidR="00105CA2" w:rsidRDefault="00105CA2"/>
    <w:p w:rsidR="00105CA2" w:rsidRDefault="00105CA2"/>
    <w:p w:rsidR="00105CA2" w:rsidRDefault="00105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rial Bold">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135063"/>
      <w:docPartObj>
        <w:docPartGallery w:val="Page Numbers (Bottom of Page)"/>
        <w:docPartUnique/>
      </w:docPartObj>
    </w:sdtPr>
    <w:sdtEndPr>
      <w:rPr>
        <w:rStyle w:val="PageNumber"/>
      </w:rPr>
    </w:sdtEndPr>
    <w:sdtContent>
      <w:p w:rsidR="00105CA2" w:rsidRPr="000B1669" w:rsidRDefault="00105CA2"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6A5281">
          <w:rPr>
            <w:rStyle w:val="PageNumber"/>
            <w:noProof/>
          </w:rPr>
          <w:t>iv</w:t>
        </w:r>
        <w:r w:rsidRPr="000B1669">
          <w:rPr>
            <w:rStyle w:val="PageNumber"/>
          </w:rPr>
          <w:fldChar w:fldCharType="end"/>
        </w:r>
        <w:r>
          <w:rPr>
            <w:rStyle w:val="PageNumber"/>
          </w:rPr>
          <w:tab/>
        </w:r>
        <w:r>
          <w:t>Assessment of Tropical Cyclone Risk in the Pacific Region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378751"/>
      <w:docPartObj>
        <w:docPartGallery w:val="Page Numbers (Bottom of Page)"/>
        <w:docPartUnique/>
      </w:docPartObj>
    </w:sdtPr>
    <w:sdtEndPr>
      <w:rPr>
        <w:noProof/>
      </w:rPr>
    </w:sdtEndPr>
    <w:sdtContent>
      <w:p w:rsidR="00105CA2" w:rsidRDefault="00105CA2" w:rsidP="00135632">
        <w:pPr>
          <w:pStyle w:val="Footer"/>
        </w:pPr>
        <w:r>
          <w:t>Assessment of Tropical Cyclone Risk in the Pacific Region</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6A5281">
          <w:rPr>
            <w:rStyle w:val="PageNumber"/>
            <w:noProof/>
          </w:rPr>
          <w:t>iii</w:t>
        </w:r>
        <w:r w:rsidRPr="008E7CDC">
          <w:rPr>
            <w:rStyle w:val="PageNumbe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738499"/>
      <w:docPartObj>
        <w:docPartGallery w:val="Page Numbers (Bottom of Page)"/>
        <w:docPartUnique/>
      </w:docPartObj>
    </w:sdtPr>
    <w:sdtEndPr>
      <w:rPr>
        <w:rStyle w:val="PageNumber"/>
      </w:rPr>
    </w:sdtEndPr>
    <w:sdtContent>
      <w:p w:rsidR="00105CA2" w:rsidRPr="000B1669" w:rsidRDefault="00105CA2"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6A5281">
          <w:rPr>
            <w:rStyle w:val="PageNumber"/>
            <w:noProof/>
          </w:rPr>
          <w:t>2</w:t>
        </w:r>
        <w:r w:rsidRPr="000B1669">
          <w:rPr>
            <w:rStyle w:val="PageNumber"/>
          </w:rPr>
          <w:fldChar w:fldCharType="end"/>
        </w:r>
        <w:r>
          <w:rPr>
            <w:rStyle w:val="PageNumber"/>
          </w:rPr>
          <w:tab/>
        </w:r>
        <w:r>
          <w:t>Assessment of Tropical Cyclone Risk in the Pacific Region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282515"/>
      <w:docPartObj>
        <w:docPartGallery w:val="Page Numbers (Bottom of Page)"/>
        <w:docPartUnique/>
      </w:docPartObj>
    </w:sdtPr>
    <w:sdtEndPr>
      <w:rPr>
        <w:noProof/>
      </w:rPr>
    </w:sdtEndPr>
    <w:sdtContent>
      <w:p w:rsidR="00105CA2" w:rsidRDefault="00105CA2" w:rsidP="00135632">
        <w:pPr>
          <w:pStyle w:val="Footer"/>
        </w:pPr>
        <w:r>
          <w:t>Assessment of Tropical Cyclone Risk in the Pacific Region</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6A5281">
          <w:rPr>
            <w:rStyle w:val="PageNumber"/>
            <w:noProof/>
          </w:rPr>
          <w:t>1</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CA2" w:rsidRDefault="00105CA2" w:rsidP="006771CA">
      <w:pPr>
        <w:pStyle w:val="FootnoteText1"/>
      </w:pPr>
    </w:p>
    <w:p w:rsidR="00105CA2" w:rsidRDefault="00105CA2" w:rsidP="006771CA">
      <w:pPr>
        <w:pStyle w:val="FootnoteText1"/>
        <w:spacing w:before="180" w:after="180"/>
      </w:pPr>
    </w:p>
    <w:p w:rsidR="00105CA2" w:rsidRPr="006771CA" w:rsidRDefault="00105CA2" w:rsidP="006771CA">
      <w:pPr>
        <w:pStyle w:val="FootnoteText1"/>
        <w:spacing w:before="180" w:after="180"/>
      </w:pPr>
    </w:p>
  </w:footnote>
  <w:footnote w:type="continuationSeparator" w:id="0">
    <w:p w:rsidR="00105CA2" w:rsidRDefault="00105CA2">
      <w:r>
        <w:continuationSeparator/>
      </w:r>
    </w:p>
    <w:p w:rsidR="00105CA2" w:rsidRDefault="00105CA2"/>
    <w:p w:rsidR="00105CA2" w:rsidRDefault="00105CA2"/>
    <w:p w:rsidR="00105CA2" w:rsidRDefault="00105CA2"/>
    <w:p w:rsidR="00105CA2" w:rsidRDefault="00105CA2"/>
    <w:p w:rsidR="00105CA2" w:rsidRDefault="00105CA2"/>
  </w:footnote>
  <w:footnote w:id="1">
    <w:p w:rsidR="00105CA2" w:rsidRPr="006771CA" w:rsidRDefault="00105CA2" w:rsidP="006771CA">
      <w:pPr>
        <w:pStyle w:val="FootnoteText1"/>
      </w:pPr>
      <w:r w:rsidRPr="000B626C">
        <w:rPr>
          <w:rStyle w:val="FootnoteReference"/>
          <w:sz w:val="20"/>
          <w:u w:color="000000"/>
        </w:rPr>
        <w:footnoteRef/>
      </w:r>
      <w:r w:rsidRPr="000B626C">
        <w:rPr>
          <w:rStyle w:val="FootnoteReference"/>
          <w:sz w:val="20"/>
          <w:u w:color="000000"/>
        </w:rPr>
        <w:t xml:space="preserve"> </w:t>
      </w:r>
      <w:r>
        <w:t xml:space="preserve">See </w:t>
      </w:r>
      <w:r>
        <w:fldChar w:fldCharType="begin"/>
      </w:r>
      <w:r>
        <w:instrText xml:space="preserve"> REF _Ref361914738 \r \h </w:instrText>
      </w:r>
      <w:r>
        <w:fldChar w:fldCharType="separate"/>
      </w:r>
      <w:r>
        <w:t>Appendix A</w:t>
      </w:r>
      <w:r>
        <w:fldChar w:fldCharType="end"/>
      </w:r>
      <w:r>
        <w:t xml:space="preserve"> </w:t>
      </w:r>
      <w:r w:rsidRPr="006771CA">
        <w:t>for a list of model names and corresponding groups.</w:t>
      </w:r>
    </w:p>
  </w:footnote>
  <w:footnote w:id="2">
    <w:p w:rsidR="00105CA2" w:rsidRPr="00EB3318" w:rsidRDefault="00105CA2" w:rsidP="006771CA">
      <w:pPr>
        <w:pStyle w:val="FootnoteText1"/>
        <w:rPr>
          <w:sz w:val="18"/>
        </w:rPr>
      </w:pPr>
      <w:r w:rsidRPr="000B626C">
        <w:rPr>
          <w:rStyle w:val="FootnoteReference"/>
          <w:sz w:val="20"/>
          <w:u w:color="000000"/>
        </w:rPr>
        <w:footnoteRef/>
      </w:r>
      <w:r w:rsidRPr="00EB3318">
        <w:rPr>
          <w:sz w:val="18"/>
        </w:rPr>
        <w:t xml:space="preserve"> </w:t>
      </w:r>
      <w:proofErr w:type="spellStart"/>
      <w:r w:rsidRPr="00EB3318">
        <w:rPr>
          <w:sz w:val="18"/>
        </w:rPr>
        <w:t>IBTrACS</w:t>
      </w:r>
      <w:proofErr w:type="spellEnd"/>
      <w:r w:rsidRPr="00EB3318">
        <w:rPr>
          <w:sz w:val="18"/>
        </w:rPr>
        <w:t xml:space="preserve">: </w:t>
      </w:r>
      <w:hyperlink r:id="rId1" w:tooltip="International Best Track Archive for Climate Stewardship, hoset by the National Climatic Data Center" w:history="1">
        <w:r w:rsidRPr="00EB3318">
          <w:rPr>
            <w:rStyle w:val="Hyperlink"/>
            <w:sz w:val="18"/>
          </w:rPr>
          <w:t>http://www.ncdc.noaa.gov/oa/ibtracs/</w:t>
        </w:r>
      </w:hyperlink>
      <w:r w:rsidRPr="00EB3318">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A2" w:rsidRPr="00E34239" w:rsidRDefault="00105CA2" w:rsidP="00653FD5">
    <w:pPr>
      <w:pStyle w:val="BodyText"/>
      <w:ind w:firstLine="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A2" w:rsidRPr="00E34239" w:rsidRDefault="00105CA2" w:rsidP="003954B6">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A2" w:rsidRPr="00A91FF8" w:rsidRDefault="00105CA2" w:rsidP="00A91F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A2" w:rsidRPr="00A91FF8" w:rsidRDefault="00105CA2" w:rsidP="00A91F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1C80A0C"/>
    <w:multiLevelType w:val="multilevel"/>
    <w:tmpl w:val="49E65A48"/>
    <w:lvl w:ilvl="0">
      <w:start w:val="1"/>
      <w:numFmt w:val="bullet"/>
      <w:pStyle w:val="Bulletlevel1"/>
      <w:lvlText w:val=""/>
      <w:lvlJc w:val="left"/>
      <w:pPr>
        <w:tabs>
          <w:tab w:val="num" w:pos="567"/>
        </w:tabs>
        <w:ind w:left="567" w:hanging="283"/>
      </w:pPr>
      <w:rPr>
        <w:rFonts w:ascii="Symbol" w:hAnsi="Symbol" w:hint="default"/>
        <w:color w:val="auto"/>
      </w:rPr>
    </w:lvl>
    <w:lvl w:ilvl="1">
      <w:start w:val="1"/>
      <w:numFmt w:val="bullet"/>
      <w:pStyle w:val="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DA4635A8"/>
    <w:lvl w:ilvl="0">
      <w:start w:val="1"/>
      <w:numFmt w:val="decimal"/>
      <w:pStyle w:val="Bulletlevel1numbered"/>
      <w:lvlText w:val="%1."/>
      <w:lvlJc w:val="left"/>
      <w:pPr>
        <w:tabs>
          <w:tab w:val="num" w:pos="709"/>
        </w:tabs>
        <w:ind w:left="709"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195877DD"/>
    <w:multiLevelType w:val="multilevel"/>
    <w:tmpl w:val="3446CB5C"/>
    <w:numStyleLink w:val="HeadingsNumbered"/>
  </w:abstractNum>
  <w:abstractNum w:abstractNumId="16">
    <w:nsid w:val="1F262D65"/>
    <w:multiLevelType w:val="multilevel"/>
    <w:tmpl w:val="0C090025"/>
    <w:styleLink w:val="1ai"/>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7">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ADC6267"/>
    <w:multiLevelType w:val="multilevel"/>
    <w:tmpl w:val="0C090025"/>
    <w:numStyleLink w:val="1ai"/>
  </w:abstractNum>
  <w:abstractNum w:abstractNumId="19">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nsid w:val="4AAC61D3"/>
    <w:multiLevelType w:val="multilevel"/>
    <w:tmpl w:val="894EE875"/>
    <w:styleLink w:val="StyleNumberedOutlinenumberedHelvetica12ptBlackHanging"/>
    <w:lvl w:ilvl="0">
      <w:start w:val="1"/>
      <w:numFmt w:val="decimal"/>
      <w:lvlText w:val="%1."/>
      <w:lvlJc w:val="left"/>
      <w:pPr>
        <w:tabs>
          <w:tab w:val="num" w:pos="360"/>
        </w:tabs>
        <w:ind w:left="360" w:firstLine="0"/>
      </w:pPr>
      <w:rPr>
        <w:rFonts w:ascii="Arial" w:hAnsi="Arial"/>
        <w:color w:val="000000"/>
        <w:sz w:val="20"/>
      </w:rPr>
    </w:lvl>
    <w:lvl w:ilvl="1">
      <w:start w:val="1"/>
      <w:numFmt w:val="decimal"/>
      <w:lvlText w:val="%2."/>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14:textOutline w14:w="0" w14:cap="rnd" w14:cmpd="sng" w14:algn="ctr">
          <w14:noFill/>
          <w14:prstDash w14:val="solid"/>
          <w14:bevel/>
        </w14:textOutline>
      </w:rPr>
    </w:lvl>
    <w:lvl w:ilvl="2">
      <w:start w:val="1"/>
      <w:numFmt w:val="decimal"/>
      <w:lvlText w:val="%3."/>
      <w:lvlJc w:val="left"/>
      <w:pPr>
        <w:tabs>
          <w:tab w:val="num" w:pos="360"/>
        </w:tabs>
        <w:ind w:left="360" w:firstLine="72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14:textOutline w14:w="0" w14:cap="rnd" w14:cmpd="sng" w14:algn="ctr">
          <w14:noFill/>
          <w14:prstDash w14:val="solid"/>
          <w14:bevel/>
        </w14:textOutline>
      </w:rPr>
    </w:lvl>
    <w:lvl w:ilvl="4">
      <w:start w:val="1"/>
      <w:numFmt w:val="decimal"/>
      <w:lvlText w:val="%5."/>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14:textOutline w14:w="0" w14:cap="rnd" w14:cmpd="sng" w14:algn="ctr">
          <w14:noFill/>
          <w14:prstDash w14:val="solid"/>
          <w14:bevel/>
        </w14:textOutline>
      </w:rPr>
    </w:lvl>
    <w:lvl w:ilvl="5">
      <w:start w:val="1"/>
      <w:numFmt w:val="decimal"/>
      <w:lvlText w:val="%6."/>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14:textOutline w14:w="0" w14:cap="rnd" w14:cmpd="sng" w14:algn="ctr">
          <w14:noFill/>
          <w14:prstDash w14:val="solid"/>
          <w14:bevel/>
        </w14:textOutline>
      </w:rPr>
    </w:lvl>
    <w:lvl w:ilvl="7">
      <w:start w:val="1"/>
      <w:numFmt w:val="decimal"/>
      <w:lvlText w:val="%8."/>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14:textOutline w14:w="0" w14:cap="rnd" w14:cmpd="sng" w14:algn="ctr">
          <w14:noFill/>
          <w14:prstDash w14:val="solid"/>
          <w14:bevel/>
        </w14:textOutline>
      </w:rPr>
    </w:lvl>
    <w:lvl w:ilvl="8">
      <w:start w:val="1"/>
      <w:numFmt w:val="decimal"/>
      <w:lvlText w:val="%9."/>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14:textOutline w14:w="0" w14:cap="rnd" w14:cmpd="sng" w14:algn="ctr">
          <w14:noFill/>
          <w14:prstDash w14:val="solid"/>
          <w14:bevel/>
        </w14:textOutline>
      </w:rPr>
    </w:lvl>
  </w:abstractNum>
  <w:abstractNum w:abstractNumId="22">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3">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57063EDE"/>
    <w:multiLevelType w:val="multilevel"/>
    <w:tmpl w:val="7452E1FC"/>
    <w:lvl w:ilvl="0">
      <w:start w:val="1"/>
      <w:numFmt w:val="upperLetter"/>
      <w:pStyle w:val="Heading9"/>
      <w:suff w:val="space"/>
      <w:lvlText w:val="Appendix %1."/>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851" w:hanging="851"/>
      </w:pPr>
      <w:rPr>
        <w:rFonts w:hint="default"/>
      </w:rPr>
    </w:lvl>
    <w:lvl w:ilvl="2">
      <w:start w:val="1"/>
      <w:numFmt w:val="decimal"/>
      <w:pStyle w:val="Headingappendix3"/>
      <w:suff w:val="space"/>
      <w:lvlText w:val="%1.%2.%3."/>
      <w:lvlJc w:val="left"/>
      <w:pPr>
        <w:ind w:left="851" w:hanging="851"/>
      </w:pPr>
      <w:rPr>
        <w:rFonts w:hint="default"/>
      </w:rPr>
    </w:lvl>
    <w:lvl w:ilvl="3">
      <w:start w:val="1"/>
      <w:numFmt w:val="decimal"/>
      <w:pStyle w:val="Headingappendix4"/>
      <w:suff w:val="space"/>
      <w:lvlText w:val="%1.%2.%3.%4."/>
      <w:lvlJc w:val="left"/>
      <w:pPr>
        <w:ind w:left="851" w:hanging="851"/>
      </w:pPr>
      <w:rPr>
        <w:rFonts w:hint="default"/>
      </w:rPr>
    </w:lvl>
    <w:lvl w:ilvl="4">
      <w:start w:val="1"/>
      <w:numFmt w:val="decimal"/>
      <w:pStyle w:val="Headingappendix5"/>
      <w:suff w:val="space"/>
      <w:lvlText w:val="%1.%2.%3.%4.%5."/>
      <w:lvlJc w:val="left"/>
      <w:pPr>
        <w:ind w:left="851" w:hanging="851"/>
      </w:pPr>
      <w:rPr>
        <w:rFonts w:hint="default"/>
      </w:rPr>
    </w:lvl>
    <w:lvl w:ilvl="5">
      <w:start w:val="1"/>
      <w:numFmt w:val="decimal"/>
      <w:suff w:val="space"/>
      <w:lvlText w:val="%1.%2.%3.%4.%5.%6."/>
      <w:lvlJc w:val="left"/>
      <w:pPr>
        <w:ind w:left="851" w:hanging="851"/>
      </w:pPr>
      <w:rPr>
        <w:rFonts w:hint="default"/>
      </w:rPr>
    </w:lvl>
    <w:lvl w:ilvl="6">
      <w:start w:val="1"/>
      <w:numFmt w:val="decimal"/>
      <w:suff w:val="space"/>
      <w:lvlText w:val="%1.%2.%3.%4.%5.%6.%7."/>
      <w:lvlJc w:val="left"/>
      <w:pPr>
        <w:ind w:left="851" w:hanging="851"/>
      </w:pPr>
      <w:rPr>
        <w:rFonts w:hint="default"/>
      </w:rPr>
    </w:lvl>
    <w:lvl w:ilvl="7">
      <w:start w:val="1"/>
      <w:numFmt w:val="decimal"/>
      <w:suff w:val="space"/>
      <w:lvlText w:val="%1.%2.%3.%4.%5.%6.%7.%8."/>
      <w:lvlJc w:val="left"/>
      <w:pPr>
        <w:ind w:left="851" w:hanging="851"/>
      </w:pPr>
      <w:rPr>
        <w:rFonts w:hint="default"/>
      </w:rPr>
    </w:lvl>
    <w:lvl w:ilvl="8">
      <w:start w:val="1"/>
      <w:numFmt w:val="decimal"/>
      <w:suff w:val="space"/>
      <w:lvlText w:val="%1.%2.%3.%4.%5.%6.%7.%8.%9."/>
      <w:lvlJc w:val="left"/>
      <w:pPr>
        <w:ind w:left="851" w:hanging="851"/>
      </w:pPr>
      <w:rPr>
        <w:rFonts w:hint="default"/>
      </w:rPr>
    </w:lvl>
  </w:abstractNum>
  <w:num w:numId="1">
    <w:abstractNumId w:val="22"/>
  </w:num>
  <w:num w:numId="2">
    <w:abstractNumId w:val="16"/>
  </w:num>
  <w:num w:numId="3">
    <w:abstractNumId w:val="23"/>
  </w:num>
  <w:num w:numId="4">
    <w:abstractNumId w:val="12"/>
  </w:num>
  <w:num w:numId="5">
    <w:abstractNumId w:val="13"/>
  </w:num>
  <w:num w:numId="6">
    <w:abstractNumId w:val="19"/>
  </w:num>
  <w:num w:numId="7">
    <w:abstractNumId w:val="11"/>
  </w:num>
  <w:num w:numId="8">
    <w:abstractNumId w:val="17"/>
  </w:num>
  <w:num w:numId="9">
    <w:abstractNumId w:val="14"/>
  </w:num>
  <w:num w:numId="10">
    <w:abstractNumId w:val="18"/>
    <w:lvlOverride w:ilvl="0">
      <w:lvl w:ilvl="0">
        <w:start w:val="1"/>
        <w:numFmt w:val="decimal"/>
        <w:pStyle w:val="Heading1"/>
        <w:suff w:val="space"/>
        <w:lvlText w:val="%1."/>
        <w:lvlJc w:val="left"/>
        <w:pPr>
          <w:ind w:left="680" w:hanging="680"/>
        </w:pPr>
        <w:rPr>
          <w:rFonts w:hint="default"/>
        </w:rPr>
      </w:lvl>
    </w:lvlOverride>
    <w:lvlOverride w:ilvl="1">
      <w:lvl w:ilvl="1">
        <w:start w:val="1"/>
        <w:numFmt w:val="decimal"/>
        <w:pStyle w:val="Heading2"/>
        <w:suff w:val="space"/>
        <w:lvlText w:val="%1.%2."/>
        <w:lvlJc w:val="left"/>
        <w:pPr>
          <w:ind w:left="680" w:hanging="680"/>
        </w:pPr>
        <w:rPr>
          <w:rFonts w:hint="default"/>
        </w:rPr>
      </w:lvl>
    </w:lvlOverride>
    <w:lvlOverride w:ilvl="2">
      <w:lvl w:ilvl="2">
        <w:start w:val="1"/>
        <w:numFmt w:val="decimal"/>
        <w:pStyle w:val="Heading3"/>
        <w:suff w:val="space"/>
        <w:lvlText w:val="%1.%2.%3."/>
        <w:lvlJc w:val="left"/>
        <w:pPr>
          <w:ind w:left="680" w:hanging="680"/>
        </w:pPr>
        <w:rPr>
          <w:rFonts w:hint="default"/>
        </w:rPr>
      </w:lvl>
    </w:lvlOverride>
    <w:lvlOverride w:ilvl="3">
      <w:lvl w:ilvl="3">
        <w:start w:val="1"/>
        <w:numFmt w:val="decimal"/>
        <w:pStyle w:val="Heading4"/>
        <w:suff w:val="space"/>
        <w:lvlText w:val="%1.%2.%3.%4."/>
        <w:lvlJc w:val="left"/>
        <w:pPr>
          <w:ind w:left="680" w:hanging="680"/>
        </w:pPr>
        <w:rPr>
          <w:rFonts w:hint="default"/>
        </w:rPr>
      </w:lvl>
    </w:lvlOverride>
    <w:lvlOverride w:ilvl="4">
      <w:lvl w:ilvl="4">
        <w:start w:val="1"/>
        <w:numFmt w:val="decimal"/>
        <w:pStyle w:val="Heading5"/>
        <w:suff w:val="space"/>
        <w:lvlText w:val="%1.%2.%3.%4.%5."/>
        <w:lvlJc w:val="left"/>
        <w:pPr>
          <w:ind w:left="680" w:hanging="680"/>
        </w:pPr>
        <w:rPr>
          <w:rFonts w:hint="default"/>
        </w:rPr>
      </w:lvl>
    </w:lvlOverride>
    <w:lvlOverride w:ilvl="5">
      <w:lvl w:ilvl="5">
        <w:start w:val="1"/>
        <w:numFmt w:val="decimal"/>
        <w:pStyle w:val="Heading6"/>
        <w:suff w:val="space"/>
        <w:lvlText w:val="%1.%2.%3.%4.%5.%6."/>
        <w:lvlJc w:val="left"/>
        <w:pPr>
          <w:ind w:left="680" w:hanging="680"/>
        </w:pPr>
        <w:rPr>
          <w:rFonts w:hint="default"/>
        </w:rPr>
      </w:lvl>
    </w:lvlOverride>
    <w:lvlOverride w:ilvl="6">
      <w:lvl w:ilvl="6">
        <w:start w:val="1"/>
        <w:numFmt w:val="decimal"/>
        <w:pStyle w:val="Heading7"/>
        <w:suff w:val="space"/>
        <w:lvlText w:val="%1.%2.%3.%4.%5.%6.%7."/>
        <w:lvlJc w:val="left"/>
        <w:pPr>
          <w:ind w:left="680" w:hanging="680"/>
        </w:pPr>
        <w:rPr>
          <w:rFonts w:hint="default"/>
        </w:rPr>
      </w:lvl>
    </w:lvlOverride>
    <w:lvlOverride w:ilvl="7">
      <w:lvl w:ilvl="7">
        <w:start w:val="1"/>
        <w:numFmt w:val="decimal"/>
        <w:pStyle w:val="Heading8"/>
        <w:suff w:val="space"/>
        <w:lvlText w:val="%1.%2.%3.%4.%5.%6.%7.%8."/>
        <w:lvlJc w:val="left"/>
        <w:pPr>
          <w:ind w:left="680" w:hanging="680"/>
        </w:pPr>
        <w:rPr>
          <w:rFonts w:hint="default"/>
        </w:rPr>
      </w:lvl>
    </w:lvlOverride>
    <w:lvlOverride w:ilvl="8">
      <w:lvl w:ilvl="8">
        <w:start w:val="1"/>
        <w:numFmt w:val="decimal"/>
        <w:suff w:val="space"/>
        <w:lvlText w:val="%1.%2.%3.%4.%5.%6.%7.%8.%9."/>
        <w:lvlJc w:val="left"/>
        <w:pPr>
          <w:ind w:left="680" w:hanging="680"/>
        </w:pPr>
        <w:rPr>
          <w:rFonts w:hint="default"/>
        </w:rPr>
      </w:lvl>
    </w:lvlOverride>
  </w:num>
  <w:num w:numId="11">
    <w:abstractNumId w:val="24"/>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0"/>
  </w:num>
  <w:num w:numId="24">
    <w:abstractNumId w:val="15"/>
  </w:num>
  <w:num w:numId="25">
    <w:abstractNumId w:val="21"/>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embedSystemFonts/>
  <w:mirrorMargins/>
  <w:proofState w:spelling="clean" w:grammar="clean"/>
  <w:stylePaneFormatFilter w:val="5706" w:allStyles="0" w:customStyles="1"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63489"/>
  </w:hdrShapeDefaults>
  <w:footnotePr>
    <w:footnote w:id="-1"/>
    <w:footnote w:id="0"/>
  </w:footnotePr>
  <w:endnotePr>
    <w:endnote w:id="-1"/>
    <w:endnote w:id="0"/>
  </w:endnotePr>
  <w:compat>
    <w:suppressTopSpacing/>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A7F"/>
    <w:rsid w:val="0000139E"/>
    <w:rsid w:val="000065C4"/>
    <w:rsid w:val="00017FB4"/>
    <w:rsid w:val="00024F53"/>
    <w:rsid w:val="00025273"/>
    <w:rsid w:val="00031F5D"/>
    <w:rsid w:val="00032BC0"/>
    <w:rsid w:val="00036022"/>
    <w:rsid w:val="0003728F"/>
    <w:rsid w:val="0004154D"/>
    <w:rsid w:val="000467F3"/>
    <w:rsid w:val="0004694B"/>
    <w:rsid w:val="00055CA8"/>
    <w:rsid w:val="00056336"/>
    <w:rsid w:val="00056A83"/>
    <w:rsid w:val="00061E69"/>
    <w:rsid w:val="00064B35"/>
    <w:rsid w:val="00065A46"/>
    <w:rsid w:val="00070295"/>
    <w:rsid w:val="000733E9"/>
    <w:rsid w:val="0008638C"/>
    <w:rsid w:val="000916BA"/>
    <w:rsid w:val="00092833"/>
    <w:rsid w:val="00094076"/>
    <w:rsid w:val="000956A2"/>
    <w:rsid w:val="000B006F"/>
    <w:rsid w:val="000B1669"/>
    <w:rsid w:val="000B1D96"/>
    <w:rsid w:val="000B257C"/>
    <w:rsid w:val="000B419F"/>
    <w:rsid w:val="000B626C"/>
    <w:rsid w:val="000C7648"/>
    <w:rsid w:val="000D0ECD"/>
    <w:rsid w:val="000D3BBA"/>
    <w:rsid w:val="000E0646"/>
    <w:rsid w:val="000E2860"/>
    <w:rsid w:val="000E70CF"/>
    <w:rsid w:val="000F68D0"/>
    <w:rsid w:val="00100153"/>
    <w:rsid w:val="001003DC"/>
    <w:rsid w:val="00103188"/>
    <w:rsid w:val="00105CA2"/>
    <w:rsid w:val="001070CF"/>
    <w:rsid w:val="001139D1"/>
    <w:rsid w:val="0011545F"/>
    <w:rsid w:val="00115BBA"/>
    <w:rsid w:val="00120843"/>
    <w:rsid w:val="00130009"/>
    <w:rsid w:val="001312FF"/>
    <w:rsid w:val="00131A4D"/>
    <w:rsid w:val="00135632"/>
    <w:rsid w:val="00140E1D"/>
    <w:rsid w:val="001439D6"/>
    <w:rsid w:val="0014638A"/>
    <w:rsid w:val="00150271"/>
    <w:rsid w:val="00160E7F"/>
    <w:rsid w:val="001617F2"/>
    <w:rsid w:val="00163DBF"/>
    <w:rsid w:val="001730F4"/>
    <w:rsid w:val="00173730"/>
    <w:rsid w:val="001779A9"/>
    <w:rsid w:val="00182949"/>
    <w:rsid w:val="00186689"/>
    <w:rsid w:val="001869CD"/>
    <w:rsid w:val="00190B77"/>
    <w:rsid w:val="00191C8A"/>
    <w:rsid w:val="0019311E"/>
    <w:rsid w:val="001945B4"/>
    <w:rsid w:val="00195F5B"/>
    <w:rsid w:val="001A0069"/>
    <w:rsid w:val="001B0696"/>
    <w:rsid w:val="001B2435"/>
    <w:rsid w:val="001B4D1D"/>
    <w:rsid w:val="001C1AE7"/>
    <w:rsid w:val="001C5B69"/>
    <w:rsid w:val="001C619B"/>
    <w:rsid w:val="001C6ED5"/>
    <w:rsid w:val="001D1286"/>
    <w:rsid w:val="001D249A"/>
    <w:rsid w:val="001D3EFC"/>
    <w:rsid w:val="001E0BEB"/>
    <w:rsid w:val="001F0804"/>
    <w:rsid w:val="001F1EFD"/>
    <w:rsid w:val="001F32A3"/>
    <w:rsid w:val="001F5A54"/>
    <w:rsid w:val="001F763D"/>
    <w:rsid w:val="00202A2E"/>
    <w:rsid w:val="00212255"/>
    <w:rsid w:val="002160FD"/>
    <w:rsid w:val="00220E4F"/>
    <w:rsid w:val="0022154A"/>
    <w:rsid w:val="002250C3"/>
    <w:rsid w:val="00225397"/>
    <w:rsid w:val="002302CD"/>
    <w:rsid w:val="00230718"/>
    <w:rsid w:val="00246BA9"/>
    <w:rsid w:val="002504D9"/>
    <w:rsid w:val="002520FF"/>
    <w:rsid w:val="00252F33"/>
    <w:rsid w:val="0025475F"/>
    <w:rsid w:val="00255300"/>
    <w:rsid w:val="00256420"/>
    <w:rsid w:val="00261317"/>
    <w:rsid w:val="00267BE3"/>
    <w:rsid w:val="002712FC"/>
    <w:rsid w:val="00273536"/>
    <w:rsid w:val="00275347"/>
    <w:rsid w:val="00277007"/>
    <w:rsid w:val="0028393E"/>
    <w:rsid w:val="00293686"/>
    <w:rsid w:val="00294220"/>
    <w:rsid w:val="00295CB9"/>
    <w:rsid w:val="00296DBF"/>
    <w:rsid w:val="002A64C3"/>
    <w:rsid w:val="002B1F80"/>
    <w:rsid w:val="002B3E41"/>
    <w:rsid w:val="002B4B70"/>
    <w:rsid w:val="002B5957"/>
    <w:rsid w:val="002B5FB8"/>
    <w:rsid w:val="002C24AE"/>
    <w:rsid w:val="002C2ECE"/>
    <w:rsid w:val="002E0C35"/>
    <w:rsid w:val="002E5354"/>
    <w:rsid w:val="002F1F32"/>
    <w:rsid w:val="002F5C0B"/>
    <w:rsid w:val="002F79D6"/>
    <w:rsid w:val="003022AD"/>
    <w:rsid w:val="00305413"/>
    <w:rsid w:val="003056BE"/>
    <w:rsid w:val="00310E9D"/>
    <w:rsid w:val="003113AA"/>
    <w:rsid w:val="00314463"/>
    <w:rsid w:val="003164FF"/>
    <w:rsid w:val="00317526"/>
    <w:rsid w:val="00323913"/>
    <w:rsid w:val="003268E4"/>
    <w:rsid w:val="0033294A"/>
    <w:rsid w:val="00332996"/>
    <w:rsid w:val="003375DF"/>
    <w:rsid w:val="00341462"/>
    <w:rsid w:val="00343CCE"/>
    <w:rsid w:val="00344EA3"/>
    <w:rsid w:val="00345A80"/>
    <w:rsid w:val="00347C4D"/>
    <w:rsid w:val="00350C1E"/>
    <w:rsid w:val="00353C64"/>
    <w:rsid w:val="003579CB"/>
    <w:rsid w:val="00361CF5"/>
    <w:rsid w:val="00370884"/>
    <w:rsid w:val="00370E9B"/>
    <w:rsid w:val="003734B9"/>
    <w:rsid w:val="00375A79"/>
    <w:rsid w:val="00375CEA"/>
    <w:rsid w:val="00381B51"/>
    <w:rsid w:val="00381C2C"/>
    <w:rsid w:val="00382E17"/>
    <w:rsid w:val="00385719"/>
    <w:rsid w:val="003954B6"/>
    <w:rsid w:val="00395946"/>
    <w:rsid w:val="00396080"/>
    <w:rsid w:val="00396D65"/>
    <w:rsid w:val="003A1CA9"/>
    <w:rsid w:val="003A4105"/>
    <w:rsid w:val="003A66C2"/>
    <w:rsid w:val="003B4864"/>
    <w:rsid w:val="003C066E"/>
    <w:rsid w:val="003C43E0"/>
    <w:rsid w:val="003C7533"/>
    <w:rsid w:val="003D140A"/>
    <w:rsid w:val="003E2181"/>
    <w:rsid w:val="003E5D4D"/>
    <w:rsid w:val="003F2A52"/>
    <w:rsid w:val="003F3D3B"/>
    <w:rsid w:val="003F4841"/>
    <w:rsid w:val="003F654A"/>
    <w:rsid w:val="0040043B"/>
    <w:rsid w:val="0040094A"/>
    <w:rsid w:val="0040750B"/>
    <w:rsid w:val="004144F6"/>
    <w:rsid w:val="00415F29"/>
    <w:rsid w:val="00417522"/>
    <w:rsid w:val="004205B2"/>
    <w:rsid w:val="00425713"/>
    <w:rsid w:val="0043126D"/>
    <w:rsid w:val="0043322D"/>
    <w:rsid w:val="0044467F"/>
    <w:rsid w:val="004475C8"/>
    <w:rsid w:val="00451072"/>
    <w:rsid w:val="004573FC"/>
    <w:rsid w:val="00457E1C"/>
    <w:rsid w:val="0046023A"/>
    <w:rsid w:val="0046348E"/>
    <w:rsid w:val="0046448F"/>
    <w:rsid w:val="004648E4"/>
    <w:rsid w:val="00475B1F"/>
    <w:rsid w:val="00480723"/>
    <w:rsid w:val="00481A41"/>
    <w:rsid w:val="004831E5"/>
    <w:rsid w:val="004832D8"/>
    <w:rsid w:val="00485148"/>
    <w:rsid w:val="004855D9"/>
    <w:rsid w:val="0048689A"/>
    <w:rsid w:val="00491481"/>
    <w:rsid w:val="004A1105"/>
    <w:rsid w:val="004B3FC6"/>
    <w:rsid w:val="004C03F3"/>
    <w:rsid w:val="004C2C63"/>
    <w:rsid w:val="004F0DF1"/>
    <w:rsid w:val="004F26E6"/>
    <w:rsid w:val="004F4E97"/>
    <w:rsid w:val="004F6C1F"/>
    <w:rsid w:val="00513E48"/>
    <w:rsid w:val="0052043D"/>
    <w:rsid w:val="00524A01"/>
    <w:rsid w:val="00530DFD"/>
    <w:rsid w:val="00537260"/>
    <w:rsid w:val="00537C23"/>
    <w:rsid w:val="00553B4F"/>
    <w:rsid w:val="00554755"/>
    <w:rsid w:val="00557D7D"/>
    <w:rsid w:val="005619C8"/>
    <w:rsid w:val="00572D5D"/>
    <w:rsid w:val="00574455"/>
    <w:rsid w:val="00577405"/>
    <w:rsid w:val="0058027F"/>
    <w:rsid w:val="0058784C"/>
    <w:rsid w:val="005917D3"/>
    <w:rsid w:val="0059275D"/>
    <w:rsid w:val="005971D9"/>
    <w:rsid w:val="005A0114"/>
    <w:rsid w:val="005A2422"/>
    <w:rsid w:val="005A41E2"/>
    <w:rsid w:val="005A577E"/>
    <w:rsid w:val="005A7843"/>
    <w:rsid w:val="005A78E8"/>
    <w:rsid w:val="005B1CC3"/>
    <w:rsid w:val="005B5107"/>
    <w:rsid w:val="005B572B"/>
    <w:rsid w:val="005C069C"/>
    <w:rsid w:val="005C3E58"/>
    <w:rsid w:val="005C7EAF"/>
    <w:rsid w:val="005D078C"/>
    <w:rsid w:val="005D34BC"/>
    <w:rsid w:val="005D7B1E"/>
    <w:rsid w:val="005E03B4"/>
    <w:rsid w:val="005E29BC"/>
    <w:rsid w:val="005E46B7"/>
    <w:rsid w:val="005F17C0"/>
    <w:rsid w:val="005F3CC4"/>
    <w:rsid w:val="005F3F0F"/>
    <w:rsid w:val="00606F01"/>
    <w:rsid w:val="00607314"/>
    <w:rsid w:val="006127D9"/>
    <w:rsid w:val="00615B77"/>
    <w:rsid w:val="00623E3E"/>
    <w:rsid w:val="006318AA"/>
    <w:rsid w:val="006420DD"/>
    <w:rsid w:val="00643E88"/>
    <w:rsid w:val="006464F6"/>
    <w:rsid w:val="00650639"/>
    <w:rsid w:val="00653FD5"/>
    <w:rsid w:val="00661A73"/>
    <w:rsid w:val="00663CFD"/>
    <w:rsid w:val="00667848"/>
    <w:rsid w:val="006771CA"/>
    <w:rsid w:val="006773AC"/>
    <w:rsid w:val="00681DCA"/>
    <w:rsid w:val="0068464F"/>
    <w:rsid w:val="00691AF9"/>
    <w:rsid w:val="00692160"/>
    <w:rsid w:val="0069250C"/>
    <w:rsid w:val="006926D3"/>
    <w:rsid w:val="006A2664"/>
    <w:rsid w:val="006A2893"/>
    <w:rsid w:val="006A4465"/>
    <w:rsid w:val="006A5281"/>
    <w:rsid w:val="006A5A7F"/>
    <w:rsid w:val="006B2BBF"/>
    <w:rsid w:val="006B35F2"/>
    <w:rsid w:val="006B5FA0"/>
    <w:rsid w:val="006C2849"/>
    <w:rsid w:val="006C5639"/>
    <w:rsid w:val="006D1D66"/>
    <w:rsid w:val="006D5616"/>
    <w:rsid w:val="006D5639"/>
    <w:rsid w:val="006D65DD"/>
    <w:rsid w:val="006E5225"/>
    <w:rsid w:val="006F3804"/>
    <w:rsid w:val="006F6274"/>
    <w:rsid w:val="00700AB5"/>
    <w:rsid w:val="00701F23"/>
    <w:rsid w:val="00703302"/>
    <w:rsid w:val="007057D4"/>
    <w:rsid w:val="00707F1B"/>
    <w:rsid w:val="00710117"/>
    <w:rsid w:val="0071091F"/>
    <w:rsid w:val="00714D0A"/>
    <w:rsid w:val="00717265"/>
    <w:rsid w:val="00727D15"/>
    <w:rsid w:val="0073058F"/>
    <w:rsid w:val="007315BB"/>
    <w:rsid w:val="00733F22"/>
    <w:rsid w:val="007349C8"/>
    <w:rsid w:val="00740391"/>
    <w:rsid w:val="00745104"/>
    <w:rsid w:val="007601B5"/>
    <w:rsid w:val="007609A5"/>
    <w:rsid w:val="00762332"/>
    <w:rsid w:val="007635BF"/>
    <w:rsid w:val="00771FE4"/>
    <w:rsid w:val="00773C9E"/>
    <w:rsid w:val="0078034C"/>
    <w:rsid w:val="0078157E"/>
    <w:rsid w:val="00785A2C"/>
    <w:rsid w:val="0078614C"/>
    <w:rsid w:val="0078624C"/>
    <w:rsid w:val="007879AF"/>
    <w:rsid w:val="00787C33"/>
    <w:rsid w:val="00792071"/>
    <w:rsid w:val="00796394"/>
    <w:rsid w:val="00797053"/>
    <w:rsid w:val="007A0A7A"/>
    <w:rsid w:val="007A1DD9"/>
    <w:rsid w:val="007B0DC1"/>
    <w:rsid w:val="007B1EC2"/>
    <w:rsid w:val="007B5ADC"/>
    <w:rsid w:val="007B7D1A"/>
    <w:rsid w:val="007C25B4"/>
    <w:rsid w:val="007C466B"/>
    <w:rsid w:val="007C682E"/>
    <w:rsid w:val="007C6CB4"/>
    <w:rsid w:val="007E1905"/>
    <w:rsid w:val="007E1AC4"/>
    <w:rsid w:val="007F27B1"/>
    <w:rsid w:val="007F28E2"/>
    <w:rsid w:val="007F4AD9"/>
    <w:rsid w:val="007F4E1A"/>
    <w:rsid w:val="008044DE"/>
    <w:rsid w:val="00806F26"/>
    <w:rsid w:val="008168C0"/>
    <w:rsid w:val="00821E11"/>
    <w:rsid w:val="00826825"/>
    <w:rsid w:val="008305CD"/>
    <w:rsid w:val="008355B7"/>
    <w:rsid w:val="00837267"/>
    <w:rsid w:val="008414DC"/>
    <w:rsid w:val="00842638"/>
    <w:rsid w:val="0084375F"/>
    <w:rsid w:val="00843C8F"/>
    <w:rsid w:val="00845117"/>
    <w:rsid w:val="00861666"/>
    <w:rsid w:val="0086335B"/>
    <w:rsid w:val="0087306E"/>
    <w:rsid w:val="00874B48"/>
    <w:rsid w:val="00877F77"/>
    <w:rsid w:val="00883A0E"/>
    <w:rsid w:val="0088425D"/>
    <w:rsid w:val="008851C2"/>
    <w:rsid w:val="00887FDE"/>
    <w:rsid w:val="008903F2"/>
    <w:rsid w:val="00892C31"/>
    <w:rsid w:val="008930AC"/>
    <w:rsid w:val="00893172"/>
    <w:rsid w:val="00895823"/>
    <w:rsid w:val="008A26AE"/>
    <w:rsid w:val="008A732B"/>
    <w:rsid w:val="008B004C"/>
    <w:rsid w:val="008B17D1"/>
    <w:rsid w:val="008B1CAB"/>
    <w:rsid w:val="008B3B11"/>
    <w:rsid w:val="008C0FD3"/>
    <w:rsid w:val="008C6818"/>
    <w:rsid w:val="008C7FAB"/>
    <w:rsid w:val="008D2732"/>
    <w:rsid w:val="008E1773"/>
    <w:rsid w:val="008E4996"/>
    <w:rsid w:val="008E617E"/>
    <w:rsid w:val="008E6EEB"/>
    <w:rsid w:val="008E7CDC"/>
    <w:rsid w:val="008F074F"/>
    <w:rsid w:val="008F4C52"/>
    <w:rsid w:val="008F5D3F"/>
    <w:rsid w:val="009002B2"/>
    <w:rsid w:val="00904390"/>
    <w:rsid w:val="009104F7"/>
    <w:rsid w:val="00910FB5"/>
    <w:rsid w:val="009153F9"/>
    <w:rsid w:val="00916F82"/>
    <w:rsid w:val="00921D43"/>
    <w:rsid w:val="009250DE"/>
    <w:rsid w:val="00932561"/>
    <w:rsid w:val="0093491D"/>
    <w:rsid w:val="00935E59"/>
    <w:rsid w:val="00940E8D"/>
    <w:rsid w:val="009533A5"/>
    <w:rsid w:val="00954985"/>
    <w:rsid w:val="009574E6"/>
    <w:rsid w:val="00960903"/>
    <w:rsid w:val="00960C6E"/>
    <w:rsid w:val="00961C64"/>
    <w:rsid w:val="009628C8"/>
    <w:rsid w:val="00964078"/>
    <w:rsid w:val="00965F57"/>
    <w:rsid w:val="009675BB"/>
    <w:rsid w:val="009725D7"/>
    <w:rsid w:val="00977BB6"/>
    <w:rsid w:val="00981727"/>
    <w:rsid w:val="00983C60"/>
    <w:rsid w:val="00987348"/>
    <w:rsid w:val="00991097"/>
    <w:rsid w:val="009A1DCF"/>
    <w:rsid w:val="009A398A"/>
    <w:rsid w:val="009B5AF4"/>
    <w:rsid w:val="009C25B1"/>
    <w:rsid w:val="009C5865"/>
    <w:rsid w:val="009C76B7"/>
    <w:rsid w:val="009D0BC2"/>
    <w:rsid w:val="009D3604"/>
    <w:rsid w:val="009D3E58"/>
    <w:rsid w:val="009D717C"/>
    <w:rsid w:val="009E221E"/>
    <w:rsid w:val="009E2696"/>
    <w:rsid w:val="009F2B97"/>
    <w:rsid w:val="009F6E9C"/>
    <w:rsid w:val="00A01A35"/>
    <w:rsid w:val="00A0279A"/>
    <w:rsid w:val="00A03075"/>
    <w:rsid w:val="00A0508B"/>
    <w:rsid w:val="00A053BB"/>
    <w:rsid w:val="00A11902"/>
    <w:rsid w:val="00A11C89"/>
    <w:rsid w:val="00A131E6"/>
    <w:rsid w:val="00A13810"/>
    <w:rsid w:val="00A14ADE"/>
    <w:rsid w:val="00A22723"/>
    <w:rsid w:val="00A304D2"/>
    <w:rsid w:val="00A32A11"/>
    <w:rsid w:val="00A34D66"/>
    <w:rsid w:val="00A366A3"/>
    <w:rsid w:val="00A37939"/>
    <w:rsid w:val="00A45278"/>
    <w:rsid w:val="00A54C1B"/>
    <w:rsid w:val="00A579DA"/>
    <w:rsid w:val="00A57B3C"/>
    <w:rsid w:val="00A57F2F"/>
    <w:rsid w:val="00A63B0A"/>
    <w:rsid w:val="00A64014"/>
    <w:rsid w:val="00A65B3F"/>
    <w:rsid w:val="00A669F2"/>
    <w:rsid w:val="00A6767A"/>
    <w:rsid w:val="00A71EF1"/>
    <w:rsid w:val="00A75F8B"/>
    <w:rsid w:val="00A8172F"/>
    <w:rsid w:val="00A832AB"/>
    <w:rsid w:val="00A8508A"/>
    <w:rsid w:val="00A862BE"/>
    <w:rsid w:val="00A90974"/>
    <w:rsid w:val="00A91F04"/>
    <w:rsid w:val="00A91FF8"/>
    <w:rsid w:val="00A95B42"/>
    <w:rsid w:val="00AA0039"/>
    <w:rsid w:val="00AA1D64"/>
    <w:rsid w:val="00AB4EBB"/>
    <w:rsid w:val="00AD2347"/>
    <w:rsid w:val="00AD37F4"/>
    <w:rsid w:val="00AE01F1"/>
    <w:rsid w:val="00AE4A6A"/>
    <w:rsid w:val="00AF3213"/>
    <w:rsid w:val="00AF4991"/>
    <w:rsid w:val="00B039AC"/>
    <w:rsid w:val="00B05C3D"/>
    <w:rsid w:val="00B07F3D"/>
    <w:rsid w:val="00B15620"/>
    <w:rsid w:val="00B220F6"/>
    <w:rsid w:val="00B233AA"/>
    <w:rsid w:val="00B35B3A"/>
    <w:rsid w:val="00B364B0"/>
    <w:rsid w:val="00B41676"/>
    <w:rsid w:val="00B56A46"/>
    <w:rsid w:val="00B636E4"/>
    <w:rsid w:val="00B656B4"/>
    <w:rsid w:val="00B6601C"/>
    <w:rsid w:val="00B7409B"/>
    <w:rsid w:val="00B80664"/>
    <w:rsid w:val="00B81C8A"/>
    <w:rsid w:val="00B83539"/>
    <w:rsid w:val="00B9058B"/>
    <w:rsid w:val="00B93BAC"/>
    <w:rsid w:val="00B97AC9"/>
    <w:rsid w:val="00BC127B"/>
    <w:rsid w:val="00BE3BB7"/>
    <w:rsid w:val="00BE4857"/>
    <w:rsid w:val="00BF33B3"/>
    <w:rsid w:val="00BF4095"/>
    <w:rsid w:val="00BF6275"/>
    <w:rsid w:val="00C04102"/>
    <w:rsid w:val="00C072F9"/>
    <w:rsid w:val="00C07E32"/>
    <w:rsid w:val="00C10900"/>
    <w:rsid w:val="00C1106C"/>
    <w:rsid w:val="00C13020"/>
    <w:rsid w:val="00C153F9"/>
    <w:rsid w:val="00C21490"/>
    <w:rsid w:val="00C23BAA"/>
    <w:rsid w:val="00C42336"/>
    <w:rsid w:val="00C4340B"/>
    <w:rsid w:val="00C51536"/>
    <w:rsid w:val="00C546B2"/>
    <w:rsid w:val="00C62CC8"/>
    <w:rsid w:val="00C64702"/>
    <w:rsid w:val="00C67B2A"/>
    <w:rsid w:val="00C74A21"/>
    <w:rsid w:val="00C76952"/>
    <w:rsid w:val="00C801C8"/>
    <w:rsid w:val="00C82D23"/>
    <w:rsid w:val="00C873B0"/>
    <w:rsid w:val="00C925B9"/>
    <w:rsid w:val="00C9465D"/>
    <w:rsid w:val="00C95A1D"/>
    <w:rsid w:val="00CA0454"/>
    <w:rsid w:val="00CA1983"/>
    <w:rsid w:val="00CA6FF6"/>
    <w:rsid w:val="00CB15F0"/>
    <w:rsid w:val="00CB20A6"/>
    <w:rsid w:val="00CB230E"/>
    <w:rsid w:val="00CB3D23"/>
    <w:rsid w:val="00CB74DF"/>
    <w:rsid w:val="00CD2239"/>
    <w:rsid w:val="00CD34F6"/>
    <w:rsid w:val="00CD4095"/>
    <w:rsid w:val="00CD5000"/>
    <w:rsid w:val="00D036AC"/>
    <w:rsid w:val="00D132B0"/>
    <w:rsid w:val="00D147C2"/>
    <w:rsid w:val="00D14BEE"/>
    <w:rsid w:val="00D1646B"/>
    <w:rsid w:val="00D16753"/>
    <w:rsid w:val="00D1739C"/>
    <w:rsid w:val="00D200CA"/>
    <w:rsid w:val="00D22C29"/>
    <w:rsid w:val="00D26085"/>
    <w:rsid w:val="00D3395E"/>
    <w:rsid w:val="00D44EEB"/>
    <w:rsid w:val="00D56C90"/>
    <w:rsid w:val="00D56D54"/>
    <w:rsid w:val="00D717F5"/>
    <w:rsid w:val="00D724A8"/>
    <w:rsid w:val="00D74C7D"/>
    <w:rsid w:val="00D809E4"/>
    <w:rsid w:val="00D80E80"/>
    <w:rsid w:val="00D80E9D"/>
    <w:rsid w:val="00D8188D"/>
    <w:rsid w:val="00D8201B"/>
    <w:rsid w:val="00D8240D"/>
    <w:rsid w:val="00D84E12"/>
    <w:rsid w:val="00D8647C"/>
    <w:rsid w:val="00D879F4"/>
    <w:rsid w:val="00DA0D07"/>
    <w:rsid w:val="00DA0FBF"/>
    <w:rsid w:val="00DA14EF"/>
    <w:rsid w:val="00DA38AD"/>
    <w:rsid w:val="00DA4843"/>
    <w:rsid w:val="00DA7CEC"/>
    <w:rsid w:val="00DB11D7"/>
    <w:rsid w:val="00DB59B3"/>
    <w:rsid w:val="00DC0DD7"/>
    <w:rsid w:val="00DC26B1"/>
    <w:rsid w:val="00DC282B"/>
    <w:rsid w:val="00DC571D"/>
    <w:rsid w:val="00DC58B1"/>
    <w:rsid w:val="00DD2B6F"/>
    <w:rsid w:val="00DD70AF"/>
    <w:rsid w:val="00DD77E1"/>
    <w:rsid w:val="00DD7D9E"/>
    <w:rsid w:val="00DE0A84"/>
    <w:rsid w:val="00DE191C"/>
    <w:rsid w:val="00DE2D3F"/>
    <w:rsid w:val="00DE3399"/>
    <w:rsid w:val="00DE3FFD"/>
    <w:rsid w:val="00DF0397"/>
    <w:rsid w:val="00DF0F0C"/>
    <w:rsid w:val="00DF130B"/>
    <w:rsid w:val="00DF2324"/>
    <w:rsid w:val="00DF688C"/>
    <w:rsid w:val="00E1079C"/>
    <w:rsid w:val="00E1575C"/>
    <w:rsid w:val="00E176A9"/>
    <w:rsid w:val="00E17B53"/>
    <w:rsid w:val="00E30618"/>
    <w:rsid w:val="00E31459"/>
    <w:rsid w:val="00E3490A"/>
    <w:rsid w:val="00E36509"/>
    <w:rsid w:val="00E3780C"/>
    <w:rsid w:val="00E40DF9"/>
    <w:rsid w:val="00E427F7"/>
    <w:rsid w:val="00E42D9B"/>
    <w:rsid w:val="00E50B39"/>
    <w:rsid w:val="00E52B45"/>
    <w:rsid w:val="00E53EAE"/>
    <w:rsid w:val="00E57C2A"/>
    <w:rsid w:val="00E62E12"/>
    <w:rsid w:val="00E776EB"/>
    <w:rsid w:val="00E77BC4"/>
    <w:rsid w:val="00E8411E"/>
    <w:rsid w:val="00E8434A"/>
    <w:rsid w:val="00E949CC"/>
    <w:rsid w:val="00E95149"/>
    <w:rsid w:val="00E972B4"/>
    <w:rsid w:val="00EA5AEF"/>
    <w:rsid w:val="00EB1965"/>
    <w:rsid w:val="00EC0E97"/>
    <w:rsid w:val="00EC2CB0"/>
    <w:rsid w:val="00ED1590"/>
    <w:rsid w:val="00ED34BD"/>
    <w:rsid w:val="00ED531A"/>
    <w:rsid w:val="00ED7808"/>
    <w:rsid w:val="00EE2974"/>
    <w:rsid w:val="00EE3F02"/>
    <w:rsid w:val="00EE4A9C"/>
    <w:rsid w:val="00EE790C"/>
    <w:rsid w:val="00EF2987"/>
    <w:rsid w:val="00EF41F0"/>
    <w:rsid w:val="00EF459D"/>
    <w:rsid w:val="00F012C2"/>
    <w:rsid w:val="00F15176"/>
    <w:rsid w:val="00F26284"/>
    <w:rsid w:val="00F30274"/>
    <w:rsid w:val="00F31412"/>
    <w:rsid w:val="00F321FA"/>
    <w:rsid w:val="00F33F8B"/>
    <w:rsid w:val="00F43CEA"/>
    <w:rsid w:val="00F476CA"/>
    <w:rsid w:val="00F51477"/>
    <w:rsid w:val="00F514FD"/>
    <w:rsid w:val="00F5164C"/>
    <w:rsid w:val="00F54EE6"/>
    <w:rsid w:val="00F555D8"/>
    <w:rsid w:val="00F5577A"/>
    <w:rsid w:val="00F56949"/>
    <w:rsid w:val="00F56952"/>
    <w:rsid w:val="00F6638A"/>
    <w:rsid w:val="00F72E6B"/>
    <w:rsid w:val="00F76E61"/>
    <w:rsid w:val="00F77E2B"/>
    <w:rsid w:val="00F82AE9"/>
    <w:rsid w:val="00F937F4"/>
    <w:rsid w:val="00FA5EC5"/>
    <w:rsid w:val="00FB19C3"/>
    <w:rsid w:val="00FB2291"/>
    <w:rsid w:val="00FC1251"/>
    <w:rsid w:val="00FC5193"/>
    <w:rsid w:val="00FC5FAE"/>
    <w:rsid w:val="00FC6276"/>
    <w:rsid w:val="00FD4C7A"/>
    <w:rsid w:val="00FE7FE0"/>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qFormat="1"/>
    <w:lsdException w:name="toc 5" w:locked="0"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25475F"/>
    <w:rPr>
      <w:rFonts w:cs="Arial"/>
    </w:rPr>
  </w:style>
  <w:style w:type="paragraph" w:styleId="Heading1">
    <w:name w:val="heading 1"/>
    <w:next w:val="BodyText"/>
    <w:link w:val="Heading1Char"/>
    <w:qFormat/>
    <w:rsid w:val="00574455"/>
    <w:pPr>
      <w:keepNext/>
      <w:keepLines/>
      <w:pageBreakBefore/>
      <w:numPr>
        <w:numId w:val="10"/>
      </w:numPr>
      <w:spacing w:after="1080" w:line="240" w:lineRule="auto"/>
      <w:outlineLvl w:val="0"/>
    </w:pPr>
    <w:rPr>
      <w:rFonts w:cs="Arial"/>
      <w:kern w:val="28"/>
      <w:sz w:val="40"/>
    </w:rPr>
  </w:style>
  <w:style w:type="paragraph" w:styleId="Heading2">
    <w:name w:val="heading 2"/>
    <w:basedOn w:val="Heading1"/>
    <w:next w:val="BodyText"/>
    <w:link w:val="Heading2Char"/>
    <w:qFormat/>
    <w:rsid w:val="00574455"/>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574455"/>
    <w:pPr>
      <w:numPr>
        <w:ilvl w:val="2"/>
      </w:numPr>
      <w:outlineLvl w:val="2"/>
    </w:pPr>
    <w:rPr>
      <w:b/>
      <w:sz w:val="24"/>
    </w:rPr>
  </w:style>
  <w:style w:type="paragraph" w:styleId="Heading4">
    <w:name w:val="heading 4"/>
    <w:basedOn w:val="Heading3"/>
    <w:next w:val="BodyText"/>
    <w:link w:val="Heading4Char"/>
    <w:qFormat/>
    <w:rsid w:val="00574455"/>
    <w:pPr>
      <w:numPr>
        <w:ilvl w:val="3"/>
      </w:numPr>
      <w:spacing w:before="180"/>
      <w:outlineLvl w:val="3"/>
    </w:pPr>
    <w:rPr>
      <w:i/>
      <w:sz w:val="22"/>
    </w:rPr>
  </w:style>
  <w:style w:type="paragraph" w:styleId="Heading5">
    <w:name w:val="heading 5"/>
    <w:basedOn w:val="Heading4"/>
    <w:next w:val="BodyText"/>
    <w:qFormat/>
    <w:rsid w:val="00574455"/>
    <w:pPr>
      <w:numPr>
        <w:ilvl w:val="4"/>
      </w:numPr>
      <w:outlineLvl w:val="4"/>
    </w:pPr>
    <w:rPr>
      <w:b w:val="0"/>
    </w:rPr>
  </w:style>
  <w:style w:type="paragraph" w:styleId="Heading6">
    <w:name w:val="heading 6"/>
    <w:basedOn w:val="Heading5"/>
    <w:next w:val="BodyText"/>
    <w:link w:val="Heading6Char"/>
    <w:qFormat/>
    <w:locked/>
    <w:rsid w:val="00574455"/>
    <w:pPr>
      <w:numPr>
        <w:ilvl w:val="5"/>
      </w:numPr>
      <w:spacing w:before="240"/>
      <w:outlineLvl w:val="5"/>
    </w:pPr>
    <w:rPr>
      <w:b/>
      <w:i w:val="0"/>
      <w:sz w:val="20"/>
    </w:rPr>
  </w:style>
  <w:style w:type="paragraph" w:styleId="Heading7">
    <w:name w:val="heading 7"/>
    <w:basedOn w:val="Heading6"/>
    <w:next w:val="BodyText"/>
    <w:qFormat/>
    <w:locked/>
    <w:rsid w:val="00574455"/>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locked/>
    <w:rsid w:val="00574455"/>
    <w:pPr>
      <w:numPr>
        <w:ilvl w:val="7"/>
      </w:numPr>
      <w:outlineLvl w:val="7"/>
    </w:pPr>
    <w:rPr>
      <w:i w:val="0"/>
    </w:rPr>
  </w:style>
  <w:style w:type="paragraph" w:styleId="Heading9">
    <w:name w:val="heading 9"/>
    <w:aliases w:val="Heading appendix 1"/>
    <w:basedOn w:val="Headingappendix1base"/>
    <w:next w:val="BodyText"/>
    <w:qFormat/>
    <w:rsid w:val="00574455"/>
    <w:pPr>
      <w:numPr>
        <w:numId w:val="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74455"/>
    <w:rPr>
      <w:rFonts w:cs="Arial"/>
    </w:rPr>
  </w:style>
  <w:style w:type="paragraph" w:styleId="Footer">
    <w:name w:val="footer"/>
    <w:next w:val="BodyText"/>
    <w:link w:val="FooterChar"/>
    <w:qFormat/>
    <w:rsid w:val="00574455"/>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25475F"/>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574455"/>
    <w:pPr>
      <w:keepNext/>
      <w:spacing w:after="1440"/>
    </w:pPr>
    <w:rPr>
      <w:rFonts w:eastAsia="Times New Roman"/>
      <w:caps/>
      <w:spacing w:val="10"/>
      <w:sz w:val="19"/>
    </w:rPr>
  </w:style>
  <w:style w:type="paragraph" w:styleId="BlockText">
    <w:name w:val="Block Text"/>
    <w:aliases w:val="BdT-DO NOT USE"/>
    <w:next w:val="BodyText"/>
    <w:semiHidden/>
    <w:locked/>
    <w:rsid w:val="00574455"/>
    <w:rPr>
      <w:rFonts w:cs="Arial"/>
    </w:rPr>
  </w:style>
  <w:style w:type="character" w:customStyle="1" w:styleId="Captionbold">
    <w:name w:val="Caption bold"/>
    <w:qFormat/>
    <w:rsid w:val="00574455"/>
    <w:rPr>
      <w:b/>
    </w:rPr>
  </w:style>
  <w:style w:type="paragraph" w:customStyle="1" w:styleId="Contentsheading">
    <w:name w:val="Contents heading"/>
    <w:next w:val="BodyText"/>
    <w:semiHidden/>
    <w:locked/>
    <w:rsid w:val="00574455"/>
    <w:pPr>
      <w:spacing w:after="960" w:line="240" w:lineRule="auto"/>
      <w:outlineLvl w:val="0"/>
    </w:pPr>
    <w:rPr>
      <w:rFonts w:eastAsia="Times New Roman"/>
      <w:sz w:val="40"/>
    </w:rPr>
  </w:style>
  <w:style w:type="paragraph" w:customStyle="1" w:styleId="Documenttitle">
    <w:name w:val="Document title"/>
    <w:next w:val="BodyText"/>
    <w:qFormat/>
    <w:rsid w:val="00574455"/>
    <w:pPr>
      <w:keepNext/>
      <w:spacing w:before="1680" w:after="360" w:line="240" w:lineRule="auto"/>
      <w:outlineLvl w:val="0"/>
    </w:pPr>
    <w:rPr>
      <w:rFonts w:eastAsia="Times New Roman"/>
      <w:sz w:val="48"/>
    </w:rPr>
  </w:style>
  <w:style w:type="paragraph" w:customStyle="1" w:styleId="Notes">
    <w:name w:val="Notes"/>
    <w:basedOn w:val="BodyText"/>
    <w:link w:val="NotesChar"/>
    <w:qFormat/>
    <w:rsid w:val="009002B2"/>
    <w:p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qFormat/>
    <w:rsid w:val="00574455"/>
    <w:pPr>
      <w:numPr>
        <w:numId w:val="4"/>
      </w:numPr>
      <w:spacing w:before="60" w:after="60"/>
    </w:pPr>
    <w:rPr>
      <w:rFonts w:eastAsia="Times New Roman"/>
    </w:r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Bulletlevel2">
    <w:name w:val="Bullet level 2"/>
    <w:basedOn w:val="Bulletlevel1"/>
    <w:qFormat/>
    <w:rsid w:val="00574455"/>
    <w:pPr>
      <w:numPr>
        <w:ilvl w:val="1"/>
      </w:numPr>
    </w:pPr>
  </w:style>
  <w:style w:type="paragraph" w:customStyle="1" w:styleId="Tabletitle">
    <w:name w:val="Table title"/>
    <w:basedOn w:val="BodyText"/>
    <w:next w:val="BodyText"/>
    <w:qFormat/>
    <w:rsid w:val="00574455"/>
    <w:pPr>
      <w:keepNext/>
      <w:spacing w:before="480" w:after="120" w:line="240" w:lineRule="atLeast"/>
    </w:pPr>
    <w:rPr>
      <w:rFonts w:eastAsia="Times New Roman"/>
      <w:i/>
      <w:sz w:val="18"/>
      <w:szCs w:val="18"/>
    </w:rPr>
  </w:style>
  <w:style w:type="character" w:customStyle="1" w:styleId="Tabletitlebold">
    <w:name w:val="Table title bold"/>
    <w:qFormat/>
    <w:rsid w:val="00574455"/>
    <w:rPr>
      <w:b/>
    </w:rPr>
  </w:style>
  <w:style w:type="paragraph" w:customStyle="1" w:styleId="Tabletextleft">
    <w:name w:val="Table text left"/>
    <w:link w:val="TabletextleftChar"/>
    <w:qFormat/>
    <w:rsid w:val="00574455"/>
    <w:pPr>
      <w:spacing w:before="20" w:after="20" w:line="200" w:lineRule="atLeast"/>
    </w:pPr>
    <w:rPr>
      <w:rFonts w:eastAsia="Times New Roman" w:cs="Arial"/>
      <w:sz w:val="18"/>
    </w:rPr>
  </w:style>
  <w:style w:type="paragraph" w:customStyle="1" w:styleId="Tableheadingleft">
    <w:name w:val="Table heading left"/>
    <w:rsid w:val="00574455"/>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qFormat/>
    <w:rsid w:val="00574455"/>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574455"/>
    <w:rPr>
      <w:rFonts w:cs="Arial"/>
    </w:rPr>
  </w:style>
  <w:style w:type="paragraph" w:styleId="EndnoteText">
    <w:name w:val="endnote text"/>
    <w:aliases w:val="ET-DO NOT USE"/>
    <w:semiHidden/>
    <w:locked/>
    <w:rsid w:val="00574455"/>
    <w:rPr>
      <w:rFonts w:cs="Arial"/>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574455"/>
    <w:rPr>
      <w:rFonts w:cs="Arial"/>
    </w:rPr>
  </w:style>
  <w:style w:type="character" w:customStyle="1" w:styleId="CommentTextChar">
    <w:name w:val="Comment Text Char"/>
    <w:aliases w:val="CT-DO NOT USE Char"/>
    <w:basedOn w:val="DefaultParagraphFont"/>
    <w:link w:val="CommentText"/>
    <w:semiHidden/>
    <w:rsid w:val="00574455"/>
    <w:rPr>
      <w:rFonts w:cs="Arial"/>
    </w:rPr>
  </w:style>
  <w:style w:type="character" w:styleId="Strong">
    <w:name w:val="Strong"/>
    <w:aliases w:val="St-DO NOT USE"/>
    <w:qFormat/>
    <w:locked/>
    <w:rsid w:val="00574455"/>
  </w:style>
  <w:style w:type="paragraph" w:styleId="TOC1">
    <w:name w:val="toc 1"/>
    <w:basedOn w:val="BodyText"/>
    <w:next w:val="BodyText"/>
    <w:autoRedefine/>
    <w:uiPriority w:val="39"/>
    <w:qFormat/>
    <w:rsid w:val="00574455"/>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574455"/>
    <w:pPr>
      <w:spacing w:before="60"/>
      <w:ind w:left="142"/>
    </w:pPr>
  </w:style>
  <w:style w:type="paragraph" w:styleId="TOC3">
    <w:name w:val="toc 3"/>
    <w:basedOn w:val="TOC2"/>
    <w:next w:val="BodyText"/>
    <w:autoRedefine/>
    <w:uiPriority w:val="39"/>
    <w:qFormat/>
    <w:rsid w:val="00574455"/>
    <w:pPr>
      <w:ind w:left="284"/>
    </w:pPr>
  </w:style>
  <w:style w:type="paragraph" w:styleId="TOC4">
    <w:name w:val="toc 4"/>
    <w:basedOn w:val="TOC3"/>
    <w:next w:val="BodyText"/>
    <w:autoRedefine/>
    <w:qFormat/>
    <w:rsid w:val="00574455"/>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1nonumbers">
    <w:name w:val="Head 1 no numbers"/>
    <w:next w:val="BodyText"/>
    <w:link w:val="Head1nonumbersChar"/>
    <w:qFormat/>
    <w:rsid w:val="00574455"/>
    <w:pPr>
      <w:keepNext/>
      <w:keepLines/>
      <w:pageBreakBefore/>
      <w:spacing w:after="1080" w:line="240" w:lineRule="auto"/>
      <w:outlineLvl w:val="0"/>
    </w:pPr>
    <w:rPr>
      <w:rFonts w:cs="Arial"/>
      <w:kern w:val="28"/>
      <w:sz w:val="40"/>
    </w:rPr>
  </w:style>
  <w:style w:type="paragraph" w:customStyle="1" w:styleId="Figuresandimagesleft">
    <w:name w:val="Figures and images left"/>
    <w:basedOn w:val="BodyText"/>
    <w:next w:val="Normal"/>
    <w:link w:val="FiguresandimagesleftChar"/>
    <w:qFormat/>
    <w:rsid w:val="00574455"/>
    <w:pPr>
      <w:keepNext/>
      <w:spacing w:before="480" w:after="80" w:line="160" w:lineRule="atLeast"/>
    </w:pPr>
  </w:style>
  <w:style w:type="character" w:customStyle="1" w:styleId="FiguresandimagesleftChar">
    <w:name w:val="Figures and images left Char"/>
    <w:basedOn w:val="BodyTextChar"/>
    <w:link w:val="Figuresandimagesleft"/>
    <w:rsid w:val="00574455"/>
    <w:rPr>
      <w:rFonts w:cs="Arial"/>
    </w:rPr>
  </w:style>
  <w:style w:type="character" w:styleId="Hyperlink">
    <w:name w:val="Hyperlink"/>
    <w:uiPriority w:val="99"/>
    <w:qFormat/>
    <w:rsid w:val="00574455"/>
    <w:rPr>
      <w:color w:val="0000FF"/>
    </w:rPr>
  </w:style>
  <w:style w:type="paragraph" w:styleId="TOC5">
    <w:name w:val="toc 5"/>
    <w:basedOn w:val="TOC4"/>
    <w:next w:val="BodyText"/>
    <w:autoRedefine/>
    <w:qFormat/>
    <w:rsid w:val="00574455"/>
    <w:pPr>
      <w:ind w:left="567"/>
    </w:pPr>
  </w:style>
  <w:style w:type="paragraph" w:customStyle="1" w:styleId="Versopageinfo">
    <w:name w:val="Verso page info"/>
    <w:basedOn w:val="BodyText"/>
    <w:link w:val="VersopageinfoChar"/>
    <w:qFormat/>
    <w:rsid w:val="00574455"/>
    <w:pPr>
      <w:spacing w:before="0"/>
    </w:pPr>
  </w:style>
  <w:style w:type="character" w:customStyle="1" w:styleId="Heading6Char">
    <w:name w:val="Heading 6 Char"/>
    <w:basedOn w:val="BodyTextChar"/>
    <w:link w:val="Heading6"/>
    <w:rsid w:val="00574455"/>
    <w:rPr>
      <w:rFonts w:cs="Arial"/>
      <w:b/>
      <w:kern w:val="28"/>
      <w:szCs w:val="30"/>
    </w:rPr>
  </w:style>
  <w:style w:type="character" w:customStyle="1" w:styleId="VersopageinfoChar">
    <w:name w:val="Verso page info Char"/>
    <w:basedOn w:val="BodyTextChar"/>
    <w:link w:val="Versopageinfo"/>
    <w:rsid w:val="00574455"/>
    <w:rPr>
      <w:rFonts w:cs="Arial"/>
    </w:rPr>
  </w:style>
  <w:style w:type="character" w:customStyle="1" w:styleId="Bulletlevel1Char">
    <w:name w:val="Bullet level 1 Char"/>
    <w:basedOn w:val="BodyTextChar"/>
    <w:link w:val="Bulletlevel1"/>
    <w:rsid w:val="00574455"/>
    <w:rPr>
      <w:rFonts w:eastAsia="Times New Roman" w:cs="Arial"/>
    </w:rPr>
  </w:style>
  <w:style w:type="character" w:customStyle="1" w:styleId="Hyperlinkprint">
    <w:name w:val="Hyperlink print"/>
    <w:basedOn w:val="Hyperlink"/>
    <w:qFormat/>
    <w:rsid w:val="00574455"/>
    <w:rPr>
      <w:color w:val="auto"/>
    </w:rPr>
  </w:style>
  <w:style w:type="paragraph" w:styleId="TOCHeading">
    <w:name w:val="TOC Heading"/>
    <w:next w:val="Normal"/>
    <w:qFormat/>
    <w:rsid w:val="0057445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574455"/>
  </w:style>
  <w:style w:type="paragraph" w:styleId="Date">
    <w:name w:val="Date"/>
    <w:aliases w:val="D-DO NOT USE"/>
    <w:next w:val="BodyText"/>
    <w:semiHidden/>
    <w:locked/>
    <w:rsid w:val="00574455"/>
    <w:rPr>
      <w:rFonts w:cs="Arial"/>
    </w:rPr>
  </w:style>
  <w:style w:type="paragraph" w:styleId="E-mailSignature">
    <w:name w:val="E-mail Signature"/>
    <w:aliases w:val="EM-DO NOT USE"/>
    <w:next w:val="BodyText"/>
    <w:semiHidden/>
    <w:locked/>
    <w:rsid w:val="00574455"/>
    <w:rPr>
      <w:rFonts w:cs="Arial"/>
    </w:rPr>
  </w:style>
  <w:style w:type="paragraph" w:styleId="EnvelopeAddress">
    <w:name w:val="envelope address"/>
    <w:aliases w:val="EA-DO NOT USE"/>
    <w:next w:val="BodyText"/>
    <w:semiHidden/>
    <w:locked/>
    <w:rsid w:val="00574455"/>
    <w:rPr>
      <w:rFonts w:cs="Arial"/>
    </w:rPr>
  </w:style>
  <w:style w:type="paragraph" w:styleId="EnvelopeReturn">
    <w:name w:val="envelope return"/>
    <w:aliases w:val="ER-DO NOT USE"/>
    <w:next w:val="BodyText"/>
    <w:semiHidden/>
    <w:locked/>
    <w:rsid w:val="00574455"/>
    <w:rPr>
      <w:rFonts w:cs="Arial"/>
    </w:rPr>
  </w:style>
  <w:style w:type="paragraph" w:styleId="HTMLAddress">
    <w:name w:val="HTML Address"/>
    <w:aliases w:val="HAd-DO NOT USE"/>
    <w:next w:val="BodyText"/>
    <w:semiHidden/>
    <w:locked/>
    <w:rsid w:val="00574455"/>
    <w:rPr>
      <w:rFonts w:cs="Arial"/>
    </w:rPr>
  </w:style>
  <w:style w:type="paragraph" w:styleId="HTMLPreformatted">
    <w:name w:val="HTML Preformatted"/>
    <w:aliases w:val="HP-DO NOT USE"/>
    <w:next w:val="BodyText"/>
    <w:semiHidden/>
    <w:locked/>
    <w:rsid w:val="00574455"/>
    <w:rPr>
      <w:rFonts w:cs="Arial"/>
    </w:rPr>
  </w:style>
  <w:style w:type="paragraph" w:styleId="List">
    <w:name w:val="List"/>
    <w:basedOn w:val="BodyText"/>
    <w:next w:val="BodyText"/>
    <w:semiHidden/>
    <w:locked/>
    <w:rsid w:val="00574455"/>
    <w:pPr>
      <w:ind w:left="283" w:hanging="283"/>
    </w:pPr>
  </w:style>
  <w:style w:type="paragraph" w:styleId="List2">
    <w:name w:val="List 2"/>
    <w:basedOn w:val="List"/>
    <w:next w:val="BodyText"/>
    <w:semiHidden/>
    <w:locked/>
    <w:rsid w:val="00574455"/>
    <w:pPr>
      <w:ind w:left="566"/>
    </w:pPr>
  </w:style>
  <w:style w:type="paragraph" w:styleId="List3">
    <w:name w:val="List 3"/>
    <w:basedOn w:val="List2"/>
    <w:next w:val="BodyText"/>
    <w:semiHidden/>
    <w:locked/>
    <w:rsid w:val="00574455"/>
    <w:pPr>
      <w:ind w:left="849"/>
    </w:pPr>
  </w:style>
  <w:style w:type="paragraph" w:styleId="List4">
    <w:name w:val="List 4"/>
    <w:basedOn w:val="List3"/>
    <w:next w:val="BodyText"/>
    <w:semiHidden/>
    <w:locked/>
    <w:rsid w:val="00574455"/>
    <w:pPr>
      <w:ind w:left="1132"/>
    </w:pPr>
  </w:style>
  <w:style w:type="paragraph" w:styleId="List5">
    <w:name w:val="List 5"/>
    <w:basedOn w:val="List4"/>
    <w:next w:val="BodyText"/>
    <w:semiHidden/>
    <w:locked/>
    <w:rsid w:val="00574455"/>
    <w:pPr>
      <w:ind w:left="1415"/>
    </w:pPr>
  </w:style>
  <w:style w:type="paragraph" w:styleId="ListBullet">
    <w:name w:val="List Bullet"/>
    <w:basedOn w:val="BodyText"/>
    <w:next w:val="BodyText"/>
    <w:semiHidden/>
    <w:locked/>
    <w:rsid w:val="00574455"/>
    <w:pPr>
      <w:numPr>
        <w:numId w:val="13"/>
      </w:numPr>
    </w:pPr>
  </w:style>
  <w:style w:type="paragraph" w:styleId="ListBullet2">
    <w:name w:val="List Bullet 2"/>
    <w:basedOn w:val="ListBullet"/>
    <w:next w:val="BodyText"/>
    <w:semiHidden/>
    <w:locked/>
    <w:rsid w:val="00574455"/>
    <w:pPr>
      <w:numPr>
        <w:numId w:val="14"/>
      </w:numPr>
    </w:pPr>
  </w:style>
  <w:style w:type="paragraph" w:styleId="ListBullet3">
    <w:name w:val="List Bullet 3"/>
    <w:basedOn w:val="ListBullet2"/>
    <w:next w:val="BodyText"/>
    <w:semiHidden/>
    <w:locked/>
    <w:rsid w:val="00574455"/>
    <w:pPr>
      <w:numPr>
        <w:numId w:val="15"/>
      </w:numPr>
    </w:pPr>
  </w:style>
  <w:style w:type="paragraph" w:styleId="ListBullet4">
    <w:name w:val="List Bullet 4"/>
    <w:basedOn w:val="ListBullet3"/>
    <w:next w:val="BodyText"/>
    <w:semiHidden/>
    <w:locked/>
    <w:rsid w:val="00574455"/>
    <w:pPr>
      <w:numPr>
        <w:numId w:val="16"/>
      </w:numPr>
    </w:pPr>
  </w:style>
  <w:style w:type="paragraph" w:styleId="ListBullet5">
    <w:name w:val="List Bullet 5"/>
    <w:basedOn w:val="ListBullet4"/>
    <w:next w:val="BodyText"/>
    <w:semiHidden/>
    <w:locked/>
    <w:rsid w:val="00574455"/>
    <w:pPr>
      <w:numPr>
        <w:numId w:val="17"/>
      </w:numPr>
    </w:pPr>
  </w:style>
  <w:style w:type="paragraph" w:styleId="ListContinue">
    <w:name w:val="List Continue"/>
    <w:basedOn w:val="BodyText"/>
    <w:next w:val="BodyText"/>
    <w:semiHidden/>
    <w:locked/>
    <w:rsid w:val="00574455"/>
    <w:pPr>
      <w:ind w:left="283"/>
    </w:pPr>
  </w:style>
  <w:style w:type="paragraph" w:styleId="ListContinue2">
    <w:name w:val="List Continue 2"/>
    <w:basedOn w:val="ListContinue"/>
    <w:next w:val="BodyText"/>
    <w:semiHidden/>
    <w:locked/>
    <w:rsid w:val="00574455"/>
    <w:pPr>
      <w:ind w:left="566"/>
    </w:pPr>
  </w:style>
  <w:style w:type="paragraph" w:styleId="ListContinue3">
    <w:name w:val="List Continue 3"/>
    <w:basedOn w:val="ListContinue2"/>
    <w:next w:val="BodyText"/>
    <w:semiHidden/>
    <w:locked/>
    <w:rsid w:val="00574455"/>
    <w:pPr>
      <w:ind w:left="849"/>
    </w:pPr>
  </w:style>
  <w:style w:type="paragraph" w:styleId="ListContinue4">
    <w:name w:val="List Continue 4"/>
    <w:basedOn w:val="ListContinue3"/>
    <w:next w:val="BodyText"/>
    <w:semiHidden/>
    <w:locked/>
    <w:rsid w:val="00574455"/>
    <w:pPr>
      <w:ind w:left="1132"/>
    </w:pPr>
  </w:style>
  <w:style w:type="paragraph" w:styleId="ListContinue5">
    <w:name w:val="List Continue 5"/>
    <w:basedOn w:val="ListContinue4"/>
    <w:next w:val="BodyText"/>
    <w:semiHidden/>
    <w:locked/>
    <w:rsid w:val="00574455"/>
    <w:pPr>
      <w:ind w:left="1415"/>
    </w:pPr>
  </w:style>
  <w:style w:type="paragraph" w:styleId="ListNumber">
    <w:name w:val="List Number"/>
    <w:basedOn w:val="BodyText"/>
    <w:next w:val="BodyText"/>
    <w:semiHidden/>
    <w:locked/>
    <w:rsid w:val="00574455"/>
    <w:pPr>
      <w:numPr>
        <w:numId w:val="18"/>
      </w:numPr>
    </w:pPr>
  </w:style>
  <w:style w:type="paragraph" w:styleId="ListNumber2">
    <w:name w:val="List Number 2"/>
    <w:basedOn w:val="ListNumber"/>
    <w:next w:val="BodyText"/>
    <w:semiHidden/>
    <w:locked/>
    <w:rsid w:val="00574455"/>
    <w:pPr>
      <w:numPr>
        <w:numId w:val="19"/>
      </w:numPr>
    </w:pPr>
  </w:style>
  <w:style w:type="paragraph" w:styleId="ListNumber3">
    <w:name w:val="List Number 3"/>
    <w:basedOn w:val="ListNumber2"/>
    <w:next w:val="BodyText"/>
    <w:semiHidden/>
    <w:locked/>
    <w:rsid w:val="00574455"/>
    <w:pPr>
      <w:numPr>
        <w:numId w:val="20"/>
      </w:numPr>
    </w:pPr>
  </w:style>
  <w:style w:type="paragraph" w:styleId="ListNumber4">
    <w:name w:val="List Number 4"/>
    <w:basedOn w:val="ListNumber3"/>
    <w:next w:val="BodyText"/>
    <w:semiHidden/>
    <w:locked/>
    <w:rsid w:val="00574455"/>
    <w:pPr>
      <w:numPr>
        <w:numId w:val="21"/>
      </w:numPr>
    </w:pPr>
  </w:style>
  <w:style w:type="paragraph" w:styleId="ListNumber5">
    <w:name w:val="List Number 5"/>
    <w:basedOn w:val="ListNumber4"/>
    <w:next w:val="BodyText"/>
    <w:semiHidden/>
    <w:locked/>
    <w:rsid w:val="00574455"/>
    <w:pPr>
      <w:numPr>
        <w:numId w:val="22"/>
      </w:numPr>
    </w:pPr>
  </w:style>
  <w:style w:type="paragraph" w:styleId="MessageHeader">
    <w:name w:val="Message Header"/>
    <w:aliases w:val="MH-DO NOT USE"/>
    <w:semiHidden/>
    <w:locked/>
    <w:rsid w:val="00574455"/>
    <w:rPr>
      <w:rFonts w:cs="Arial"/>
    </w:rPr>
  </w:style>
  <w:style w:type="paragraph" w:styleId="NormalWeb">
    <w:name w:val="Normal (Web)"/>
    <w:aliases w:val="NW-DO NOT USE"/>
    <w:next w:val="BodyText"/>
    <w:semiHidden/>
    <w:locked/>
    <w:rsid w:val="00574455"/>
    <w:rPr>
      <w:rFonts w:cs="Arial"/>
    </w:rPr>
  </w:style>
  <w:style w:type="paragraph" w:styleId="NormalIndent">
    <w:name w:val="Normal Indent"/>
    <w:aliases w:val="NI-DO NOT USE"/>
    <w:next w:val="BodyText"/>
    <w:semiHidden/>
    <w:locked/>
    <w:rsid w:val="00574455"/>
    <w:rPr>
      <w:rFonts w:cs="Arial"/>
    </w:rPr>
  </w:style>
  <w:style w:type="paragraph" w:styleId="NoteHeading">
    <w:name w:val="Note Heading"/>
    <w:basedOn w:val="BodyText"/>
    <w:next w:val="BodyText"/>
    <w:semiHidden/>
    <w:locked/>
    <w:rsid w:val="00574455"/>
  </w:style>
  <w:style w:type="character" w:styleId="PageNumber">
    <w:name w:val="page number"/>
    <w:aliases w:val="P-DO NOT USE"/>
    <w:semiHidden/>
    <w:locked/>
    <w:rsid w:val="00574455"/>
  </w:style>
  <w:style w:type="paragraph" w:styleId="PlainText">
    <w:name w:val="Plain Text"/>
    <w:aliases w:val="PT-DO NOT USE"/>
    <w:semiHidden/>
    <w:locked/>
    <w:rsid w:val="00574455"/>
    <w:rPr>
      <w:rFonts w:cs="Arial"/>
    </w:rPr>
  </w:style>
  <w:style w:type="paragraph" w:styleId="Salutation">
    <w:name w:val="Salutation"/>
    <w:aliases w:val="Sa-DO NOT USE"/>
    <w:next w:val="BodyText"/>
    <w:semiHidden/>
    <w:locked/>
    <w:rsid w:val="00574455"/>
    <w:rPr>
      <w:rFonts w:cs="Arial"/>
    </w:rPr>
  </w:style>
  <w:style w:type="paragraph" w:styleId="Signature">
    <w:name w:val="Signature"/>
    <w:aliases w:val="Si-DO NOT USE"/>
    <w:next w:val="BodyText"/>
    <w:semiHidden/>
    <w:locked/>
    <w:rsid w:val="00574455"/>
    <w:rPr>
      <w:rFonts w:cs="Arial"/>
    </w:rPr>
  </w:style>
  <w:style w:type="paragraph" w:styleId="Subtitle">
    <w:name w:val="Subtitle"/>
    <w:aliases w:val="S-DO NOT USE"/>
    <w:next w:val="BodyText"/>
    <w:qFormat/>
    <w:locked/>
    <w:rsid w:val="00574455"/>
    <w:rPr>
      <w:rFonts w:cs="Arial"/>
    </w:rPr>
  </w:style>
  <w:style w:type="table" w:styleId="Table3Deffects1">
    <w:name w:val="Table 3D effects 1"/>
    <w:basedOn w:val="TableNormal"/>
    <w:semiHidden/>
    <w:locked/>
    <w:rsid w:val="00574455"/>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qFormat/>
    <w:locked/>
    <w:rsid w:val="00574455"/>
    <w:rPr>
      <w:rFonts w:cs="Arial"/>
    </w:rPr>
  </w:style>
  <w:style w:type="character" w:customStyle="1" w:styleId="Heading1Char">
    <w:name w:val="Heading 1 Char"/>
    <w:basedOn w:val="DefaultParagraphFont"/>
    <w:link w:val="Heading1"/>
    <w:rsid w:val="00574455"/>
    <w:rPr>
      <w:rFonts w:cs="Arial"/>
      <w:kern w:val="28"/>
      <w:sz w:val="40"/>
    </w:rPr>
  </w:style>
  <w:style w:type="character" w:customStyle="1" w:styleId="Head1nonumbersChar">
    <w:name w:val="Head 1 no numbers Char"/>
    <w:basedOn w:val="Heading1Char"/>
    <w:link w:val="Head1nonumbers"/>
    <w:rsid w:val="00574455"/>
    <w:rPr>
      <w:rFonts w:cs="Arial"/>
      <w:kern w:val="28"/>
      <w:sz w:val="40"/>
    </w:rPr>
  </w:style>
  <w:style w:type="paragraph" w:customStyle="1" w:styleId="Head2nonumbers">
    <w:name w:val="Head 2 no numbers"/>
    <w:basedOn w:val="Head1nonumbers"/>
    <w:next w:val="BodyText"/>
    <w:link w:val="Head2nonumbersChar"/>
    <w:qFormat/>
    <w:rsid w:val="00574455"/>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574455"/>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574455"/>
    <w:pPr>
      <w:numPr>
        <w:ilvl w:val="3"/>
      </w:numPr>
      <w:spacing w:before="180"/>
      <w:outlineLvl w:val="3"/>
    </w:pPr>
    <w:rPr>
      <w:i/>
      <w:sz w:val="22"/>
      <w:szCs w:val="22"/>
    </w:rPr>
  </w:style>
  <w:style w:type="paragraph" w:customStyle="1" w:styleId="Head5nonumbers">
    <w:name w:val="Head 5 no numbers"/>
    <w:basedOn w:val="Head4nonumbers"/>
    <w:next w:val="BodyText"/>
    <w:qFormat/>
    <w:rsid w:val="00574455"/>
    <w:pPr>
      <w:numPr>
        <w:ilvl w:val="4"/>
      </w:numPr>
      <w:outlineLvl w:val="4"/>
    </w:pPr>
    <w:rPr>
      <w:b w:val="0"/>
    </w:rPr>
  </w:style>
  <w:style w:type="character" w:customStyle="1" w:styleId="Heading2Char">
    <w:name w:val="Heading 2 Char"/>
    <w:basedOn w:val="Heading1Char"/>
    <w:link w:val="Heading2"/>
    <w:rsid w:val="00574455"/>
    <w:rPr>
      <w:rFonts w:cs="Arial"/>
      <w:kern w:val="28"/>
      <w:sz w:val="30"/>
      <w:szCs w:val="30"/>
    </w:rPr>
  </w:style>
  <w:style w:type="character" w:customStyle="1" w:styleId="Head2nonumbersChar">
    <w:name w:val="Head 2 no numbers Char"/>
    <w:basedOn w:val="Head1nonumbersChar"/>
    <w:link w:val="Head2nonumbers"/>
    <w:rsid w:val="00574455"/>
    <w:rPr>
      <w:rFonts w:cs="Arial"/>
      <w:kern w:val="28"/>
      <w:sz w:val="30"/>
      <w:szCs w:val="28"/>
    </w:rPr>
  </w:style>
  <w:style w:type="character" w:customStyle="1" w:styleId="Head3nonumbersChar">
    <w:name w:val="Head 3 no numbers Char"/>
    <w:basedOn w:val="Head2nonumbersChar"/>
    <w:link w:val="Head3nonumbers"/>
    <w:rsid w:val="00574455"/>
    <w:rPr>
      <w:rFonts w:cs="Lucida Sans Unicode"/>
      <w:b/>
      <w:kern w:val="28"/>
      <w:sz w:val="24"/>
      <w:szCs w:val="24"/>
    </w:rPr>
  </w:style>
  <w:style w:type="character" w:customStyle="1" w:styleId="Heading3Char">
    <w:name w:val="Heading 3 Char"/>
    <w:basedOn w:val="Heading2Char"/>
    <w:link w:val="Heading3"/>
    <w:rsid w:val="00574455"/>
    <w:rPr>
      <w:rFonts w:cs="Arial"/>
      <w:b/>
      <w:kern w:val="28"/>
      <w:sz w:val="24"/>
      <w:szCs w:val="30"/>
    </w:rPr>
  </w:style>
  <w:style w:type="character" w:customStyle="1" w:styleId="Heading4Char">
    <w:name w:val="Heading 4 Char"/>
    <w:basedOn w:val="Heading3Char"/>
    <w:link w:val="Heading4"/>
    <w:rsid w:val="00574455"/>
    <w:rPr>
      <w:rFonts w:cs="Arial"/>
      <w:b/>
      <w:i/>
      <w:kern w:val="28"/>
      <w:sz w:val="22"/>
      <w:szCs w:val="30"/>
    </w:rPr>
  </w:style>
  <w:style w:type="character" w:customStyle="1" w:styleId="Head4nonumbersChar">
    <w:name w:val="Head 4 no numbers Char"/>
    <w:basedOn w:val="Heading4Char"/>
    <w:link w:val="Head4nonumbers"/>
    <w:rsid w:val="00574455"/>
    <w:rPr>
      <w:rFonts w:cs="Lucida Sans Unicode"/>
      <w:b/>
      <w:i/>
      <w:kern w:val="28"/>
      <w:sz w:val="22"/>
      <w:szCs w:val="22"/>
    </w:rPr>
  </w:style>
  <w:style w:type="paragraph" w:customStyle="1" w:styleId="StyleHeads3NumberedNotBold">
    <w:name w:val="Style Heads 3 Numbered + Not Bold"/>
    <w:basedOn w:val="Head3nonumbers"/>
    <w:semiHidden/>
    <w:locked/>
    <w:rsid w:val="00700AB5"/>
  </w:style>
  <w:style w:type="paragraph" w:styleId="TOC6">
    <w:name w:val="toc 6"/>
    <w:basedOn w:val="Normal"/>
    <w:next w:val="Normal"/>
    <w:autoRedefine/>
    <w:semiHidden/>
    <w:locked/>
    <w:rsid w:val="00574455"/>
    <w:pPr>
      <w:ind w:left="1050"/>
    </w:pPr>
  </w:style>
  <w:style w:type="paragraph" w:customStyle="1" w:styleId="Bulletlevel1numbered">
    <w:name w:val="Bullet level 1 numbered"/>
    <w:basedOn w:val="BodyText"/>
    <w:link w:val="Bulletlevel1numberedChar"/>
    <w:qFormat/>
    <w:rsid w:val="00574455"/>
    <w:pPr>
      <w:numPr>
        <w:numId w:val="5"/>
      </w:numPr>
      <w:spacing w:before="60" w:after="60"/>
    </w:pPr>
    <w:rPr>
      <w:rFonts w:eastAsia="Times New Roman"/>
    </w:rPr>
  </w:style>
  <w:style w:type="character" w:customStyle="1" w:styleId="Bulletlevel1numberedChar">
    <w:name w:val="Bullet level 1 numbered Char"/>
    <w:basedOn w:val="Bulletlevel1Char"/>
    <w:link w:val="Bulletlevel1numbered"/>
    <w:rsid w:val="00574455"/>
    <w:rPr>
      <w:rFonts w:eastAsia="Times New Roman" w:cs="Arial"/>
    </w:rPr>
  </w:style>
  <w:style w:type="paragraph" w:customStyle="1" w:styleId="Bulletlevel2numbered">
    <w:name w:val="Bullet level 2 numbered"/>
    <w:basedOn w:val="Bulletlevel1numbered"/>
    <w:qFormat/>
    <w:rsid w:val="00574455"/>
    <w:pPr>
      <w:numPr>
        <w:ilvl w:val="1"/>
      </w:numPr>
    </w:pPr>
    <w:rPr>
      <w:rFonts w:eastAsia="Times"/>
    </w:rPr>
  </w:style>
  <w:style w:type="paragraph" w:styleId="TableofFigures">
    <w:name w:val="table of figures"/>
    <w:basedOn w:val="TOC1"/>
    <w:next w:val="BodyText"/>
    <w:qFormat/>
    <w:rsid w:val="00574455"/>
  </w:style>
  <w:style w:type="numbering" w:styleId="111111">
    <w:name w:val="Outline List 2"/>
    <w:basedOn w:val="NoList"/>
    <w:semiHidden/>
    <w:locked/>
    <w:rsid w:val="00574455"/>
    <w:pPr>
      <w:numPr>
        <w:numId w:val="1"/>
      </w:numPr>
    </w:pPr>
  </w:style>
  <w:style w:type="numbering" w:styleId="1ai">
    <w:name w:val="Outline List 1"/>
    <w:basedOn w:val="NoList"/>
    <w:semiHidden/>
    <w:locked/>
    <w:rsid w:val="00574455"/>
    <w:pPr>
      <w:numPr>
        <w:numId w:val="2"/>
      </w:numPr>
    </w:pPr>
  </w:style>
  <w:style w:type="numbering" w:styleId="ArticleSection">
    <w:name w:val="Outline List 3"/>
    <w:basedOn w:val="NoList"/>
    <w:semiHidden/>
    <w:locked/>
    <w:rsid w:val="00574455"/>
    <w:pPr>
      <w:numPr>
        <w:numId w:val="3"/>
      </w:numPr>
    </w:pPr>
  </w:style>
  <w:style w:type="character" w:styleId="Emphasis">
    <w:name w:val="Emphasis"/>
    <w:aliases w:val="E-DO NOT USE"/>
    <w:qFormat/>
    <w:locked/>
    <w:rsid w:val="00574455"/>
  </w:style>
  <w:style w:type="character" w:styleId="HTMLAcronym">
    <w:name w:val="HTML Acronym"/>
    <w:aliases w:val="HA-DO NOT USE"/>
    <w:semiHidden/>
    <w:locked/>
    <w:rsid w:val="00574455"/>
  </w:style>
  <w:style w:type="character" w:styleId="HTMLCite">
    <w:name w:val="HTML Cite"/>
    <w:aliases w:val="HCi-DO NOT USE"/>
    <w:semiHidden/>
    <w:locked/>
    <w:rsid w:val="00574455"/>
  </w:style>
  <w:style w:type="character" w:styleId="HTMLCode">
    <w:name w:val="HTML Code"/>
    <w:aliases w:val="HC-DO NOT USE"/>
    <w:semiHidden/>
    <w:locked/>
    <w:rsid w:val="00574455"/>
  </w:style>
  <w:style w:type="character" w:styleId="HTMLDefinition">
    <w:name w:val="HTML Definition"/>
    <w:aliases w:val="HD-DO NOT USE"/>
    <w:semiHidden/>
    <w:locked/>
    <w:rsid w:val="00574455"/>
  </w:style>
  <w:style w:type="character" w:styleId="HTMLKeyboard">
    <w:name w:val="HTML Keyboard"/>
    <w:aliases w:val="HK-DO NOT USE"/>
    <w:semiHidden/>
    <w:locked/>
    <w:rsid w:val="00574455"/>
  </w:style>
  <w:style w:type="character" w:styleId="HTMLSample">
    <w:name w:val="HTML Sample"/>
    <w:aliases w:val="HS-DO NOT USE"/>
    <w:semiHidden/>
    <w:locked/>
    <w:rsid w:val="00574455"/>
  </w:style>
  <w:style w:type="character" w:styleId="HTMLTypewriter">
    <w:name w:val="HTML Typewriter"/>
    <w:aliases w:val="HT-DO NOT USE"/>
    <w:semiHidden/>
    <w:locked/>
    <w:rsid w:val="00574455"/>
  </w:style>
  <w:style w:type="character" w:styleId="HTMLVariable">
    <w:name w:val="HTML Variable"/>
    <w:aliases w:val="HV-DO NOT USE"/>
    <w:semiHidden/>
    <w:locked/>
    <w:rsid w:val="00574455"/>
  </w:style>
  <w:style w:type="character" w:styleId="LineNumber">
    <w:name w:val="line number"/>
    <w:aliases w:val="LN-DO NOT USE"/>
    <w:semiHidden/>
    <w:locked/>
    <w:rsid w:val="00574455"/>
  </w:style>
  <w:style w:type="table" w:styleId="Table3Deffects2">
    <w:name w:val="Table 3D effects 2"/>
    <w:basedOn w:val="TableNormal"/>
    <w:semiHidden/>
    <w:locked/>
    <w:rsid w:val="0057445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7445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7445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7445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7445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7445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7445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7445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7445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7445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7445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7445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7445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7445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7445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7445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5744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57445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57445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57445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7445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7445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7445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7445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7445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7445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7445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7445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7445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7445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7445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7445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7445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57445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7445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7445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7445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7445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7445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744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57445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7445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7445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574455"/>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574455"/>
    <w:rPr>
      <w:position w:val="0"/>
      <w:vertAlign w:val="superscript"/>
    </w:rPr>
  </w:style>
  <w:style w:type="character" w:customStyle="1" w:styleId="Subscript">
    <w:name w:val="Subscript"/>
    <w:basedOn w:val="DefaultParagraphFont"/>
    <w:qFormat/>
    <w:rsid w:val="00574455"/>
    <w:rPr>
      <w:position w:val="-2"/>
      <w:vertAlign w:val="subscript"/>
    </w:rPr>
  </w:style>
  <w:style w:type="paragraph" w:styleId="BalloonText">
    <w:name w:val="Balloon Text"/>
    <w:aliases w:val="BlT-DO NOT USE"/>
    <w:next w:val="BodyText"/>
    <w:link w:val="BalloonTextChar"/>
    <w:semiHidden/>
    <w:locked/>
    <w:rsid w:val="00574455"/>
    <w:rPr>
      <w:rFonts w:cs="Arial"/>
    </w:rPr>
  </w:style>
  <w:style w:type="character" w:customStyle="1" w:styleId="BalloonTextChar">
    <w:name w:val="Balloon Text Char"/>
    <w:aliases w:val="BlT-DO NOT USE Char"/>
    <w:basedOn w:val="DefaultParagraphFont"/>
    <w:link w:val="BalloonText"/>
    <w:semiHidden/>
    <w:rsid w:val="00574455"/>
    <w:rPr>
      <w:rFonts w:cs="Arial"/>
    </w:rPr>
  </w:style>
  <w:style w:type="character" w:customStyle="1" w:styleId="FooterChar">
    <w:name w:val="Footer Char"/>
    <w:basedOn w:val="DefaultParagraphFont"/>
    <w:link w:val="Footer"/>
    <w:rsid w:val="00574455"/>
    <w:rPr>
      <w:rFonts w:ascii="Arial Bold" w:hAnsi="Arial Bold" w:cs="Arial"/>
      <w:b/>
      <w:sz w:val="16"/>
      <w:szCs w:val="16"/>
    </w:rPr>
  </w:style>
  <w:style w:type="table" w:styleId="LightShading-Accent5">
    <w:name w:val="Light Shading Accent 5"/>
    <w:basedOn w:val="TableNormal"/>
    <w:uiPriority w:val="60"/>
    <w:locked/>
    <w:rsid w:val="00574455"/>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57445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7445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74455"/>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74455"/>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574455"/>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574455"/>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574455"/>
    <w:pPr>
      <w:spacing w:before="0" w:after="600"/>
      <w:outlineLvl w:val="1"/>
    </w:pPr>
    <w:rPr>
      <w:sz w:val="32"/>
      <w:szCs w:val="36"/>
    </w:rPr>
  </w:style>
  <w:style w:type="character" w:customStyle="1" w:styleId="DocumentsubtitleChar">
    <w:name w:val="Document subtitle Char"/>
    <w:basedOn w:val="DefaultParagraphFont"/>
    <w:link w:val="Documentsubtitle"/>
    <w:rsid w:val="00574455"/>
    <w:rPr>
      <w:rFonts w:eastAsia="Times New Roman"/>
      <w:sz w:val="32"/>
      <w:szCs w:val="36"/>
    </w:rPr>
  </w:style>
  <w:style w:type="paragraph" w:styleId="Bibliography">
    <w:name w:val="Bibliography"/>
    <w:next w:val="BodyText"/>
    <w:uiPriority w:val="37"/>
    <w:unhideWhenUsed/>
    <w:locked/>
    <w:rsid w:val="00574455"/>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Normal"/>
    <w:qFormat/>
    <w:rsid w:val="00574455"/>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574455"/>
    <w:rPr>
      <w:rFonts w:cs="Arial"/>
    </w:rPr>
  </w:style>
  <w:style w:type="character" w:customStyle="1" w:styleId="CommentSubjectChar">
    <w:name w:val="Comment Subject Char"/>
    <w:aliases w:val="CS-DO NOT USE Char"/>
    <w:basedOn w:val="DefaultParagraphFont"/>
    <w:link w:val="CommentSubject"/>
    <w:semiHidden/>
    <w:rsid w:val="00574455"/>
    <w:rPr>
      <w:rFonts w:cs="Arial"/>
    </w:rPr>
  </w:style>
  <w:style w:type="paragraph" w:styleId="DocumentMap">
    <w:name w:val="Document Map"/>
    <w:aliases w:val="DM-DO NOT USE"/>
    <w:link w:val="DocumentMapChar"/>
    <w:semiHidden/>
    <w:locked/>
    <w:rsid w:val="00574455"/>
    <w:rPr>
      <w:rFonts w:cs="Arial"/>
    </w:rPr>
  </w:style>
  <w:style w:type="character" w:customStyle="1" w:styleId="DocumentMapChar">
    <w:name w:val="Document Map Char"/>
    <w:aliases w:val="DM-DO NOT USE Char"/>
    <w:basedOn w:val="DefaultParagraphFont"/>
    <w:link w:val="DocumentMap"/>
    <w:semiHidden/>
    <w:rsid w:val="00574455"/>
    <w:rPr>
      <w:rFonts w:cs="Arial"/>
    </w:rPr>
  </w:style>
  <w:style w:type="paragraph" w:styleId="FootnoteText">
    <w:name w:val="footnote text"/>
    <w:link w:val="FootnoteTextChar"/>
    <w:semiHidden/>
    <w:locked/>
    <w:rsid w:val="00574455"/>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semiHidden/>
    <w:rsid w:val="00574455"/>
    <w:rPr>
      <w:rFonts w:cs="Arial"/>
      <w:sz w:val="16"/>
    </w:rPr>
  </w:style>
  <w:style w:type="paragraph" w:styleId="Index1">
    <w:name w:val="index 1"/>
    <w:basedOn w:val="Normal"/>
    <w:next w:val="Normal"/>
    <w:autoRedefine/>
    <w:semiHidden/>
    <w:locked/>
    <w:rsid w:val="00574455"/>
    <w:pPr>
      <w:spacing w:line="240" w:lineRule="auto"/>
      <w:ind w:left="200" w:hanging="200"/>
    </w:pPr>
  </w:style>
  <w:style w:type="paragraph" w:styleId="Index2">
    <w:name w:val="index 2"/>
    <w:basedOn w:val="Normal"/>
    <w:next w:val="Normal"/>
    <w:autoRedefine/>
    <w:semiHidden/>
    <w:locked/>
    <w:rsid w:val="00574455"/>
    <w:pPr>
      <w:spacing w:line="240" w:lineRule="auto"/>
      <w:ind w:left="400" w:hanging="200"/>
    </w:pPr>
  </w:style>
  <w:style w:type="paragraph" w:styleId="Index3">
    <w:name w:val="index 3"/>
    <w:basedOn w:val="Normal"/>
    <w:next w:val="Normal"/>
    <w:autoRedefine/>
    <w:semiHidden/>
    <w:locked/>
    <w:rsid w:val="00574455"/>
    <w:pPr>
      <w:spacing w:line="240" w:lineRule="auto"/>
      <w:ind w:left="600" w:hanging="200"/>
    </w:pPr>
  </w:style>
  <w:style w:type="paragraph" w:styleId="Index4">
    <w:name w:val="index 4"/>
    <w:basedOn w:val="Normal"/>
    <w:next w:val="Normal"/>
    <w:autoRedefine/>
    <w:semiHidden/>
    <w:locked/>
    <w:rsid w:val="00574455"/>
    <w:pPr>
      <w:spacing w:line="240" w:lineRule="auto"/>
      <w:ind w:left="800" w:hanging="200"/>
    </w:pPr>
  </w:style>
  <w:style w:type="paragraph" w:styleId="Index5">
    <w:name w:val="index 5"/>
    <w:basedOn w:val="Normal"/>
    <w:next w:val="Normal"/>
    <w:autoRedefine/>
    <w:semiHidden/>
    <w:locked/>
    <w:rsid w:val="00574455"/>
    <w:pPr>
      <w:spacing w:line="240" w:lineRule="auto"/>
      <w:ind w:left="1000" w:hanging="200"/>
    </w:pPr>
  </w:style>
  <w:style w:type="paragraph" w:styleId="Index6">
    <w:name w:val="index 6"/>
    <w:basedOn w:val="Normal"/>
    <w:next w:val="Normal"/>
    <w:autoRedefine/>
    <w:semiHidden/>
    <w:locked/>
    <w:rsid w:val="00574455"/>
    <w:pPr>
      <w:spacing w:line="240" w:lineRule="auto"/>
      <w:ind w:left="1200" w:hanging="200"/>
    </w:pPr>
  </w:style>
  <w:style w:type="paragraph" w:styleId="Index7">
    <w:name w:val="index 7"/>
    <w:basedOn w:val="Normal"/>
    <w:next w:val="Normal"/>
    <w:autoRedefine/>
    <w:semiHidden/>
    <w:locked/>
    <w:rsid w:val="00574455"/>
    <w:pPr>
      <w:spacing w:line="240" w:lineRule="auto"/>
      <w:ind w:left="1400" w:hanging="200"/>
    </w:pPr>
  </w:style>
  <w:style w:type="paragraph" w:styleId="Index8">
    <w:name w:val="index 8"/>
    <w:basedOn w:val="Normal"/>
    <w:next w:val="Normal"/>
    <w:autoRedefine/>
    <w:semiHidden/>
    <w:locked/>
    <w:rsid w:val="00574455"/>
    <w:pPr>
      <w:spacing w:line="240" w:lineRule="auto"/>
      <w:ind w:left="1600" w:hanging="200"/>
    </w:pPr>
  </w:style>
  <w:style w:type="paragraph" w:styleId="Index9">
    <w:name w:val="index 9"/>
    <w:basedOn w:val="Normal"/>
    <w:next w:val="Normal"/>
    <w:autoRedefine/>
    <w:semiHidden/>
    <w:locked/>
    <w:rsid w:val="00574455"/>
    <w:pPr>
      <w:spacing w:line="240" w:lineRule="auto"/>
      <w:ind w:left="1800" w:hanging="200"/>
    </w:pPr>
  </w:style>
  <w:style w:type="paragraph" w:styleId="IndexHeading">
    <w:name w:val="index heading"/>
    <w:aliases w:val="IH-DO NOT USE"/>
    <w:basedOn w:val="IntenseQuote"/>
    <w:next w:val="Index1"/>
    <w:semiHidden/>
    <w:locked/>
    <w:rsid w:val="00574455"/>
  </w:style>
  <w:style w:type="paragraph" w:styleId="IntenseQuote">
    <w:name w:val="Intense Quote"/>
    <w:aliases w:val="IQ-DO NOT USE"/>
    <w:next w:val="Normal"/>
    <w:link w:val="IntenseQuoteChar"/>
    <w:uiPriority w:val="30"/>
    <w:qFormat/>
    <w:locked/>
    <w:rsid w:val="00574455"/>
    <w:rPr>
      <w:rFonts w:cs="Arial"/>
    </w:rPr>
  </w:style>
  <w:style w:type="character" w:customStyle="1" w:styleId="IntenseQuoteChar">
    <w:name w:val="Intense Quote Char"/>
    <w:aliases w:val="IQ-DO NOT USE Char"/>
    <w:basedOn w:val="DefaultParagraphFont"/>
    <w:link w:val="IntenseQuote"/>
    <w:uiPriority w:val="30"/>
    <w:semiHidden/>
    <w:rsid w:val="00574455"/>
    <w:rPr>
      <w:rFonts w:cs="Arial"/>
    </w:rPr>
  </w:style>
  <w:style w:type="paragraph" w:styleId="ListParagraph">
    <w:name w:val="List Paragraph"/>
    <w:aliases w:val="LP-DO NOT USE"/>
    <w:basedOn w:val="MacroText"/>
    <w:uiPriority w:val="34"/>
    <w:qFormat/>
    <w:locked/>
    <w:rsid w:val="00574455"/>
  </w:style>
  <w:style w:type="paragraph" w:styleId="MacroText">
    <w:name w:val="macro"/>
    <w:aliases w:val="MT-DO NOT USE"/>
    <w:basedOn w:val="MessageHeader"/>
    <w:link w:val="MacroTextChar"/>
    <w:semiHidden/>
    <w:locked/>
    <w:rsid w:val="00574455"/>
  </w:style>
  <w:style w:type="character" w:customStyle="1" w:styleId="MacroTextChar">
    <w:name w:val="Macro Text Char"/>
    <w:aliases w:val="MT-DO NOT USE Char"/>
    <w:basedOn w:val="DefaultParagraphFont"/>
    <w:link w:val="MacroText"/>
    <w:semiHidden/>
    <w:rsid w:val="00574455"/>
    <w:rPr>
      <w:rFonts w:cs="Arial"/>
    </w:rPr>
  </w:style>
  <w:style w:type="paragraph" w:styleId="NoSpacing">
    <w:name w:val="No Spacing"/>
    <w:aliases w:val="NS-DO NOT USE"/>
    <w:uiPriority w:val="1"/>
    <w:qFormat/>
    <w:locked/>
    <w:rsid w:val="00574455"/>
    <w:pPr>
      <w:spacing w:line="240" w:lineRule="auto"/>
    </w:pPr>
  </w:style>
  <w:style w:type="paragraph" w:styleId="Quote">
    <w:name w:val="Quote"/>
    <w:aliases w:val="Q-DO NOT USE"/>
    <w:next w:val="Normal"/>
    <w:link w:val="QuoteChar"/>
    <w:uiPriority w:val="29"/>
    <w:qFormat/>
    <w:locked/>
    <w:rsid w:val="00574455"/>
    <w:rPr>
      <w:rFonts w:cs="Arial"/>
    </w:rPr>
  </w:style>
  <w:style w:type="character" w:customStyle="1" w:styleId="QuoteChar">
    <w:name w:val="Quote Char"/>
    <w:aliases w:val="Q-DO NOT USE Char"/>
    <w:basedOn w:val="DefaultParagraphFont"/>
    <w:link w:val="Quote"/>
    <w:uiPriority w:val="29"/>
    <w:semiHidden/>
    <w:rsid w:val="00574455"/>
    <w:rPr>
      <w:rFonts w:cs="Arial"/>
    </w:rPr>
  </w:style>
  <w:style w:type="paragraph" w:styleId="TOAHeading">
    <w:name w:val="toa heading"/>
    <w:next w:val="Normal"/>
    <w:semiHidden/>
    <w:locked/>
    <w:rsid w:val="00574455"/>
    <w:pPr>
      <w:spacing w:before="120"/>
    </w:pPr>
    <w:rPr>
      <w:rFonts w:eastAsiaTheme="majorEastAsia" w:cstheme="majorBidi"/>
      <w:bCs/>
      <w:szCs w:val="24"/>
    </w:rPr>
  </w:style>
  <w:style w:type="paragraph" w:styleId="TOC7">
    <w:name w:val="toc 7"/>
    <w:basedOn w:val="Normal"/>
    <w:next w:val="Normal"/>
    <w:autoRedefine/>
    <w:semiHidden/>
    <w:locked/>
    <w:rsid w:val="00574455"/>
    <w:pPr>
      <w:spacing w:after="100"/>
      <w:ind w:left="1200"/>
    </w:pPr>
  </w:style>
  <w:style w:type="paragraph" w:styleId="TOC8">
    <w:name w:val="toc 8"/>
    <w:basedOn w:val="Normal"/>
    <w:next w:val="Normal"/>
    <w:autoRedefine/>
    <w:semiHidden/>
    <w:locked/>
    <w:rsid w:val="00574455"/>
    <w:pPr>
      <w:spacing w:after="100"/>
      <w:ind w:left="1400"/>
    </w:pPr>
  </w:style>
  <w:style w:type="paragraph" w:styleId="TOC9">
    <w:name w:val="toc 9"/>
    <w:basedOn w:val="Normal"/>
    <w:next w:val="Normal"/>
    <w:autoRedefine/>
    <w:semiHidden/>
    <w:locked/>
    <w:rsid w:val="00574455"/>
    <w:pPr>
      <w:spacing w:after="100"/>
      <w:ind w:left="1600"/>
    </w:pPr>
  </w:style>
  <w:style w:type="numbering" w:customStyle="1" w:styleId="HeadingsNumbered">
    <w:name w:val="Headings Numbered"/>
    <w:uiPriority w:val="99"/>
    <w:rsid w:val="00574455"/>
    <w:pPr>
      <w:numPr>
        <w:numId w:val="12"/>
      </w:numPr>
    </w:pPr>
  </w:style>
  <w:style w:type="numbering" w:customStyle="1" w:styleId="BulletsNumbered">
    <w:name w:val="Bullets Numbered"/>
    <w:uiPriority w:val="99"/>
    <w:rsid w:val="00574455"/>
    <w:pPr>
      <w:numPr>
        <w:numId w:val="9"/>
      </w:numPr>
    </w:pPr>
  </w:style>
  <w:style w:type="numbering" w:customStyle="1" w:styleId="Bullets">
    <w:name w:val="Bullets"/>
    <w:uiPriority w:val="99"/>
    <w:rsid w:val="00574455"/>
    <w:pPr>
      <w:numPr>
        <w:numId w:val="6"/>
      </w:numPr>
    </w:pPr>
  </w:style>
  <w:style w:type="paragraph" w:customStyle="1" w:styleId="Tableheadingcentred">
    <w:name w:val="Table heading centred"/>
    <w:basedOn w:val="Tableheadingleft"/>
    <w:qFormat/>
    <w:rsid w:val="00574455"/>
    <w:pPr>
      <w:jc w:val="center"/>
    </w:pPr>
  </w:style>
  <w:style w:type="paragraph" w:customStyle="1" w:styleId="Tableheadingright">
    <w:name w:val="Table heading right"/>
    <w:basedOn w:val="Tableheadingcentred"/>
    <w:qFormat/>
    <w:rsid w:val="00574455"/>
    <w:pPr>
      <w:jc w:val="right"/>
    </w:pPr>
  </w:style>
  <w:style w:type="paragraph" w:customStyle="1" w:styleId="Tabletextcentred">
    <w:name w:val="Table text centred"/>
    <w:basedOn w:val="Tabletextleft"/>
    <w:link w:val="TabletextcentredChar"/>
    <w:qFormat/>
    <w:rsid w:val="00574455"/>
    <w:pPr>
      <w:jc w:val="center"/>
    </w:pPr>
  </w:style>
  <w:style w:type="paragraph" w:customStyle="1" w:styleId="Tabletextright">
    <w:name w:val="Table text right"/>
    <w:basedOn w:val="Tabletextcentred"/>
    <w:qFormat/>
    <w:rsid w:val="00574455"/>
    <w:pPr>
      <w:jc w:val="right"/>
    </w:pPr>
  </w:style>
  <w:style w:type="character" w:customStyle="1" w:styleId="Subscriptitalic">
    <w:name w:val="Subscript italic"/>
    <w:basedOn w:val="Subscript"/>
    <w:qFormat/>
    <w:rsid w:val="00574455"/>
    <w:rPr>
      <w:i/>
      <w:iCs/>
      <w:position w:val="-2"/>
      <w:vertAlign w:val="subscript"/>
    </w:rPr>
  </w:style>
  <w:style w:type="character" w:customStyle="1" w:styleId="SuperscriptItalic">
    <w:name w:val="Superscript Italic"/>
    <w:basedOn w:val="Superscript"/>
    <w:qFormat/>
    <w:rsid w:val="00574455"/>
    <w:rPr>
      <w:i/>
      <w:iCs/>
      <w:position w:val="0"/>
      <w:vertAlign w:val="superscript"/>
    </w:rPr>
  </w:style>
  <w:style w:type="numbering" w:customStyle="1" w:styleId="Bulletnew">
    <w:name w:val="Bullet new"/>
    <w:basedOn w:val="Bullets"/>
    <w:uiPriority w:val="99"/>
    <w:rsid w:val="00574455"/>
    <w:pPr>
      <w:numPr>
        <w:numId w:val="7"/>
      </w:numPr>
    </w:pPr>
  </w:style>
  <w:style w:type="table" w:customStyle="1" w:styleId="TableGANoHeader">
    <w:name w:val="Table GA No Header"/>
    <w:basedOn w:val="TableGAHeaderRow"/>
    <w:uiPriority w:val="99"/>
    <w:rsid w:val="00574455"/>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qFormat/>
    <w:rsid w:val="00574455"/>
    <w:pPr>
      <w:jc w:val="center"/>
    </w:pPr>
  </w:style>
  <w:style w:type="paragraph" w:customStyle="1" w:styleId="Authors">
    <w:name w:val="Authors"/>
    <w:basedOn w:val="BodyText"/>
    <w:next w:val="Figuresandimagesleft"/>
    <w:qFormat/>
    <w:rsid w:val="00574455"/>
    <w:pPr>
      <w:spacing w:after="2280"/>
    </w:pPr>
  </w:style>
  <w:style w:type="table" w:styleId="MediumShading1">
    <w:name w:val="Medium Shading 1"/>
    <w:basedOn w:val="TableNormal"/>
    <w:uiPriority w:val="63"/>
    <w:locked/>
    <w:rsid w:val="0057445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574455"/>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574455"/>
    <w:pPr>
      <w:spacing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574455"/>
    <w:pPr>
      <w:tabs>
        <w:tab w:val="clear" w:pos="9072"/>
        <w:tab w:val="right" w:pos="14005"/>
      </w:tabs>
    </w:pPr>
  </w:style>
  <w:style w:type="table" w:customStyle="1" w:styleId="TableGAHeaderColumn">
    <w:name w:val="Table GA Header Column"/>
    <w:basedOn w:val="TableGAHeaderRowColumn"/>
    <w:uiPriority w:val="99"/>
    <w:rsid w:val="0057445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74455"/>
    <w:pPr>
      <w:pageBreakBefore/>
      <w:spacing w:after="60" w:line="240" w:lineRule="atLeast"/>
    </w:pPr>
    <w:rPr>
      <w:rFonts w:cs="Arial"/>
      <w:b/>
      <w:kern w:val="28"/>
    </w:rPr>
  </w:style>
  <w:style w:type="paragraph" w:customStyle="1" w:styleId="BodyTextSymbolItalic">
    <w:name w:val="Body Text Symbol Italic"/>
    <w:next w:val="BodyText"/>
    <w:link w:val="BodyTextSymbolItalicChar"/>
    <w:qFormat/>
    <w:rsid w:val="00195F5B"/>
    <w:rPr>
      <w:rFonts w:ascii="Symbol" w:hAnsi="Symbol" w:cs="Arial"/>
      <w:i/>
      <w:kern w:val="28"/>
    </w:rPr>
  </w:style>
  <w:style w:type="character" w:customStyle="1" w:styleId="Italic">
    <w:name w:val="Italic"/>
    <w:basedOn w:val="DefaultParagraphFont"/>
    <w:qFormat/>
    <w:rsid w:val="00574455"/>
    <w:rPr>
      <w:i/>
    </w:rPr>
  </w:style>
  <w:style w:type="character" w:customStyle="1" w:styleId="ReferencesItalic">
    <w:name w:val="References Italic"/>
    <w:basedOn w:val="DefaultParagraphFont"/>
    <w:qFormat/>
    <w:rsid w:val="00574455"/>
    <w:rPr>
      <w:i/>
    </w:rPr>
  </w:style>
  <w:style w:type="paragraph" w:customStyle="1" w:styleId="StyleHeading4numberedNotBoldNotItalic">
    <w:name w:val="Style Heading 4 numbered + Not Bold Not Italic"/>
    <w:basedOn w:val="Head4nonumbers"/>
    <w:semiHidden/>
    <w:locked/>
    <w:rsid w:val="00277007"/>
    <w:rPr>
      <w:b w:val="0"/>
    </w:rPr>
  </w:style>
  <w:style w:type="numbering" w:customStyle="1" w:styleId="BulletsGA">
    <w:name w:val="Bullets GA"/>
    <w:basedOn w:val="NoList"/>
    <w:uiPriority w:val="99"/>
    <w:rsid w:val="00574455"/>
    <w:pPr>
      <w:numPr>
        <w:numId w:val="8"/>
      </w:numPr>
    </w:pPr>
  </w:style>
  <w:style w:type="paragraph" w:customStyle="1" w:styleId="FooterlandscapeA3">
    <w:name w:val="Footer landscape A3"/>
    <w:basedOn w:val="Footerlandscape"/>
    <w:qFormat/>
    <w:rsid w:val="00574455"/>
    <w:pPr>
      <w:tabs>
        <w:tab w:val="clear" w:pos="14005"/>
        <w:tab w:val="right" w:pos="20979"/>
      </w:tabs>
    </w:pPr>
  </w:style>
  <w:style w:type="paragraph" w:customStyle="1" w:styleId="Tablenotes">
    <w:name w:val="Table notes"/>
    <w:basedOn w:val="BodyText"/>
    <w:qFormat/>
    <w:rsid w:val="00574455"/>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574455"/>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574455"/>
    <w:pPr>
      <w:pageBreakBefore w:val="0"/>
      <w:numPr>
        <w:ilvl w:val="1"/>
        <w:numId w:val="11"/>
      </w:numPr>
      <w:spacing w:before="480" w:after="180"/>
      <w:outlineLvl w:val="1"/>
    </w:pPr>
    <w:rPr>
      <w:sz w:val="30"/>
      <w:szCs w:val="30"/>
    </w:rPr>
  </w:style>
  <w:style w:type="paragraph" w:customStyle="1" w:styleId="Headingappendix3">
    <w:name w:val="Heading appendix 3"/>
    <w:basedOn w:val="Headingappendix2"/>
    <w:next w:val="BodyText"/>
    <w:qFormat/>
    <w:rsid w:val="00574455"/>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57445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574455"/>
    <w:pPr>
      <w:numPr>
        <w:ilvl w:val="4"/>
      </w:numPr>
      <w:outlineLvl w:val="4"/>
    </w:pPr>
    <w:rPr>
      <w:b w:val="0"/>
      <w:bCs w:val="0"/>
    </w:rPr>
  </w:style>
  <w:style w:type="paragraph" w:customStyle="1" w:styleId="Equation">
    <w:name w:val="Equation"/>
    <w:basedOn w:val="BodyText"/>
    <w:next w:val="BodyText"/>
    <w:uiPriority w:val="7"/>
    <w:qFormat/>
    <w:rsid w:val="00574455"/>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Normal"/>
    <w:rsid w:val="00574455"/>
    <w:pPr>
      <w:spacing w:before="240" w:after="0"/>
    </w:pPr>
    <w:rPr>
      <w:b/>
      <w:kern w:val="28"/>
    </w:rPr>
  </w:style>
  <w:style w:type="character" w:styleId="BookTitle">
    <w:name w:val="Book Title"/>
    <w:aliases w:val="BT-DO NOT USE"/>
    <w:uiPriority w:val="33"/>
    <w:semiHidden/>
    <w:locked/>
    <w:rsid w:val="00574455"/>
  </w:style>
  <w:style w:type="character" w:styleId="CommentReference">
    <w:name w:val="annotation reference"/>
    <w:aliases w:val="CR-DO NOT USE"/>
    <w:semiHidden/>
    <w:locked/>
    <w:rsid w:val="00574455"/>
  </w:style>
  <w:style w:type="character" w:customStyle="1" w:styleId="HeaderChar">
    <w:name w:val="Header Char"/>
    <w:basedOn w:val="DefaultParagraphFont"/>
    <w:link w:val="Header"/>
    <w:rsid w:val="0025475F"/>
    <w:rPr>
      <w:rFonts w:ascii="Arial Bold" w:hAnsi="Arial Bold" w:cs="Arial"/>
      <w:b/>
      <w:sz w:val="16"/>
      <w:szCs w:val="16"/>
    </w:rPr>
  </w:style>
  <w:style w:type="paragraph" w:styleId="BodyTextIndent3">
    <w:name w:val="Body Text Indent 3"/>
    <w:aliases w:val="B3-DO NOT USE"/>
    <w:next w:val="BodyText"/>
    <w:link w:val="BodyTextIndent3Char"/>
    <w:semiHidden/>
    <w:locked/>
    <w:rsid w:val="00574455"/>
    <w:rPr>
      <w:rFonts w:cs="Arial"/>
    </w:rPr>
  </w:style>
  <w:style w:type="character" w:customStyle="1" w:styleId="BodyTextIndent3Char">
    <w:name w:val="Body Text Indent 3 Char"/>
    <w:aliases w:val="B3-DO NOT USE Char"/>
    <w:basedOn w:val="DefaultParagraphFont"/>
    <w:link w:val="BodyTextIndent3"/>
    <w:semiHidden/>
    <w:rsid w:val="00574455"/>
    <w:rPr>
      <w:rFonts w:cs="Arial"/>
    </w:rPr>
  </w:style>
  <w:style w:type="paragraph" w:styleId="BodyText3">
    <w:name w:val="Body Text 3"/>
    <w:aliases w:val="BT3-DO NOT USE"/>
    <w:next w:val="BodyText"/>
    <w:link w:val="BodyText3Char"/>
    <w:semiHidden/>
    <w:locked/>
    <w:rsid w:val="00574455"/>
    <w:rPr>
      <w:rFonts w:cs="Arial"/>
    </w:rPr>
  </w:style>
  <w:style w:type="character" w:customStyle="1" w:styleId="BodyText3Char">
    <w:name w:val="Body Text 3 Char"/>
    <w:aliases w:val="BT3-DO NOT USE Char"/>
    <w:basedOn w:val="DefaultParagraphFont"/>
    <w:link w:val="BodyText3"/>
    <w:semiHidden/>
    <w:rsid w:val="00574455"/>
    <w:rPr>
      <w:rFonts w:cs="Arial"/>
    </w:rPr>
  </w:style>
  <w:style w:type="character" w:styleId="SubtleReference">
    <w:name w:val="Subtle Reference"/>
    <w:aliases w:val="SR-DO NOT USE"/>
    <w:uiPriority w:val="31"/>
    <w:semiHidden/>
    <w:locked/>
    <w:rsid w:val="00574455"/>
  </w:style>
  <w:style w:type="character" w:styleId="SubtleEmphasis">
    <w:name w:val="Subtle Emphasis"/>
    <w:aliases w:val="SE-DO NOT USE"/>
    <w:uiPriority w:val="19"/>
    <w:semiHidden/>
    <w:locked/>
    <w:rsid w:val="00574455"/>
  </w:style>
  <w:style w:type="character" w:styleId="PlaceholderText">
    <w:name w:val="Placeholder Text"/>
    <w:aliases w:val="Pl-DO NOT USE"/>
    <w:uiPriority w:val="99"/>
    <w:semiHidden/>
    <w:locked/>
    <w:rsid w:val="00574455"/>
  </w:style>
  <w:style w:type="character" w:styleId="IntenseReference">
    <w:name w:val="Intense Reference"/>
    <w:aliases w:val="IR-DO NOT USE"/>
    <w:uiPriority w:val="32"/>
    <w:semiHidden/>
    <w:qFormat/>
    <w:locked/>
    <w:rsid w:val="00574455"/>
  </w:style>
  <w:style w:type="character" w:styleId="IntenseEmphasis">
    <w:name w:val="Intense Emphasis"/>
    <w:aliases w:val="IE-DO NOT USE"/>
    <w:uiPriority w:val="21"/>
    <w:semiHidden/>
    <w:qFormat/>
    <w:locked/>
    <w:rsid w:val="00574455"/>
  </w:style>
  <w:style w:type="character" w:styleId="EndnoteReference">
    <w:name w:val="endnote reference"/>
    <w:aliases w:val="ERe-DO NOT USE"/>
    <w:semiHidden/>
    <w:locked/>
    <w:rsid w:val="00574455"/>
  </w:style>
  <w:style w:type="paragraph" w:styleId="BodyTextIndent2">
    <w:name w:val="Body Text Indent 2"/>
    <w:aliases w:val="B2-DO NOT USE"/>
    <w:next w:val="BodyText"/>
    <w:link w:val="BodyTextIndent2Char"/>
    <w:semiHidden/>
    <w:locked/>
    <w:rsid w:val="00574455"/>
    <w:rPr>
      <w:rFonts w:cs="Arial"/>
    </w:rPr>
  </w:style>
  <w:style w:type="character" w:customStyle="1" w:styleId="BodyTextIndent2Char">
    <w:name w:val="Body Text Indent 2 Char"/>
    <w:aliases w:val="B2-DO NOT USE Char"/>
    <w:basedOn w:val="DefaultParagraphFont"/>
    <w:link w:val="BodyTextIndent2"/>
    <w:semiHidden/>
    <w:rsid w:val="00574455"/>
    <w:rPr>
      <w:rFonts w:cs="Arial"/>
    </w:rPr>
  </w:style>
  <w:style w:type="paragraph" w:styleId="BodyTextIndent">
    <w:name w:val="Body Text Indent"/>
    <w:aliases w:val="B1-DO NOT USE"/>
    <w:next w:val="BodyText"/>
    <w:link w:val="BodyTextIndentChar"/>
    <w:semiHidden/>
    <w:locked/>
    <w:rsid w:val="00574455"/>
    <w:rPr>
      <w:rFonts w:cs="Arial"/>
    </w:rPr>
  </w:style>
  <w:style w:type="character" w:customStyle="1" w:styleId="BodyTextIndentChar">
    <w:name w:val="Body Text Indent Char"/>
    <w:aliases w:val="B1-DO NOT USE Char"/>
    <w:basedOn w:val="DefaultParagraphFont"/>
    <w:link w:val="BodyTextIndent"/>
    <w:semiHidden/>
    <w:rsid w:val="00574455"/>
    <w:rPr>
      <w:rFonts w:cs="Arial"/>
    </w:rPr>
  </w:style>
  <w:style w:type="paragraph" w:styleId="BodyTextFirstIndent2">
    <w:name w:val="Body Text First Indent 2"/>
    <w:aliases w:val="Bi2-DO NOT USE"/>
    <w:next w:val="BodyText"/>
    <w:link w:val="BodyTextFirstIndent2Char"/>
    <w:semiHidden/>
    <w:locked/>
    <w:rsid w:val="00574455"/>
    <w:rPr>
      <w:rFonts w:cs="Arial"/>
    </w:rPr>
  </w:style>
  <w:style w:type="character" w:customStyle="1" w:styleId="BodyTextFirstIndent2Char">
    <w:name w:val="Body Text First Indent 2 Char"/>
    <w:aliases w:val="Bi2-DO NOT USE Char"/>
    <w:basedOn w:val="BodyTextIndentChar"/>
    <w:link w:val="BodyTextFirstIndent2"/>
    <w:semiHidden/>
    <w:rsid w:val="00574455"/>
    <w:rPr>
      <w:rFonts w:cs="Arial"/>
    </w:rPr>
  </w:style>
  <w:style w:type="paragraph" w:styleId="BodyTextFirstIndent">
    <w:name w:val="Body Text First Indent"/>
    <w:aliases w:val="Bi-DO NOT USE"/>
    <w:next w:val="BodyText"/>
    <w:link w:val="BodyTextFirstIndentChar"/>
    <w:semiHidden/>
    <w:locked/>
    <w:rsid w:val="00574455"/>
    <w:rPr>
      <w:rFonts w:cs="Arial"/>
    </w:rPr>
  </w:style>
  <w:style w:type="character" w:customStyle="1" w:styleId="BodyTextFirstIndentChar">
    <w:name w:val="Body Text First Indent Char"/>
    <w:aliases w:val="Bi-DO NOT USE Char"/>
    <w:basedOn w:val="BodyTextChar"/>
    <w:link w:val="BodyTextFirstIndent"/>
    <w:semiHidden/>
    <w:rsid w:val="00574455"/>
    <w:rPr>
      <w:rFonts w:cs="Arial"/>
    </w:rPr>
  </w:style>
  <w:style w:type="paragraph" w:styleId="BodyText2">
    <w:name w:val="Body Text 2"/>
    <w:aliases w:val="BT2-DO NOT USE"/>
    <w:next w:val="BodyText"/>
    <w:link w:val="BodyText2Char"/>
    <w:semiHidden/>
    <w:locked/>
    <w:rsid w:val="00574455"/>
    <w:rPr>
      <w:rFonts w:cs="Arial"/>
    </w:rPr>
  </w:style>
  <w:style w:type="character" w:customStyle="1" w:styleId="BodyText2Char">
    <w:name w:val="Body Text 2 Char"/>
    <w:aliases w:val="BT2-DO NOT USE Char"/>
    <w:basedOn w:val="DefaultParagraphFont"/>
    <w:link w:val="BodyText2"/>
    <w:semiHidden/>
    <w:rsid w:val="00574455"/>
    <w:rPr>
      <w:rFonts w:cs="Arial"/>
    </w:rPr>
  </w:style>
  <w:style w:type="character" w:styleId="FootnoteReference">
    <w:name w:val="footnote reference"/>
    <w:basedOn w:val="DefaultParagraphFont"/>
    <w:semiHidden/>
    <w:locked/>
    <w:rsid w:val="00574455"/>
    <w:rPr>
      <w:vertAlign w:val="superscript"/>
    </w:rPr>
  </w:style>
  <w:style w:type="table" w:customStyle="1" w:styleId="TableStyleGAHeaderColumn">
    <w:name w:val="Table Style GA Header Column"/>
    <w:basedOn w:val="TableNormal"/>
    <w:uiPriority w:val="99"/>
    <w:rsid w:val="006A5A7F"/>
    <w:pPr>
      <w:spacing w:before="0" w:after="0"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Bibliographicref">
    <w:name w:val="Bibliographic ref"/>
    <w:basedOn w:val="BodyText"/>
    <w:next w:val="BodyText"/>
    <w:link w:val="BibliographicrefChar"/>
    <w:qFormat/>
    <w:rsid w:val="006A5A7F"/>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paragraph" w:customStyle="1" w:styleId="Heading1numbered">
    <w:name w:val="Heading 1 numbered"/>
    <w:next w:val="BodyText"/>
    <w:link w:val="Heading1numberedChar"/>
    <w:qFormat/>
    <w:rsid w:val="006A5A7F"/>
    <w:pPr>
      <w:keepNext/>
      <w:keepLines/>
      <w:pageBreakBefore/>
      <w:numPr>
        <w:numId w:val="24"/>
      </w:numPr>
      <w:spacing w:before="0" w:after="1080" w:line="240" w:lineRule="auto"/>
    </w:pPr>
    <w:rPr>
      <w:rFonts w:cs="Arial"/>
      <w:kern w:val="28"/>
      <w:sz w:val="40"/>
    </w:rPr>
  </w:style>
  <w:style w:type="paragraph" w:customStyle="1" w:styleId="FiguresandImagesLeft0">
    <w:name w:val="Figures and Images Left"/>
    <w:basedOn w:val="BodyText"/>
    <w:next w:val="Captions"/>
    <w:link w:val="FiguresandImagesLeftChar0"/>
    <w:qFormat/>
    <w:rsid w:val="006A5A7F"/>
    <w:pPr>
      <w:keepNext/>
      <w:spacing w:before="480" w:after="80" w:line="160" w:lineRule="atLeast"/>
    </w:pPr>
  </w:style>
  <w:style w:type="character" w:customStyle="1" w:styleId="FiguresandImagesLeftChar0">
    <w:name w:val="Figures and Images Left Char"/>
    <w:link w:val="FiguresandImagesLeft0"/>
    <w:rsid w:val="006A5A7F"/>
    <w:rPr>
      <w:rFonts w:cs="Arial"/>
    </w:rPr>
  </w:style>
  <w:style w:type="character" w:customStyle="1" w:styleId="BibliographicrefChar">
    <w:name w:val="Bibliographic ref Char"/>
    <w:link w:val="Bibliographicref"/>
    <w:rsid w:val="006A5A7F"/>
    <w:rPr>
      <w:rFonts w:eastAsia="Times New Roman" w:cs="Arial"/>
    </w:rPr>
  </w:style>
  <w:style w:type="character" w:customStyle="1" w:styleId="Heading1numberedChar">
    <w:name w:val="Heading 1 numbered Char"/>
    <w:link w:val="Heading1numbered"/>
    <w:rsid w:val="006A5A7F"/>
    <w:rPr>
      <w:rFonts w:cs="Arial"/>
      <w:kern w:val="28"/>
      <w:sz w:val="40"/>
    </w:rPr>
  </w:style>
  <w:style w:type="paragraph" w:customStyle="1" w:styleId="Heading2numbered">
    <w:name w:val="Heading 2 numbered"/>
    <w:basedOn w:val="Heading1numbered"/>
    <w:next w:val="BodyText"/>
    <w:link w:val="Heading2numberedChar"/>
    <w:qFormat/>
    <w:rsid w:val="006A5A7F"/>
    <w:pPr>
      <w:pageBreakBefore w:val="0"/>
      <w:numPr>
        <w:ilvl w:val="1"/>
      </w:numPr>
      <w:spacing w:before="480" w:after="180"/>
    </w:pPr>
    <w:rPr>
      <w:sz w:val="30"/>
      <w:szCs w:val="28"/>
    </w:rPr>
  </w:style>
  <w:style w:type="paragraph" w:customStyle="1" w:styleId="Heading3numbered">
    <w:name w:val="Heading 3 numbered"/>
    <w:basedOn w:val="Heading2numbered"/>
    <w:next w:val="BodyText"/>
    <w:link w:val="Heading3numberedChar"/>
    <w:qFormat/>
    <w:rsid w:val="006A5A7F"/>
    <w:pPr>
      <w:numPr>
        <w:ilvl w:val="2"/>
      </w:numPr>
    </w:pPr>
    <w:rPr>
      <w:rFonts w:cs="Lucida Sans Unicode"/>
      <w:b/>
      <w:sz w:val="24"/>
      <w:szCs w:val="24"/>
    </w:rPr>
  </w:style>
  <w:style w:type="paragraph" w:customStyle="1" w:styleId="Heading4numbered">
    <w:name w:val="Heading 4 numbered"/>
    <w:basedOn w:val="Heading3numbered"/>
    <w:next w:val="BodyText"/>
    <w:link w:val="Heading4numberedChar"/>
    <w:qFormat/>
    <w:rsid w:val="006A5A7F"/>
    <w:pPr>
      <w:numPr>
        <w:ilvl w:val="3"/>
      </w:numPr>
      <w:spacing w:before="360"/>
    </w:pPr>
    <w:rPr>
      <w:i/>
      <w:sz w:val="22"/>
      <w:szCs w:val="22"/>
    </w:rPr>
  </w:style>
  <w:style w:type="paragraph" w:customStyle="1" w:styleId="Heading5numbered">
    <w:name w:val="Heading 5 numbered"/>
    <w:basedOn w:val="Heading4numbered"/>
    <w:next w:val="BodyText"/>
    <w:rsid w:val="006A5A7F"/>
    <w:pPr>
      <w:numPr>
        <w:ilvl w:val="4"/>
      </w:numPr>
      <w:tabs>
        <w:tab w:val="num" w:pos="3600"/>
      </w:tabs>
      <w:ind w:left="3600" w:hanging="360"/>
    </w:pPr>
    <w:rPr>
      <w:b w:val="0"/>
    </w:rPr>
  </w:style>
  <w:style w:type="character" w:customStyle="1" w:styleId="Heading2numberedChar">
    <w:name w:val="Heading 2 numbered Char"/>
    <w:link w:val="Heading2numbered"/>
    <w:rsid w:val="006A5A7F"/>
    <w:rPr>
      <w:rFonts w:cs="Arial"/>
      <w:kern w:val="28"/>
      <w:sz w:val="30"/>
      <w:szCs w:val="28"/>
    </w:rPr>
  </w:style>
  <w:style w:type="character" w:customStyle="1" w:styleId="Heading3numberedChar">
    <w:name w:val="Heading 3 numbered Char"/>
    <w:link w:val="Heading3numbered"/>
    <w:rsid w:val="006A5A7F"/>
    <w:rPr>
      <w:rFonts w:cs="Lucida Sans Unicode"/>
      <w:b/>
      <w:kern w:val="28"/>
      <w:sz w:val="24"/>
      <w:szCs w:val="24"/>
    </w:rPr>
  </w:style>
  <w:style w:type="character" w:customStyle="1" w:styleId="Heading4numberedChar">
    <w:name w:val="Heading 4 numbered Char"/>
    <w:link w:val="Heading4numbered"/>
    <w:rsid w:val="006A5A7F"/>
    <w:rPr>
      <w:rFonts w:cs="Lucida Sans Unicode"/>
      <w:b/>
      <w:i/>
      <w:kern w:val="28"/>
      <w:sz w:val="22"/>
      <w:szCs w:val="22"/>
    </w:rPr>
  </w:style>
  <w:style w:type="paragraph" w:customStyle="1" w:styleId="Versopagebold">
    <w:name w:val="Verso page bold"/>
    <w:basedOn w:val="BodyText"/>
    <w:next w:val="Versopageinfo"/>
    <w:rsid w:val="006A5A7F"/>
    <w:pPr>
      <w:spacing w:before="360" w:after="60"/>
    </w:pPr>
    <w:rPr>
      <w:b/>
      <w:kern w:val="28"/>
    </w:rPr>
  </w:style>
  <w:style w:type="table" w:customStyle="1" w:styleId="TableStyleGAHeaderRow">
    <w:name w:val="Table Style GA Header Row"/>
    <w:basedOn w:val="TableNormal"/>
    <w:rsid w:val="006A5A7F"/>
    <w:pPr>
      <w:spacing w:before="0" w:after="0"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styleId="TableofAuthorities">
    <w:name w:val="table of authorities"/>
    <w:basedOn w:val="Normal"/>
    <w:next w:val="Normal"/>
    <w:semiHidden/>
    <w:locked/>
    <w:rsid w:val="006A5A7F"/>
    <w:pPr>
      <w:spacing w:before="0" w:after="0"/>
      <w:ind w:left="200" w:hanging="200"/>
    </w:pPr>
    <w:rPr>
      <w:rFonts w:cs="Times New Roman"/>
    </w:rPr>
  </w:style>
  <w:style w:type="table" w:customStyle="1" w:styleId="TableStyleGANoHeaders">
    <w:name w:val="Table Style GA No Headers"/>
    <w:basedOn w:val="TableStyleGAHeaderRow"/>
    <w:uiPriority w:val="99"/>
    <w:rsid w:val="006A5A7F"/>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0">
    <w:name w:val="Figures and Images centred"/>
    <w:basedOn w:val="FiguresandImagesLeft0"/>
    <w:qFormat/>
    <w:rsid w:val="006A5A7F"/>
    <w:pPr>
      <w:jc w:val="center"/>
    </w:pPr>
  </w:style>
  <w:style w:type="table" w:customStyle="1" w:styleId="TableStyleGAHeaderRowColumn">
    <w:name w:val="Table Style GA Header Row &amp; Column"/>
    <w:basedOn w:val="TableNormal"/>
    <w:uiPriority w:val="99"/>
    <w:rsid w:val="006A5A7F"/>
    <w:pPr>
      <w:spacing w:before="0" w:after="0"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paragraph" w:customStyle="1" w:styleId="Title1">
    <w:name w:val="Title1"/>
    <w:rsid w:val="006A5A7F"/>
    <w:pPr>
      <w:keepNext/>
      <w:spacing w:before="0" w:after="0" w:line="240" w:lineRule="auto"/>
    </w:pPr>
    <w:rPr>
      <w:rFonts w:ascii="Helvetica" w:eastAsia="Arial Unicode MS" w:hAnsi="Helvetica"/>
      <w:b/>
      <w:color w:val="000000"/>
      <w:sz w:val="72"/>
    </w:rPr>
  </w:style>
  <w:style w:type="numbering" w:customStyle="1" w:styleId="StyleNumberedOutlinenumberedHelvetica12ptBlackHanging">
    <w:name w:val="Style Numbered + Outline numbered Helvetica 12 pt Black Hanging..."/>
    <w:basedOn w:val="NoList"/>
    <w:rsid w:val="006A5A7F"/>
    <w:pPr>
      <w:numPr>
        <w:numId w:val="25"/>
      </w:numPr>
    </w:pPr>
  </w:style>
  <w:style w:type="table" w:styleId="MediumShading2-Accent1">
    <w:name w:val="Medium Shading 2 Accent 1"/>
    <w:basedOn w:val="TableNormal"/>
    <w:uiPriority w:val="64"/>
    <w:locked/>
    <w:rsid w:val="006A5A7F"/>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locked/>
    <w:rsid w:val="006A5A7F"/>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locked/>
    <w:rsid w:val="006A5A7F"/>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uiPriority w:val="65"/>
    <w:locked/>
    <w:rsid w:val="006A5A7F"/>
    <w:pPr>
      <w:spacing w:before="0"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locked/>
    <w:rsid w:val="00DA38AD"/>
    <w:pPr>
      <w:spacing w:before="0"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BodyTextBold">
    <w:name w:val="Body Text Bold"/>
    <w:next w:val="BodyText"/>
    <w:link w:val="BodyTextBoldChar"/>
    <w:qFormat/>
    <w:rsid w:val="00195F5B"/>
    <w:rPr>
      <w:rFonts w:cs="Arial"/>
      <w:b/>
    </w:rPr>
  </w:style>
  <w:style w:type="paragraph" w:customStyle="1" w:styleId="Tabletextcentredbolditalic">
    <w:name w:val="Table text centred bold italic"/>
    <w:basedOn w:val="Tabletextcentred"/>
    <w:next w:val="Tabletextcentred"/>
    <w:link w:val="TabletextcentredbolditalicChar"/>
    <w:qFormat/>
    <w:rsid w:val="00195F5B"/>
    <w:rPr>
      <w:rFonts w:eastAsia="Arial Unicode MS"/>
      <w:b/>
      <w:i/>
    </w:rPr>
  </w:style>
  <w:style w:type="character" w:customStyle="1" w:styleId="BodyTextBoldChar">
    <w:name w:val="Body Text Bold Char"/>
    <w:basedOn w:val="DefaultParagraphFont"/>
    <w:link w:val="BodyTextBold"/>
    <w:rsid w:val="00195F5B"/>
    <w:rPr>
      <w:rFonts w:cs="Arial"/>
      <w:b/>
    </w:rPr>
  </w:style>
  <w:style w:type="character" w:customStyle="1" w:styleId="BodyTextSymbolItalicChar">
    <w:name w:val="Body Text Symbol Italic Char"/>
    <w:basedOn w:val="DefaultParagraphFont"/>
    <w:link w:val="BodyTextSymbolItalic"/>
    <w:rsid w:val="00195F5B"/>
    <w:rPr>
      <w:rFonts w:ascii="Symbol" w:hAnsi="Symbol" w:cs="Arial"/>
      <w:i/>
      <w:kern w:val="28"/>
    </w:rPr>
  </w:style>
  <w:style w:type="paragraph" w:customStyle="1" w:styleId="Tabletextcentreditalic">
    <w:name w:val="Table text centred italic"/>
    <w:next w:val="Tabletextcentred"/>
    <w:link w:val="TabletextcentreditalicChar"/>
    <w:qFormat/>
    <w:rsid w:val="00036022"/>
    <w:pPr>
      <w:jc w:val="center"/>
    </w:pPr>
    <w:rPr>
      <w:rFonts w:eastAsia="Arial Unicode MS" w:cs="Arial"/>
      <w:i/>
      <w:sz w:val="18"/>
    </w:rPr>
  </w:style>
  <w:style w:type="character" w:customStyle="1" w:styleId="TabletextleftChar">
    <w:name w:val="Table text left Char"/>
    <w:basedOn w:val="DefaultParagraphFont"/>
    <w:link w:val="Tabletextleft"/>
    <w:rsid w:val="00195F5B"/>
    <w:rPr>
      <w:rFonts w:eastAsia="Times New Roman" w:cs="Arial"/>
      <w:sz w:val="18"/>
    </w:rPr>
  </w:style>
  <w:style w:type="character" w:customStyle="1" w:styleId="TabletextcentredChar">
    <w:name w:val="Table text centred Char"/>
    <w:basedOn w:val="TabletextleftChar"/>
    <w:link w:val="Tabletextcentred"/>
    <w:rsid w:val="00195F5B"/>
    <w:rPr>
      <w:rFonts w:eastAsia="Times New Roman" w:cs="Arial"/>
      <w:sz w:val="18"/>
    </w:rPr>
  </w:style>
  <w:style w:type="character" w:customStyle="1" w:styleId="TabletextcentredbolditalicChar">
    <w:name w:val="Table text centred bold italic Char"/>
    <w:basedOn w:val="TabletextcentredChar"/>
    <w:link w:val="Tabletextcentredbolditalic"/>
    <w:rsid w:val="00195F5B"/>
    <w:rPr>
      <w:rFonts w:eastAsia="Arial Unicode MS" w:cs="Arial"/>
      <w:b/>
      <w:i/>
      <w:sz w:val="18"/>
    </w:rPr>
  </w:style>
  <w:style w:type="paragraph" w:customStyle="1" w:styleId="Tabletextcentredbold">
    <w:name w:val="Table text centred bold"/>
    <w:next w:val="Tabletextcentred"/>
    <w:link w:val="TabletextcentredboldChar"/>
    <w:qFormat/>
    <w:rsid w:val="00036022"/>
    <w:pPr>
      <w:jc w:val="center"/>
    </w:pPr>
    <w:rPr>
      <w:rFonts w:eastAsia="Times New Roman" w:cs="Arial"/>
      <w:b/>
      <w:bCs/>
      <w:sz w:val="18"/>
    </w:rPr>
  </w:style>
  <w:style w:type="character" w:customStyle="1" w:styleId="TabletextcentreditalicChar">
    <w:name w:val="Table text centred italic Char"/>
    <w:basedOn w:val="DefaultParagraphFont"/>
    <w:link w:val="Tabletextcentreditalic"/>
    <w:rsid w:val="00036022"/>
    <w:rPr>
      <w:rFonts w:eastAsia="Arial Unicode MS" w:cs="Arial"/>
      <w:i/>
      <w:sz w:val="18"/>
    </w:rPr>
  </w:style>
  <w:style w:type="character" w:customStyle="1" w:styleId="TabletextcentredboldChar">
    <w:name w:val="Table text centred bold Char"/>
    <w:basedOn w:val="DefaultParagraphFont"/>
    <w:link w:val="Tabletextcentredbold"/>
    <w:rsid w:val="00036022"/>
    <w:rPr>
      <w:rFonts w:eastAsia="Times New Roman" w:cs="Arial"/>
      <w:b/>
      <w:bCs/>
      <w:sz w:val="18"/>
    </w:rPr>
  </w:style>
  <w:style w:type="paragraph" w:customStyle="1" w:styleId="FootnoteText1">
    <w:name w:val="Footnote Text1"/>
    <w:basedOn w:val="Notes"/>
    <w:link w:val="FootnotetextChar0"/>
    <w:qFormat/>
    <w:rsid w:val="006771CA"/>
    <w:pPr>
      <w:pBdr>
        <w:top w:val="none" w:sz="0" w:space="0" w:color="auto"/>
      </w:pBdr>
      <w:spacing w:before="60" w:after="60"/>
      <w:ind w:left="113" w:hanging="113"/>
    </w:pPr>
  </w:style>
  <w:style w:type="character" w:customStyle="1" w:styleId="NotesChar">
    <w:name w:val="Notes Char"/>
    <w:basedOn w:val="BodyTextChar"/>
    <w:link w:val="Notes"/>
    <w:rsid w:val="006771CA"/>
    <w:rPr>
      <w:rFonts w:eastAsia="Times New Roman" w:cs="Arial"/>
      <w:sz w:val="16"/>
    </w:rPr>
  </w:style>
  <w:style w:type="character" w:customStyle="1" w:styleId="FootnotetextChar0">
    <w:name w:val="Footnote text Char"/>
    <w:basedOn w:val="NotesChar"/>
    <w:link w:val="FootnoteText1"/>
    <w:rsid w:val="006771CA"/>
    <w:rPr>
      <w:rFonts w:eastAsia="Times New Roman" w:cs="Arial"/>
      <w:sz w:val="16"/>
    </w:rPr>
  </w:style>
  <w:style w:type="paragraph" w:customStyle="1" w:styleId="Bulletlevel1numberedsuperscript">
    <w:name w:val="Bullet level 1 numbered superscript"/>
    <w:basedOn w:val="Bulletlevel1numbered"/>
    <w:next w:val="Bulletlevel1numbered"/>
    <w:link w:val="Bulletlevel1numberedsuperscriptChar"/>
    <w:qFormat/>
    <w:rsid w:val="007C6CB4"/>
    <w:rPr>
      <w:vertAlign w:val="superscript"/>
    </w:rPr>
  </w:style>
  <w:style w:type="character" w:customStyle="1" w:styleId="Bulletlevel1numberedsuperscriptChar">
    <w:name w:val="Bullet level 1 numbered superscript Char"/>
    <w:basedOn w:val="Bulletlevel1numberedChar"/>
    <w:link w:val="Bulletlevel1numberedsuperscript"/>
    <w:rsid w:val="007C6CB4"/>
    <w:rPr>
      <w:rFonts w:eastAsia="Times New Roman" w:cs="Arial"/>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qFormat="1"/>
    <w:lsdException w:name="toc 5" w:locked="0"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25475F"/>
    <w:rPr>
      <w:rFonts w:cs="Arial"/>
    </w:rPr>
  </w:style>
  <w:style w:type="paragraph" w:styleId="Heading1">
    <w:name w:val="heading 1"/>
    <w:next w:val="BodyText"/>
    <w:link w:val="Heading1Char"/>
    <w:qFormat/>
    <w:rsid w:val="00574455"/>
    <w:pPr>
      <w:keepNext/>
      <w:keepLines/>
      <w:pageBreakBefore/>
      <w:numPr>
        <w:numId w:val="10"/>
      </w:numPr>
      <w:spacing w:after="1080" w:line="240" w:lineRule="auto"/>
      <w:outlineLvl w:val="0"/>
    </w:pPr>
    <w:rPr>
      <w:rFonts w:cs="Arial"/>
      <w:kern w:val="28"/>
      <w:sz w:val="40"/>
    </w:rPr>
  </w:style>
  <w:style w:type="paragraph" w:styleId="Heading2">
    <w:name w:val="heading 2"/>
    <w:basedOn w:val="Heading1"/>
    <w:next w:val="BodyText"/>
    <w:link w:val="Heading2Char"/>
    <w:qFormat/>
    <w:rsid w:val="00574455"/>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574455"/>
    <w:pPr>
      <w:numPr>
        <w:ilvl w:val="2"/>
      </w:numPr>
      <w:outlineLvl w:val="2"/>
    </w:pPr>
    <w:rPr>
      <w:b/>
      <w:sz w:val="24"/>
    </w:rPr>
  </w:style>
  <w:style w:type="paragraph" w:styleId="Heading4">
    <w:name w:val="heading 4"/>
    <w:basedOn w:val="Heading3"/>
    <w:next w:val="BodyText"/>
    <w:link w:val="Heading4Char"/>
    <w:qFormat/>
    <w:rsid w:val="00574455"/>
    <w:pPr>
      <w:numPr>
        <w:ilvl w:val="3"/>
      </w:numPr>
      <w:spacing w:before="180"/>
      <w:outlineLvl w:val="3"/>
    </w:pPr>
    <w:rPr>
      <w:i/>
      <w:sz w:val="22"/>
    </w:rPr>
  </w:style>
  <w:style w:type="paragraph" w:styleId="Heading5">
    <w:name w:val="heading 5"/>
    <w:basedOn w:val="Heading4"/>
    <w:next w:val="BodyText"/>
    <w:qFormat/>
    <w:rsid w:val="00574455"/>
    <w:pPr>
      <w:numPr>
        <w:ilvl w:val="4"/>
      </w:numPr>
      <w:outlineLvl w:val="4"/>
    </w:pPr>
    <w:rPr>
      <w:b w:val="0"/>
    </w:rPr>
  </w:style>
  <w:style w:type="paragraph" w:styleId="Heading6">
    <w:name w:val="heading 6"/>
    <w:basedOn w:val="Heading5"/>
    <w:next w:val="BodyText"/>
    <w:link w:val="Heading6Char"/>
    <w:qFormat/>
    <w:locked/>
    <w:rsid w:val="00574455"/>
    <w:pPr>
      <w:numPr>
        <w:ilvl w:val="5"/>
      </w:numPr>
      <w:spacing w:before="240"/>
      <w:outlineLvl w:val="5"/>
    </w:pPr>
    <w:rPr>
      <w:b/>
      <w:i w:val="0"/>
      <w:sz w:val="20"/>
    </w:rPr>
  </w:style>
  <w:style w:type="paragraph" w:styleId="Heading7">
    <w:name w:val="heading 7"/>
    <w:basedOn w:val="Heading6"/>
    <w:next w:val="BodyText"/>
    <w:qFormat/>
    <w:locked/>
    <w:rsid w:val="00574455"/>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locked/>
    <w:rsid w:val="00574455"/>
    <w:pPr>
      <w:numPr>
        <w:ilvl w:val="7"/>
      </w:numPr>
      <w:outlineLvl w:val="7"/>
    </w:pPr>
    <w:rPr>
      <w:i w:val="0"/>
    </w:rPr>
  </w:style>
  <w:style w:type="paragraph" w:styleId="Heading9">
    <w:name w:val="heading 9"/>
    <w:aliases w:val="Heading appendix 1"/>
    <w:basedOn w:val="Headingappendix1base"/>
    <w:next w:val="BodyText"/>
    <w:qFormat/>
    <w:rsid w:val="00574455"/>
    <w:pPr>
      <w:numPr>
        <w:numId w:val="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74455"/>
    <w:rPr>
      <w:rFonts w:cs="Arial"/>
    </w:rPr>
  </w:style>
  <w:style w:type="paragraph" w:styleId="Footer">
    <w:name w:val="footer"/>
    <w:next w:val="BodyText"/>
    <w:link w:val="FooterChar"/>
    <w:qFormat/>
    <w:rsid w:val="00574455"/>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25475F"/>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574455"/>
    <w:pPr>
      <w:keepNext/>
      <w:spacing w:after="1440"/>
    </w:pPr>
    <w:rPr>
      <w:rFonts w:eastAsia="Times New Roman"/>
      <w:caps/>
      <w:spacing w:val="10"/>
      <w:sz w:val="19"/>
    </w:rPr>
  </w:style>
  <w:style w:type="paragraph" w:styleId="BlockText">
    <w:name w:val="Block Text"/>
    <w:aliases w:val="BdT-DO NOT USE"/>
    <w:next w:val="BodyText"/>
    <w:semiHidden/>
    <w:locked/>
    <w:rsid w:val="00574455"/>
    <w:rPr>
      <w:rFonts w:cs="Arial"/>
    </w:rPr>
  </w:style>
  <w:style w:type="character" w:customStyle="1" w:styleId="Captionbold">
    <w:name w:val="Caption bold"/>
    <w:qFormat/>
    <w:rsid w:val="00574455"/>
    <w:rPr>
      <w:b/>
    </w:rPr>
  </w:style>
  <w:style w:type="paragraph" w:customStyle="1" w:styleId="Contentsheading">
    <w:name w:val="Contents heading"/>
    <w:next w:val="BodyText"/>
    <w:semiHidden/>
    <w:locked/>
    <w:rsid w:val="00574455"/>
    <w:pPr>
      <w:spacing w:after="960" w:line="240" w:lineRule="auto"/>
      <w:outlineLvl w:val="0"/>
    </w:pPr>
    <w:rPr>
      <w:rFonts w:eastAsia="Times New Roman"/>
      <w:sz w:val="40"/>
    </w:rPr>
  </w:style>
  <w:style w:type="paragraph" w:customStyle="1" w:styleId="Documenttitle">
    <w:name w:val="Document title"/>
    <w:next w:val="BodyText"/>
    <w:qFormat/>
    <w:rsid w:val="00574455"/>
    <w:pPr>
      <w:keepNext/>
      <w:spacing w:before="1680" w:after="360" w:line="240" w:lineRule="auto"/>
      <w:outlineLvl w:val="0"/>
    </w:pPr>
    <w:rPr>
      <w:rFonts w:eastAsia="Times New Roman"/>
      <w:sz w:val="48"/>
    </w:rPr>
  </w:style>
  <w:style w:type="paragraph" w:customStyle="1" w:styleId="Notes">
    <w:name w:val="Notes"/>
    <w:basedOn w:val="BodyText"/>
    <w:link w:val="NotesChar"/>
    <w:qFormat/>
    <w:rsid w:val="009002B2"/>
    <w:p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qFormat/>
    <w:rsid w:val="00574455"/>
    <w:pPr>
      <w:numPr>
        <w:numId w:val="4"/>
      </w:numPr>
      <w:spacing w:before="60" w:after="60"/>
    </w:pPr>
    <w:rPr>
      <w:rFonts w:eastAsia="Times New Roman"/>
    </w:r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Bulletlevel2">
    <w:name w:val="Bullet level 2"/>
    <w:basedOn w:val="Bulletlevel1"/>
    <w:qFormat/>
    <w:rsid w:val="00574455"/>
    <w:pPr>
      <w:numPr>
        <w:ilvl w:val="1"/>
      </w:numPr>
    </w:pPr>
  </w:style>
  <w:style w:type="paragraph" w:customStyle="1" w:styleId="Tabletitle">
    <w:name w:val="Table title"/>
    <w:basedOn w:val="BodyText"/>
    <w:next w:val="BodyText"/>
    <w:qFormat/>
    <w:rsid w:val="00574455"/>
    <w:pPr>
      <w:keepNext/>
      <w:spacing w:before="480" w:after="120" w:line="240" w:lineRule="atLeast"/>
    </w:pPr>
    <w:rPr>
      <w:rFonts w:eastAsia="Times New Roman"/>
      <w:i/>
      <w:sz w:val="18"/>
      <w:szCs w:val="18"/>
    </w:rPr>
  </w:style>
  <w:style w:type="character" w:customStyle="1" w:styleId="Tabletitlebold">
    <w:name w:val="Table title bold"/>
    <w:qFormat/>
    <w:rsid w:val="00574455"/>
    <w:rPr>
      <w:b/>
    </w:rPr>
  </w:style>
  <w:style w:type="paragraph" w:customStyle="1" w:styleId="Tabletextleft">
    <w:name w:val="Table text left"/>
    <w:link w:val="TabletextleftChar"/>
    <w:qFormat/>
    <w:rsid w:val="00574455"/>
    <w:pPr>
      <w:spacing w:before="20" w:after="20" w:line="200" w:lineRule="atLeast"/>
    </w:pPr>
    <w:rPr>
      <w:rFonts w:eastAsia="Times New Roman" w:cs="Arial"/>
      <w:sz w:val="18"/>
    </w:rPr>
  </w:style>
  <w:style w:type="paragraph" w:customStyle="1" w:styleId="Tableheadingleft">
    <w:name w:val="Table heading left"/>
    <w:rsid w:val="00574455"/>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qFormat/>
    <w:rsid w:val="00574455"/>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574455"/>
    <w:rPr>
      <w:rFonts w:cs="Arial"/>
    </w:rPr>
  </w:style>
  <w:style w:type="paragraph" w:styleId="EndnoteText">
    <w:name w:val="endnote text"/>
    <w:aliases w:val="ET-DO NOT USE"/>
    <w:semiHidden/>
    <w:locked/>
    <w:rsid w:val="00574455"/>
    <w:rPr>
      <w:rFonts w:cs="Arial"/>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574455"/>
    <w:rPr>
      <w:rFonts w:cs="Arial"/>
    </w:rPr>
  </w:style>
  <w:style w:type="character" w:customStyle="1" w:styleId="CommentTextChar">
    <w:name w:val="Comment Text Char"/>
    <w:aliases w:val="CT-DO NOT USE Char"/>
    <w:basedOn w:val="DefaultParagraphFont"/>
    <w:link w:val="CommentText"/>
    <w:semiHidden/>
    <w:rsid w:val="00574455"/>
    <w:rPr>
      <w:rFonts w:cs="Arial"/>
    </w:rPr>
  </w:style>
  <w:style w:type="character" w:styleId="Strong">
    <w:name w:val="Strong"/>
    <w:aliases w:val="St-DO NOT USE"/>
    <w:qFormat/>
    <w:locked/>
    <w:rsid w:val="00574455"/>
  </w:style>
  <w:style w:type="paragraph" w:styleId="TOC1">
    <w:name w:val="toc 1"/>
    <w:basedOn w:val="BodyText"/>
    <w:next w:val="BodyText"/>
    <w:autoRedefine/>
    <w:uiPriority w:val="39"/>
    <w:qFormat/>
    <w:rsid w:val="00574455"/>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574455"/>
    <w:pPr>
      <w:spacing w:before="60"/>
      <w:ind w:left="142"/>
    </w:pPr>
  </w:style>
  <w:style w:type="paragraph" w:styleId="TOC3">
    <w:name w:val="toc 3"/>
    <w:basedOn w:val="TOC2"/>
    <w:next w:val="BodyText"/>
    <w:autoRedefine/>
    <w:uiPriority w:val="39"/>
    <w:qFormat/>
    <w:rsid w:val="00574455"/>
    <w:pPr>
      <w:ind w:left="284"/>
    </w:pPr>
  </w:style>
  <w:style w:type="paragraph" w:styleId="TOC4">
    <w:name w:val="toc 4"/>
    <w:basedOn w:val="TOC3"/>
    <w:next w:val="BodyText"/>
    <w:autoRedefine/>
    <w:qFormat/>
    <w:rsid w:val="00574455"/>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1nonumbers">
    <w:name w:val="Head 1 no numbers"/>
    <w:next w:val="BodyText"/>
    <w:link w:val="Head1nonumbersChar"/>
    <w:qFormat/>
    <w:rsid w:val="00574455"/>
    <w:pPr>
      <w:keepNext/>
      <w:keepLines/>
      <w:pageBreakBefore/>
      <w:spacing w:after="1080" w:line="240" w:lineRule="auto"/>
      <w:outlineLvl w:val="0"/>
    </w:pPr>
    <w:rPr>
      <w:rFonts w:cs="Arial"/>
      <w:kern w:val="28"/>
      <w:sz w:val="40"/>
    </w:rPr>
  </w:style>
  <w:style w:type="paragraph" w:customStyle="1" w:styleId="Figuresandimagesleft">
    <w:name w:val="Figures and images left"/>
    <w:basedOn w:val="BodyText"/>
    <w:next w:val="Normal"/>
    <w:link w:val="FiguresandimagesleftChar"/>
    <w:qFormat/>
    <w:rsid w:val="00574455"/>
    <w:pPr>
      <w:keepNext/>
      <w:spacing w:before="480" w:after="80" w:line="160" w:lineRule="atLeast"/>
    </w:pPr>
  </w:style>
  <w:style w:type="character" w:customStyle="1" w:styleId="FiguresandimagesleftChar">
    <w:name w:val="Figures and images left Char"/>
    <w:basedOn w:val="BodyTextChar"/>
    <w:link w:val="Figuresandimagesleft"/>
    <w:rsid w:val="00574455"/>
    <w:rPr>
      <w:rFonts w:cs="Arial"/>
    </w:rPr>
  </w:style>
  <w:style w:type="character" w:styleId="Hyperlink">
    <w:name w:val="Hyperlink"/>
    <w:uiPriority w:val="99"/>
    <w:qFormat/>
    <w:rsid w:val="00574455"/>
    <w:rPr>
      <w:color w:val="0000FF"/>
    </w:rPr>
  </w:style>
  <w:style w:type="paragraph" w:styleId="TOC5">
    <w:name w:val="toc 5"/>
    <w:basedOn w:val="TOC4"/>
    <w:next w:val="BodyText"/>
    <w:autoRedefine/>
    <w:qFormat/>
    <w:rsid w:val="00574455"/>
    <w:pPr>
      <w:ind w:left="567"/>
    </w:pPr>
  </w:style>
  <w:style w:type="paragraph" w:customStyle="1" w:styleId="Versopageinfo">
    <w:name w:val="Verso page info"/>
    <w:basedOn w:val="BodyText"/>
    <w:link w:val="VersopageinfoChar"/>
    <w:qFormat/>
    <w:rsid w:val="00574455"/>
    <w:pPr>
      <w:spacing w:before="0"/>
    </w:pPr>
  </w:style>
  <w:style w:type="character" w:customStyle="1" w:styleId="Heading6Char">
    <w:name w:val="Heading 6 Char"/>
    <w:basedOn w:val="BodyTextChar"/>
    <w:link w:val="Heading6"/>
    <w:rsid w:val="00574455"/>
    <w:rPr>
      <w:rFonts w:cs="Arial"/>
      <w:b/>
      <w:kern w:val="28"/>
      <w:szCs w:val="30"/>
    </w:rPr>
  </w:style>
  <w:style w:type="character" w:customStyle="1" w:styleId="VersopageinfoChar">
    <w:name w:val="Verso page info Char"/>
    <w:basedOn w:val="BodyTextChar"/>
    <w:link w:val="Versopageinfo"/>
    <w:rsid w:val="00574455"/>
    <w:rPr>
      <w:rFonts w:cs="Arial"/>
    </w:rPr>
  </w:style>
  <w:style w:type="character" w:customStyle="1" w:styleId="Bulletlevel1Char">
    <w:name w:val="Bullet level 1 Char"/>
    <w:basedOn w:val="BodyTextChar"/>
    <w:link w:val="Bulletlevel1"/>
    <w:rsid w:val="00574455"/>
    <w:rPr>
      <w:rFonts w:eastAsia="Times New Roman" w:cs="Arial"/>
    </w:rPr>
  </w:style>
  <w:style w:type="character" w:customStyle="1" w:styleId="Hyperlinkprint">
    <w:name w:val="Hyperlink print"/>
    <w:basedOn w:val="Hyperlink"/>
    <w:qFormat/>
    <w:rsid w:val="00574455"/>
    <w:rPr>
      <w:color w:val="auto"/>
    </w:rPr>
  </w:style>
  <w:style w:type="paragraph" w:styleId="TOCHeading">
    <w:name w:val="TOC Heading"/>
    <w:next w:val="Normal"/>
    <w:qFormat/>
    <w:rsid w:val="0057445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574455"/>
  </w:style>
  <w:style w:type="paragraph" w:styleId="Date">
    <w:name w:val="Date"/>
    <w:aliases w:val="D-DO NOT USE"/>
    <w:next w:val="BodyText"/>
    <w:semiHidden/>
    <w:locked/>
    <w:rsid w:val="00574455"/>
    <w:rPr>
      <w:rFonts w:cs="Arial"/>
    </w:rPr>
  </w:style>
  <w:style w:type="paragraph" w:styleId="E-mailSignature">
    <w:name w:val="E-mail Signature"/>
    <w:aliases w:val="EM-DO NOT USE"/>
    <w:next w:val="BodyText"/>
    <w:semiHidden/>
    <w:locked/>
    <w:rsid w:val="00574455"/>
    <w:rPr>
      <w:rFonts w:cs="Arial"/>
    </w:rPr>
  </w:style>
  <w:style w:type="paragraph" w:styleId="EnvelopeAddress">
    <w:name w:val="envelope address"/>
    <w:aliases w:val="EA-DO NOT USE"/>
    <w:next w:val="BodyText"/>
    <w:semiHidden/>
    <w:locked/>
    <w:rsid w:val="00574455"/>
    <w:rPr>
      <w:rFonts w:cs="Arial"/>
    </w:rPr>
  </w:style>
  <w:style w:type="paragraph" w:styleId="EnvelopeReturn">
    <w:name w:val="envelope return"/>
    <w:aliases w:val="ER-DO NOT USE"/>
    <w:next w:val="BodyText"/>
    <w:semiHidden/>
    <w:locked/>
    <w:rsid w:val="00574455"/>
    <w:rPr>
      <w:rFonts w:cs="Arial"/>
    </w:rPr>
  </w:style>
  <w:style w:type="paragraph" w:styleId="HTMLAddress">
    <w:name w:val="HTML Address"/>
    <w:aliases w:val="HAd-DO NOT USE"/>
    <w:next w:val="BodyText"/>
    <w:semiHidden/>
    <w:locked/>
    <w:rsid w:val="00574455"/>
    <w:rPr>
      <w:rFonts w:cs="Arial"/>
    </w:rPr>
  </w:style>
  <w:style w:type="paragraph" w:styleId="HTMLPreformatted">
    <w:name w:val="HTML Preformatted"/>
    <w:aliases w:val="HP-DO NOT USE"/>
    <w:next w:val="BodyText"/>
    <w:semiHidden/>
    <w:locked/>
    <w:rsid w:val="00574455"/>
    <w:rPr>
      <w:rFonts w:cs="Arial"/>
    </w:rPr>
  </w:style>
  <w:style w:type="paragraph" w:styleId="List">
    <w:name w:val="List"/>
    <w:basedOn w:val="BodyText"/>
    <w:next w:val="BodyText"/>
    <w:semiHidden/>
    <w:locked/>
    <w:rsid w:val="00574455"/>
    <w:pPr>
      <w:ind w:left="283" w:hanging="283"/>
    </w:pPr>
  </w:style>
  <w:style w:type="paragraph" w:styleId="List2">
    <w:name w:val="List 2"/>
    <w:basedOn w:val="List"/>
    <w:next w:val="BodyText"/>
    <w:semiHidden/>
    <w:locked/>
    <w:rsid w:val="00574455"/>
    <w:pPr>
      <w:ind w:left="566"/>
    </w:pPr>
  </w:style>
  <w:style w:type="paragraph" w:styleId="List3">
    <w:name w:val="List 3"/>
    <w:basedOn w:val="List2"/>
    <w:next w:val="BodyText"/>
    <w:semiHidden/>
    <w:locked/>
    <w:rsid w:val="00574455"/>
    <w:pPr>
      <w:ind w:left="849"/>
    </w:pPr>
  </w:style>
  <w:style w:type="paragraph" w:styleId="List4">
    <w:name w:val="List 4"/>
    <w:basedOn w:val="List3"/>
    <w:next w:val="BodyText"/>
    <w:semiHidden/>
    <w:locked/>
    <w:rsid w:val="00574455"/>
    <w:pPr>
      <w:ind w:left="1132"/>
    </w:pPr>
  </w:style>
  <w:style w:type="paragraph" w:styleId="List5">
    <w:name w:val="List 5"/>
    <w:basedOn w:val="List4"/>
    <w:next w:val="BodyText"/>
    <w:semiHidden/>
    <w:locked/>
    <w:rsid w:val="00574455"/>
    <w:pPr>
      <w:ind w:left="1415"/>
    </w:pPr>
  </w:style>
  <w:style w:type="paragraph" w:styleId="ListBullet">
    <w:name w:val="List Bullet"/>
    <w:basedOn w:val="BodyText"/>
    <w:next w:val="BodyText"/>
    <w:semiHidden/>
    <w:locked/>
    <w:rsid w:val="00574455"/>
    <w:pPr>
      <w:numPr>
        <w:numId w:val="13"/>
      </w:numPr>
    </w:pPr>
  </w:style>
  <w:style w:type="paragraph" w:styleId="ListBullet2">
    <w:name w:val="List Bullet 2"/>
    <w:basedOn w:val="ListBullet"/>
    <w:next w:val="BodyText"/>
    <w:semiHidden/>
    <w:locked/>
    <w:rsid w:val="00574455"/>
    <w:pPr>
      <w:numPr>
        <w:numId w:val="14"/>
      </w:numPr>
    </w:pPr>
  </w:style>
  <w:style w:type="paragraph" w:styleId="ListBullet3">
    <w:name w:val="List Bullet 3"/>
    <w:basedOn w:val="ListBullet2"/>
    <w:next w:val="BodyText"/>
    <w:semiHidden/>
    <w:locked/>
    <w:rsid w:val="00574455"/>
    <w:pPr>
      <w:numPr>
        <w:numId w:val="15"/>
      </w:numPr>
    </w:pPr>
  </w:style>
  <w:style w:type="paragraph" w:styleId="ListBullet4">
    <w:name w:val="List Bullet 4"/>
    <w:basedOn w:val="ListBullet3"/>
    <w:next w:val="BodyText"/>
    <w:semiHidden/>
    <w:locked/>
    <w:rsid w:val="00574455"/>
    <w:pPr>
      <w:numPr>
        <w:numId w:val="16"/>
      </w:numPr>
    </w:pPr>
  </w:style>
  <w:style w:type="paragraph" w:styleId="ListBullet5">
    <w:name w:val="List Bullet 5"/>
    <w:basedOn w:val="ListBullet4"/>
    <w:next w:val="BodyText"/>
    <w:semiHidden/>
    <w:locked/>
    <w:rsid w:val="00574455"/>
    <w:pPr>
      <w:numPr>
        <w:numId w:val="17"/>
      </w:numPr>
    </w:pPr>
  </w:style>
  <w:style w:type="paragraph" w:styleId="ListContinue">
    <w:name w:val="List Continue"/>
    <w:basedOn w:val="BodyText"/>
    <w:next w:val="BodyText"/>
    <w:semiHidden/>
    <w:locked/>
    <w:rsid w:val="00574455"/>
    <w:pPr>
      <w:ind w:left="283"/>
    </w:pPr>
  </w:style>
  <w:style w:type="paragraph" w:styleId="ListContinue2">
    <w:name w:val="List Continue 2"/>
    <w:basedOn w:val="ListContinue"/>
    <w:next w:val="BodyText"/>
    <w:semiHidden/>
    <w:locked/>
    <w:rsid w:val="00574455"/>
    <w:pPr>
      <w:ind w:left="566"/>
    </w:pPr>
  </w:style>
  <w:style w:type="paragraph" w:styleId="ListContinue3">
    <w:name w:val="List Continue 3"/>
    <w:basedOn w:val="ListContinue2"/>
    <w:next w:val="BodyText"/>
    <w:semiHidden/>
    <w:locked/>
    <w:rsid w:val="00574455"/>
    <w:pPr>
      <w:ind w:left="849"/>
    </w:pPr>
  </w:style>
  <w:style w:type="paragraph" w:styleId="ListContinue4">
    <w:name w:val="List Continue 4"/>
    <w:basedOn w:val="ListContinue3"/>
    <w:next w:val="BodyText"/>
    <w:semiHidden/>
    <w:locked/>
    <w:rsid w:val="00574455"/>
    <w:pPr>
      <w:ind w:left="1132"/>
    </w:pPr>
  </w:style>
  <w:style w:type="paragraph" w:styleId="ListContinue5">
    <w:name w:val="List Continue 5"/>
    <w:basedOn w:val="ListContinue4"/>
    <w:next w:val="BodyText"/>
    <w:semiHidden/>
    <w:locked/>
    <w:rsid w:val="00574455"/>
    <w:pPr>
      <w:ind w:left="1415"/>
    </w:pPr>
  </w:style>
  <w:style w:type="paragraph" w:styleId="ListNumber">
    <w:name w:val="List Number"/>
    <w:basedOn w:val="BodyText"/>
    <w:next w:val="BodyText"/>
    <w:semiHidden/>
    <w:locked/>
    <w:rsid w:val="00574455"/>
    <w:pPr>
      <w:numPr>
        <w:numId w:val="18"/>
      </w:numPr>
    </w:pPr>
  </w:style>
  <w:style w:type="paragraph" w:styleId="ListNumber2">
    <w:name w:val="List Number 2"/>
    <w:basedOn w:val="ListNumber"/>
    <w:next w:val="BodyText"/>
    <w:semiHidden/>
    <w:locked/>
    <w:rsid w:val="00574455"/>
    <w:pPr>
      <w:numPr>
        <w:numId w:val="19"/>
      </w:numPr>
    </w:pPr>
  </w:style>
  <w:style w:type="paragraph" w:styleId="ListNumber3">
    <w:name w:val="List Number 3"/>
    <w:basedOn w:val="ListNumber2"/>
    <w:next w:val="BodyText"/>
    <w:semiHidden/>
    <w:locked/>
    <w:rsid w:val="00574455"/>
    <w:pPr>
      <w:numPr>
        <w:numId w:val="20"/>
      </w:numPr>
    </w:pPr>
  </w:style>
  <w:style w:type="paragraph" w:styleId="ListNumber4">
    <w:name w:val="List Number 4"/>
    <w:basedOn w:val="ListNumber3"/>
    <w:next w:val="BodyText"/>
    <w:semiHidden/>
    <w:locked/>
    <w:rsid w:val="00574455"/>
    <w:pPr>
      <w:numPr>
        <w:numId w:val="21"/>
      </w:numPr>
    </w:pPr>
  </w:style>
  <w:style w:type="paragraph" w:styleId="ListNumber5">
    <w:name w:val="List Number 5"/>
    <w:basedOn w:val="ListNumber4"/>
    <w:next w:val="BodyText"/>
    <w:semiHidden/>
    <w:locked/>
    <w:rsid w:val="00574455"/>
    <w:pPr>
      <w:numPr>
        <w:numId w:val="22"/>
      </w:numPr>
    </w:pPr>
  </w:style>
  <w:style w:type="paragraph" w:styleId="MessageHeader">
    <w:name w:val="Message Header"/>
    <w:aliases w:val="MH-DO NOT USE"/>
    <w:semiHidden/>
    <w:locked/>
    <w:rsid w:val="00574455"/>
    <w:rPr>
      <w:rFonts w:cs="Arial"/>
    </w:rPr>
  </w:style>
  <w:style w:type="paragraph" w:styleId="NormalWeb">
    <w:name w:val="Normal (Web)"/>
    <w:aliases w:val="NW-DO NOT USE"/>
    <w:next w:val="BodyText"/>
    <w:semiHidden/>
    <w:locked/>
    <w:rsid w:val="00574455"/>
    <w:rPr>
      <w:rFonts w:cs="Arial"/>
    </w:rPr>
  </w:style>
  <w:style w:type="paragraph" w:styleId="NormalIndent">
    <w:name w:val="Normal Indent"/>
    <w:aliases w:val="NI-DO NOT USE"/>
    <w:next w:val="BodyText"/>
    <w:semiHidden/>
    <w:locked/>
    <w:rsid w:val="00574455"/>
    <w:rPr>
      <w:rFonts w:cs="Arial"/>
    </w:rPr>
  </w:style>
  <w:style w:type="paragraph" w:styleId="NoteHeading">
    <w:name w:val="Note Heading"/>
    <w:basedOn w:val="BodyText"/>
    <w:next w:val="BodyText"/>
    <w:semiHidden/>
    <w:locked/>
    <w:rsid w:val="00574455"/>
  </w:style>
  <w:style w:type="character" w:styleId="PageNumber">
    <w:name w:val="page number"/>
    <w:aliases w:val="P-DO NOT USE"/>
    <w:semiHidden/>
    <w:locked/>
    <w:rsid w:val="00574455"/>
  </w:style>
  <w:style w:type="paragraph" w:styleId="PlainText">
    <w:name w:val="Plain Text"/>
    <w:aliases w:val="PT-DO NOT USE"/>
    <w:semiHidden/>
    <w:locked/>
    <w:rsid w:val="00574455"/>
    <w:rPr>
      <w:rFonts w:cs="Arial"/>
    </w:rPr>
  </w:style>
  <w:style w:type="paragraph" w:styleId="Salutation">
    <w:name w:val="Salutation"/>
    <w:aliases w:val="Sa-DO NOT USE"/>
    <w:next w:val="BodyText"/>
    <w:semiHidden/>
    <w:locked/>
    <w:rsid w:val="00574455"/>
    <w:rPr>
      <w:rFonts w:cs="Arial"/>
    </w:rPr>
  </w:style>
  <w:style w:type="paragraph" w:styleId="Signature">
    <w:name w:val="Signature"/>
    <w:aliases w:val="Si-DO NOT USE"/>
    <w:next w:val="BodyText"/>
    <w:semiHidden/>
    <w:locked/>
    <w:rsid w:val="00574455"/>
    <w:rPr>
      <w:rFonts w:cs="Arial"/>
    </w:rPr>
  </w:style>
  <w:style w:type="paragraph" w:styleId="Subtitle">
    <w:name w:val="Subtitle"/>
    <w:aliases w:val="S-DO NOT USE"/>
    <w:next w:val="BodyText"/>
    <w:qFormat/>
    <w:locked/>
    <w:rsid w:val="00574455"/>
    <w:rPr>
      <w:rFonts w:cs="Arial"/>
    </w:rPr>
  </w:style>
  <w:style w:type="table" w:styleId="Table3Deffects1">
    <w:name w:val="Table 3D effects 1"/>
    <w:basedOn w:val="TableNormal"/>
    <w:semiHidden/>
    <w:locked/>
    <w:rsid w:val="00574455"/>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qFormat/>
    <w:locked/>
    <w:rsid w:val="00574455"/>
    <w:rPr>
      <w:rFonts w:cs="Arial"/>
    </w:rPr>
  </w:style>
  <w:style w:type="character" w:customStyle="1" w:styleId="Heading1Char">
    <w:name w:val="Heading 1 Char"/>
    <w:basedOn w:val="DefaultParagraphFont"/>
    <w:link w:val="Heading1"/>
    <w:rsid w:val="00574455"/>
    <w:rPr>
      <w:rFonts w:cs="Arial"/>
      <w:kern w:val="28"/>
      <w:sz w:val="40"/>
    </w:rPr>
  </w:style>
  <w:style w:type="character" w:customStyle="1" w:styleId="Head1nonumbersChar">
    <w:name w:val="Head 1 no numbers Char"/>
    <w:basedOn w:val="Heading1Char"/>
    <w:link w:val="Head1nonumbers"/>
    <w:rsid w:val="00574455"/>
    <w:rPr>
      <w:rFonts w:cs="Arial"/>
      <w:kern w:val="28"/>
      <w:sz w:val="40"/>
    </w:rPr>
  </w:style>
  <w:style w:type="paragraph" w:customStyle="1" w:styleId="Head2nonumbers">
    <w:name w:val="Head 2 no numbers"/>
    <w:basedOn w:val="Head1nonumbers"/>
    <w:next w:val="BodyText"/>
    <w:link w:val="Head2nonumbersChar"/>
    <w:qFormat/>
    <w:rsid w:val="00574455"/>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574455"/>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574455"/>
    <w:pPr>
      <w:numPr>
        <w:ilvl w:val="3"/>
      </w:numPr>
      <w:spacing w:before="180"/>
      <w:outlineLvl w:val="3"/>
    </w:pPr>
    <w:rPr>
      <w:i/>
      <w:sz w:val="22"/>
      <w:szCs w:val="22"/>
    </w:rPr>
  </w:style>
  <w:style w:type="paragraph" w:customStyle="1" w:styleId="Head5nonumbers">
    <w:name w:val="Head 5 no numbers"/>
    <w:basedOn w:val="Head4nonumbers"/>
    <w:next w:val="BodyText"/>
    <w:qFormat/>
    <w:rsid w:val="00574455"/>
    <w:pPr>
      <w:numPr>
        <w:ilvl w:val="4"/>
      </w:numPr>
      <w:outlineLvl w:val="4"/>
    </w:pPr>
    <w:rPr>
      <w:b w:val="0"/>
    </w:rPr>
  </w:style>
  <w:style w:type="character" w:customStyle="1" w:styleId="Heading2Char">
    <w:name w:val="Heading 2 Char"/>
    <w:basedOn w:val="Heading1Char"/>
    <w:link w:val="Heading2"/>
    <w:rsid w:val="00574455"/>
    <w:rPr>
      <w:rFonts w:cs="Arial"/>
      <w:kern w:val="28"/>
      <w:sz w:val="30"/>
      <w:szCs w:val="30"/>
    </w:rPr>
  </w:style>
  <w:style w:type="character" w:customStyle="1" w:styleId="Head2nonumbersChar">
    <w:name w:val="Head 2 no numbers Char"/>
    <w:basedOn w:val="Head1nonumbersChar"/>
    <w:link w:val="Head2nonumbers"/>
    <w:rsid w:val="00574455"/>
    <w:rPr>
      <w:rFonts w:cs="Arial"/>
      <w:kern w:val="28"/>
      <w:sz w:val="30"/>
      <w:szCs w:val="28"/>
    </w:rPr>
  </w:style>
  <w:style w:type="character" w:customStyle="1" w:styleId="Head3nonumbersChar">
    <w:name w:val="Head 3 no numbers Char"/>
    <w:basedOn w:val="Head2nonumbersChar"/>
    <w:link w:val="Head3nonumbers"/>
    <w:rsid w:val="00574455"/>
    <w:rPr>
      <w:rFonts w:cs="Lucida Sans Unicode"/>
      <w:b/>
      <w:kern w:val="28"/>
      <w:sz w:val="24"/>
      <w:szCs w:val="24"/>
    </w:rPr>
  </w:style>
  <w:style w:type="character" w:customStyle="1" w:styleId="Heading3Char">
    <w:name w:val="Heading 3 Char"/>
    <w:basedOn w:val="Heading2Char"/>
    <w:link w:val="Heading3"/>
    <w:rsid w:val="00574455"/>
    <w:rPr>
      <w:rFonts w:cs="Arial"/>
      <w:b/>
      <w:kern w:val="28"/>
      <w:sz w:val="24"/>
      <w:szCs w:val="30"/>
    </w:rPr>
  </w:style>
  <w:style w:type="character" w:customStyle="1" w:styleId="Heading4Char">
    <w:name w:val="Heading 4 Char"/>
    <w:basedOn w:val="Heading3Char"/>
    <w:link w:val="Heading4"/>
    <w:rsid w:val="00574455"/>
    <w:rPr>
      <w:rFonts w:cs="Arial"/>
      <w:b/>
      <w:i/>
      <w:kern w:val="28"/>
      <w:sz w:val="22"/>
      <w:szCs w:val="30"/>
    </w:rPr>
  </w:style>
  <w:style w:type="character" w:customStyle="1" w:styleId="Head4nonumbersChar">
    <w:name w:val="Head 4 no numbers Char"/>
    <w:basedOn w:val="Heading4Char"/>
    <w:link w:val="Head4nonumbers"/>
    <w:rsid w:val="00574455"/>
    <w:rPr>
      <w:rFonts w:cs="Lucida Sans Unicode"/>
      <w:b/>
      <w:i/>
      <w:kern w:val="28"/>
      <w:sz w:val="22"/>
      <w:szCs w:val="22"/>
    </w:rPr>
  </w:style>
  <w:style w:type="paragraph" w:customStyle="1" w:styleId="StyleHeads3NumberedNotBold">
    <w:name w:val="Style Heads 3 Numbered + Not Bold"/>
    <w:basedOn w:val="Head3nonumbers"/>
    <w:semiHidden/>
    <w:locked/>
    <w:rsid w:val="00700AB5"/>
  </w:style>
  <w:style w:type="paragraph" w:styleId="TOC6">
    <w:name w:val="toc 6"/>
    <w:basedOn w:val="Normal"/>
    <w:next w:val="Normal"/>
    <w:autoRedefine/>
    <w:semiHidden/>
    <w:locked/>
    <w:rsid w:val="00574455"/>
    <w:pPr>
      <w:ind w:left="1050"/>
    </w:pPr>
  </w:style>
  <w:style w:type="paragraph" w:customStyle="1" w:styleId="Bulletlevel1numbered">
    <w:name w:val="Bullet level 1 numbered"/>
    <w:basedOn w:val="BodyText"/>
    <w:link w:val="Bulletlevel1numberedChar"/>
    <w:qFormat/>
    <w:rsid w:val="00574455"/>
    <w:pPr>
      <w:numPr>
        <w:numId w:val="5"/>
      </w:numPr>
      <w:spacing w:before="60" w:after="60"/>
    </w:pPr>
    <w:rPr>
      <w:rFonts w:eastAsia="Times New Roman"/>
    </w:rPr>
  </w:style>
  <w:style w:type="character" w:customStyle="1" w:styleId="Bulletlevel1numberedChar">
    <w:name w:val="Bullet level 1 numbered Char"/>
    <w:basedOn w:val="Bulletlevel1Char"/>
    <w:link w:val="Bulletlevel1numbered"/>
    <w:rsid w:val="00574455"/>
    <w:rPr>
      <w:rFonts w:eastAsia="Times New Roman" w:cs="Arial"/>
    </w:rPr>
  </w:style>
  <w:style w:type="paragraph" w:customStyle="1" w:styleId="Bulletlevel2numbered">
    <w:name w:val="Bullet level 2 numbered"/>
    <w:basedOn w:val="Bulletlevel1numbered"/>
    <w:qFormat/>
    <w:rsid w:val="00574455"/>
    <w:pPr>
      <w:numPr>
        <w:ilvl w:val="1"/>
      </w:numPr>
    </w:pPr>
    <w:rPr>
      <w:rFonts w:eastAsia="Times"/>
    </w:rPr>
  </w:style>
  <w:style w:type="paragraph" w:styleId="TableofFigures">
    <w:name w:val="table of figures"/>
    <w:basedOn w:val="TOC1"/>
    <w:next w:val="BodyText"/>
    <w:qFormat/>
    <w:rsid w:val="00574455"/>
  </w:style>
  <w:style w:type="numbering" w:styleId="111111">
    <w:name w:val="Outline List 2"/>
    <w:basedOn w:val="NoList"/>
    <w:semiHidden/>
    <w:locked/>
    <w:rsid w:val="00574455"/>
    <w:pPr>
      <w:numPr>
        <w:numId w:val="1"/>
      </w:numPr>
    </w:pPr>
  </w:style>
  <w:style w:type="numbering" w:styleId="1ai">
    <w:name w:val="Outline List 1"/>
    <w:basedOn w:val="NoList"/>
    <w:semiHidden/>
    <w:locked/>
    <w:rsid w:val="00574455"/>
    <w:pPr>
      <w:numPr>
        <w:numId w:val="2"/>
      </w:numPr>
    </w:pPr>
  </w:style>
  <w:style w:type="numbering" w:styleId="ArticleSection">
    <w:name w:val="Outline List 3"/>
    <w:basedOn w:val="NoList"/>
    <w:semiHidden/>
    <w:locked/>
    <w:rsid w:val="00574455"/>
    <w:pPr>
      <w:numPr>
        <w:numId w:val="3"/>
      </w:numPr>
    </w:pPr>
  </w:style>
  <w:style w:type="character" w:styleId="Emphasis">
    <w:name w:val="Emphasis"/>
    <w:aliases w:val="E-DO NOT USE"/>
    <w:qFormat/>
    <w:locked/>
    <w:rsid w:val="00574455"/>
  </w:style>
  <w:style w:type="character" w:styleId="HTMLAcronym">
    <w:name w:val="HTML Acronym"/>
    <w:aliases w:val="HA-DO NOT USE"/>
    <w:semiHidden/>
    <w:locked/>
    <w:rsid w:val="00574455"/>
  </w:style>
  <w:style w:type="character" w:styleId="HTMLCite">
    <w:name w:val="HTML Cite"/>
    <w:aliases w:val="HCi-DO NOT USE"/>
    <w:semiHidden/>
    <w:locked/>
    <w:rsid w:val="00574455"/>
  </w:style>
  <w:style w:type="character" w:styleId="HTMLCode">
    <w:name w:val="HTML Code"/>
    <w:aliases w:val="HC-DO NOT USE"/>
    <w:semiHidden/>
    <w:locked/>
    <w:rsid w:val="00574455"/>
  </w:style>
  <w:style w:type="character" w:styleId="HTMLDefinition">
    <w:name w:val="HTML Definition"/>
    <w:aliases w:val="HD-DO NOT USE"/>
    <w:semiHidden/>
    <w:locked/>
    <w:rsid w:val="00574455"/>
  </w:style>
  <w:style w:type="character" w:styleId="HTMLKeyboard">
    <w:name w:val="HTML Keyboard"/>
    <w:aliases w:val="HK-DO NOT USE"/>
    <w:semiHidden/>
    <w:locked/>
    <w:rsid w:val="00574455"/>
  </w:style>
  <w:style w:type="character" w:styleId="HTMLSample">
    <w:name w:val="HTML Sample"/>
    <w:aliases w:val="HS-DO NOT USE"/>
    <w:semiHidden/>
    <w:locked/>
    <w:rsid w:val="00574455"/>
  </w:style>
  <w:style w:type="character" w:styleId="HTMLTypewriter">
    <w:name w:val="HTML Typewriter"/>
    <w:aliases w:val="HT-DO NOT USE"/>
    <w:semiHidden/>
    <w:locked/>
    <w:rsid w:val="00574455"/>
  </w:style>
  <w:style w:type="character" w:styleId="HTMLVariable">
    <w:name w:val="HTML Variable"/>
    <w:aliases w:val="HV-DO NOT USE"/>
    <w:semiHidden/>
    <w:locked/>
    <w:rsid w:val="00574455"/>
  </w:style>
  <w:style w:type="character" w:styleId="LineNumber">
    <w:name w:val="line number"/>
    <w:aliases w:val="LN-DO NOT USE"/>
    <w:semiHidden/>
    <w:locked/>
    <w:rsid w:val="00574455"/>
  </w:style>
  <w:style w:type="table" w:styleId="Table3Deffects2">
    <w:name w:val="Table 3D effects 2"/>
    <w:basedOn w:val="TableNormal"/>
    <w:semiHidden/>
    <w:locked/>
    <w:rsid w:val="0057445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7445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7445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7445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7445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7445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7445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7445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7445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7445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7445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7445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7445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7445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7445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7445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5744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57445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57445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57445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7445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7445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7445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7445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7445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7445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7445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7445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7445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7445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7445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7445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7445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57445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7445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7445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7445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7445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7445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744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57445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7445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7445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574455"/>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574455"/>
    <w:rPr>
      <w:position w:val="0"/>
      <w:vertAlign w:val="superscript"/>
    </w:rPr>
  </w:style>
  <w:style w:type="character" w:customStyle="1" w:styleId="Subscript">
    <w:name w:val="Subscript"/>
    <w:basedOn w:val="DefaultParagraphFont"/>
    <w:qFormat/>
    <w:rsid w:val="00574455"/>
    <w:rPr>
      <w:position w:val="-2"/>
      <w:vertAlign w:val="subscript"/>
    </w:rPr>
  </w:style>
  <w:style w:type="paragraph" w:styleId="BalloonText">
    <w:name w:val="Balloon Text"/>
    <w:aliases w:val="BlT-DO NOT USE"/>
    <w:next w:val="BodyText"/>
    <w:link w:val="BalloonTextChar"/>
    <w:semiHidden/>
    <w:locked/>
    <w:rsid w:val="00574455"/>
    <w:rPr>
      <w:rFonts w:cs="Arial"/>
    </w:rPr>
  </w:style>
  <w:style w:type="character" w:customStyle="1" w:styleId="BalloonTextChar">
    <w:name w:val="Balloon Text Char"/>
    <w:aliases w:val="BlT-DO NOT USE Char"/>
    <w:basedOn w:val="DefaultParagraphFont"/>
    <w:link w:val="BalloonText"/>
    <w:semiHidden/>
    <w:rsid w:val="00574455"/>
    <w:rPr>
      <w:rFonts w:cs="Arial"/>
    </w:rPr>
  </w:style>
  <w:style w:type="character" w:customStyle="1" w:styleId="FooterChar">
    <w:name w:val="Footer Char"/>
    <w:basedOn w:val="DefaultParagraphFont"/>
    <w:link w:val="Footer"/>
    <w:rsid w:val="00574455"/>
    <w:rPr>
      <w:rFonts w:ascii="Arial Bold" w:hAnsi="Arial Bold" w:cs="Arial"/>
      <w:b/>
      <w:sz w:val="16"/>
      <w:szCs w:val="16"/>
    </w:rPr>
  </w:style>
  <w:style w:type="table" w:styleId="LightShading-Accent5">
    <w:name w:val="Light Shading Accent 5"/>
    <w:basedOn w:val="TableNormal"/>
    <w:uiPriority w:val="60"/>
    <w:locked/>
    <w:rsid w:val="00574455"/>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57445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7445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74455"/>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74455"/>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574455"/>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574455"/>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574455"/>
    <w:pPr>
      <w:spacing w:before="0" w:after="600"/>
      <w:outlineLvl w:val="1"/>
    </w:pPr>
    <w:rPr>
      <w:sz w:val="32"/>
      <w:szCs w:val="36"/>
    </w:rPr>
  </w:style>
  <w:style w:type="character" w:customStyle="1" w:styleId="DocumentsubtitleChar">
    <w:name w:val="Document subtitle Char"/>
    <w:basedOn w:val="DefaultParagraphFont"/>
    <w:link w:val="Documentsubtitle"/>
    <w:rsid w:val="00574455"/>
    <w:rPr>
      <w:rFonts w:eastAsia="Times New Roman"/>
      <w:sz w:val="32"/>
      <w:szCs w:val="36"/>
    </w:rPr>
  </w:style>
  <w:style w:type="paragraph" w:styleId="Bibliography">
    <w:name w:val="Bibliography"/>
    <w:next w:val="BodyText"/>
    <w:uiPriority w:val="37"/>
    <w:unhideWhenUsed/>
    <w:locked/>
    <w:rsid w:val="00574455"/>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Normal"/>
    <w:qFormat/>
    <w:rsid w:val="00574455"/>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574455"/>
    <w:rPr>
      <w:rFonts w:cs="Arial"/>
    </w:rPr>
  </w:style>
  <w:style w:type="character" w:customStyle="1" w:styleId="CommentSubjectChar">
    <w:name w:val="Comment Subject Char"/>
    <w:aliases w:val="CS-DO NOT USE Char"/>
    <w:basedOn w:val="DefaultParagraphFont"/>
    <w:link w:val="CommentSubject"/>
    <w:semiHidden/>
    <w:rsid w:val="00574455"/>
    <w:rPr>
      <w:rFonts w:cs="Arial"/>
    </w:rPr>
  </w:style>
  <w:style w:type="paragraph" w:styleId="DocumentMap">
    <w:name w:val="Document Map"/>
    <w:aliases w:val="DM-DO NOT USE"/>
    <w:link w:val="DocumentMapChar"/>
    <w:semiHidden/>
    <w:locked/>
    <w:rsid w:val="00574455"/>
    <w:rPr>
      <w:rFonts w:cs="Arial"/>
    </w:rPr>
  </w:style>
  <w:style w:type="character" w:customStyle="1" w:styleId="DocumentMapChar">
    <w:name w:val="Document Map Char"/>
    <w:aliases w:val="DM-DO NOT USE Char"/>
    <w:basedOn w:val="DefaultParagraphFont"/>
    <w:link w:val="DocumentMap"/>
    <w:semiHidden/>
    <w:rsid w:val="00574455"/>
    <w:rPr>
      <w:rFonts w:cs="Arial"/>
    </w:rPr>
  </w:style>
  <w:style w:type="paragraph" w:styleId="FootnoteText">
    <w:name w:val="footnote text"/>
    <w:link w:val="FootnoteTextChar"/>
    <w:semiHidden/>
    <w:locked/>
    <w:rsid w:val="00574455"/>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semiHidden/>
    <w:rsid w:val="00574455"/>
    <w:rPr>
      <w:rFonts w:cs="Arial"/>
      <w:sz w:val="16"/>
    </w:rPr>
  </w:style>
  <w:style w:type="paragraph" w:styleId="Index1">
    <w:name w:val="index 1"/>
    <w:basedOn w:val="Normal"/>
    <w:next w:val="Normal"/>
    <w:autoRedefine/>
    <w:semiHidden/>
    <w:locked/>
    <w:rsid w:val="00574455"/>
    <w:pPr>
      <w:spacing w:line="240" w:lineRule="auto"/>
      <w:ind w:left="200" w:hanging="200"/>
    </w:pPr>
  </w:style>
  <w:style w:type="paragraph" w:styleId="Index2">
    <w:name w:val="index 2"/>
    <w:basedOn w:val="Normal"/>
    <w:next w:val="Normal"/>
    <w:autoRedefine/>
    <w:semiHidden/>
    <w:locked/>
    <w:rsid w:val="00574455"/>
    <w:pPr>
      <w:spacing w:line="240" w:lineRule="auto"/>
      <w:ind w:left="400" w:hanging="200"/>
    </w:pPr>
  </w:style>
  <w:style w:type="paragraph" w:styleId="Index3">
    <w:name w:val="index 3"/>
    <w:basedOn w:val="Normal"/>
    <w:next w:val="Normal"/>
    <w:autoRedefine/>
    <w:semiHidden/>
    <w:locked/>
    <w:rsid w:val="00574455"/>
    <w:pPr>
      <w:spacing w:line="240" w:lineRule="auto"/>
      <w:ind w:left="600" w:hanging="200"/>
    </w:pPr>
  </w:style>
  <w:style w:type="paragraph" w:styleId="Index4">
    <w:name w:val="index 4"/>
    <w:basedOn w:val="Normal"/>
    <w:next w:val="Normal"/>
    <w:autoRedefine/>
    <w:semiHidden/>
    <w:locked/>
    <w:rsid w:val="00574455"/>
    <w:pPr>
      <w:spacing w:line="240" w:lineRule="auto"/>
      <w:ind w:left="800" w:hanging="200"/>
    </w:pPr>
  </w:style>
  <w:style w:type="paragraph" w:styleId="Index5">
    <w:name w:val="index 5"/>
    <w:basedOn w:val="Normal"/>
    <w:next w:val="Normal"/>
    <w:autoRedefine/>
    <w:semiHidden/>
    <w:locked/>
    <w:rsid w:val="00574455"/>
    <w:pPr>
      <w:spacing w:line="240" w:lineRule="auto"/>
      <w:ind w:left="1000" w:hanging="200"/>
    </w:pPr>
  </w:style>
  <w:style w:type="paragraph" w:styleId="Index6">
    <w:name w:val="index 6"/>
    <w:basedOn w:val="Normal"/>
    <w:next w:val="Normal"/>
    <w:autoRedefine/>
    <w:semiHidden/>
    <w:locked/>
    <w:rsid w:val="00574455"/>
    <w:pPr>
      <w:spacing w:line="240" w:lineRule="auto"/>
      <w:ind w:left="1200" w:hanging="200"/>
    </w:pPr>
  </w:style>
  <w:style w:type="paragraph" w:styleId="Index7">
    <w:name w:val="index 7"/>
    <w:basedOn w:val="Normal"/>
    <w:next w:val="Normal"/>
    <w:autoRedefine/>
    <w:semiHidden/>
    <w:locked/>
    <w:rsid w:val="00574455"/>
    <w:pPr>
      <w:spacing w:line="240" w:lineRule="auto"/>
      <w:ind w:left="1400" w:hanging="200"/>
    </w:pPr>
  </w:style>
  <w:style w:type="paragraph" w:styleId="Index8">
    <w:name w:val="index 8"/>
    <w:basedOn w:val="Normal"/>
    <w:next w:val="Normal"/>
    <w:autoRedefine/>
    <w:semiHidden/>
    <w:locked/>
    <w:rsid w:val="00574455"/>
    <w:pPr>
      <w:spacing w:line="240" w:lineRule="auto"/>
      <w:ind w:left="1600" w:hanging="200"/>
    </w:pPr>
  </w:style>
  <w:style w:type="paragraph" w:styleId="Index9">
    <w:name w:val="index 9"/>
    <w:basedOn w:val="Normal"/>
    <w:next w:val="Normal"/>
    <w:autoRedefine/>
    <w:semiHidden/>
    <w:locked/>
    <w:rsid w:val="00574455"/>
    <w:pPr>
      <w:spacing w:line="240" w:lineRule="auto"/>
      <w:ind w:left="1800" w:hanging="200"/>
    </w:pPr>
  </w:style>
  <w:style w:type="paragraph" w:styleId="IndexHeading">
    <w:name w:val="index heading"/>
    <w:aliases w:val="IH-DO NOT USE"/>
    <w:basedOn w:val="IntenseQuote"/>
    <w:next w:val="Index1"/>
    <w:semiHidden/>
    <w:locked/>
    <w:rsid w:val="00574455"/>
  </w:style>
  <w:style w:type="paragraph" w:styleId="IntenseQuote">
    <w:name w:val="Intense Quote"/>
    <w:aliases w:val="IQ-DO NOT USE"/>
    <w:next w:val="Normal"/>
    <w:link w:val="IntenseQuoteChar"/>
    <w:uiPriority w:val="30"/>
    <w:qFormat/>
    <w:locked/>
    <w:rsid w:val="00574455"/>
    <w:rPr>
      <w:rFonts w:cs="Arial"/>
    </w:rPr>
  </w:style>
  <w:style w:type="character" w:customStyle="1" w:styleId="IntenseQuoteChar">
    <w:name w:val="Intense Quote Char"/>
    <w:aliases w:val="IQ-DO NOT USE Char"/>
    <w:basedOn w:val="DefaultParagraphFont"/>
    <w:link w:val="IntenseQuote"/>
    <w:uiPriority w:val="30"/>
    <w:semiHidden/>
    <w:rsid w:val="00574455"/>
    <w:rPr>
      <w:rFonts w:cs="Arial"/>
    </w:rPr>
  </w:style>
  <w:style w:type="paragraph" w:styleId="ListParagraph">
    <w:name w:val="List Paragraph"/>
    <w:aliases w:val="LP-DO NOT USE"/>
    <w:basedOn w:val="MacroText"/>
    <w:uiPriority w:val="34"/>
    <w:qFormat/>
    <w:locked/>
    <w:rsid w:val="00574455"/>
  </w:style>
  <w:style w:type="paragraph" w:styleId="MacroText">
    <w:name w:val="macro"/>
    <w:aliases w:val="MT-DO NOT USE"/>
    <w:basedOn w:val="MessageHeader"/>
    <w:link w:val="MacroTextChar"/>
    <w:semiHidden/>
    <w:locked/>
    <w:rsid w:val="00574455"/>
  </w:style>
  <w:style w:type="character" w:customStyle="1" w:styleId="MacroTextChar">
    <w:name w:val="Macro Text Char"/>
    <w:aliases w:val="MT-DO NOT USE Char"/>
    <w:basedOn w:val="DefaultParagraphFont"/>
    <w:link w:val="MacroText"/>
    <w:semiHidden/>
    <w:rsid w:val="00574455"/>
    <w:rPr>
      <w:rFonts w:cs="Arial"/>
    </w:rPr>
  </w:style>
  <w:style w:type="paragraph" w:styleId="NoSpacing">
    <w:name w:val="No Spacing"/>
    <w:aliases w:val="NS-DO NOT USE"/>
    <w:uiPriority w:val="1"/>
    <w:qFormat/>
    <w:locked/>
    <w:rsid w:val="00574455"/>
    <w:pPr>
      <w:spacing w:line="240" w:lineRule="auto"/>
    </w:pPr>
  </w:style>
  <w:style w:type="paragraph" w:styleId="Quote">
    <w:name w:val="Quote"/>
    <w:aliases w:val="Q-DO NOT USE"/>
    <w:next w:val="Normal"/>
    <w:link w:val="QuoteChar"/>
    <w:uiPriority w:val="29"/>
    <w:qFormat/>
    <w:locked/>
    <w:rsid w:val="00574455"/>
    <w:rPr>
      <w:rFonts w:cs="Arial"/>
    </w:rPr>
  </w:style>
  <w:style w:type="character" w:customStyle="1" w:styleId="QuoteChar">
    <w:name w:val="Quote Char"/>
    <w:aliases w:val="Q-DO NOT USE Char"/>
    <w:basedOn w:val="DefaultParagraphFont"/>
    <w:link w:val="Quote"/>
    <w:uiPriority w:val="29"/>
    <w:semiHidden/>
    <w:rsid w:val="00574455"/>
    <w:rPr>
      <w:rFonts w:cs="Arial"/>
    </w:rPr>
  </w:style>
  <w:style w:type="paragraph" w:styleId="TOAHeading">
    <w:name w:val="toa heading"/>
    <w:next w:val="Normal"/>
    <w:semiHidden/>
    <w:locked/>
    <w:rsid w:val="00574455"/>
    <w:pPr>
      <w:spacing w:before="120"/>
    </w:pPr>
    <w:rPr>
      <w:rFonts w:eastAsiaTheme="majorEastAsia" w:cstheme="majorBidi"/>
      <w:bCs/>
      <w:szCs w:val="24"/>
    </w:rPr>
  </w:style>
  <w:style w:type="paragraph" w:styleId="TOC7">
    <w:name w:val="toc 7"/>
    <w:basedOn w:val="Normal"/>
    <w:next w:val="Normal"/>
    <w:autoRedefine/>
    <w:semiHidden/>
    <w:locked/>
    <w:rsid w:val="00574455"/>
    <w:pPr>
      <w:spacing w:after="100"/>
      <w:ind w:left="1200"/>
    </w:pPr>
  </w:style>
  <w:style w:type="paragraph" w:styleId="TOC8">
    <w:name w:val="toc 8"/>
    <w:basedOn w:val="Normal"/>
    <w:next w:val="Normal"/>
    <w:autoRedefine/>
    <w:semiHidden/>
    <w:locked/>
    <w:rsid w:val="00574455"/>
    <w:pPr>
      <w:spacing w:after="100"/>
      <w:ind w:left="1400"/>
    </w:pPr>
  </w:style>
  <w:style w:type="paragraph" w:styleId="TOC9">
    <w:name w:val="toc 9"/>
    <w:basedOn w:val="Normal"/>
    <w:next w:val="Normal"/>
    <w:autoRedefine/>
    <w:semiHidden/>
    <w:locked/>
    <w:rsid w:val="00574455"/>
    <w:pPr>
      <w:spacing w:after="100"/>
      <w:ind w:left="1600"/>
    </w:pPr>
  </w:style>
  <w:style w:type="numbering" w:customStyle="1" w:styleId="HeadingsNumbered">
    <w:name w:val="Headings Numbered"/>
    <w:uiPriority w:val="99"/>
    <w:rsid w:val="00574455"/>
    <w:pPr>
      <w:numPr>
        <w:numId w:val="12"/>
      </w:numPr>
    </w:pPr>
  </w:style>
  <w:style w:type="numbering" w:customStyle="1" w:styleId="BulletsNumbered">
    <w:name w:val="Bullets Numbered"/>
    <w:uiPriority w:val="99"/>
    <w:rsid w:val="00574455"/>
    <w:pPr>
      <w:numPr>
        <w:numId w:val="9"/>
      </w:numPr>
    </w:pPr>
  </w:style>
  <w:style w:type="numbering" w:customStyle="1" w:styleId="Bullets">
    <w:name w:val="Bullets"/>
    <w:uiPriority w:val="99"/>
    <w:rsid w:val="00574455"/>
    <w:pPr>
      <w:numPr>
        <w:numId w:val="6"/>
      </w:numPr>
    </w:pPr>
  </w:style>
  <w:style w:type="paragraph" w:customStyle="1" w:styleId="Tableheadingcentred">
    <w:name w:val="Table heading centred"/>
    <w:basedOn w:val="Tableheadingleft"/>
    <w:qFormat/>
    <w:rsid w:val="00574455"/>
    <w:pPr>
      <w:jc w:val="center"/>
    </w:pPr>
  </w:style>
  <w:style w:type="paragraph" w:customStyle="1" w:styleId="Tableheadingright">
    <w:name w:val="Table heading right"/>
    <w:basedOn w:val="Tableheadingcentred"/>
    <w:qFormat/>
    <w:rsid w:val="00574455"/>
    <w:pPr>
      <w:jc w:val="right"/>
    </w:pPr>
  </w:style>
  <w:style w:type="paragraph" w:customStyle="1" w:styleId="Tabletextcentred">
    <w:name w:val="Table text centred"/>
    <w:basedOn w:val="Tabletextleft"/>
    <w:link w:val="TabletextcentredChar"/>
    <w:qFormat/>
    <w:rsid w:val="00574455"/>
    <w:pPr>
      <w:jc w:val="center"/>
    </w:pPr>
  </w:style>
  <w:style w:type="paragraph" w:customStyle="1" w:styleId="Tabletextright">
    <w:name w:val="Table text right"/>
    <w:basedOn w:val="Tabletextcentred"/>
    <w:qFormat/>
    <w:rsid w:val="00574455"/>
    <w:pPr>
      <w:jc w:val="right"/>
    </w:pPr>
  </w:style>
  <w:style w:type="character" w:customStyle="1" w:styleId="Subscriptitalic">
    <w:name w:val="Subscript italic"/>
    <w:basedOn w:val="Subscript"/>
    <w:qFormat/>
    <w:rsid w:val="00574455"/>
    <w:rPr>
      <w:i/>
      <w:iCs/>
      <w:position w:val="-2"/>
      <w:vertAlign w:val="subscript"/>
    </w:rPr>
  </w:style>
  <w:style w:type="character" w:customStyle="1" w:styleId="SuperscriptItalic">
    <w:name w:val="Superscript Italic"/>
    <w:basedOn w:val="Superscript"/>
    <w:qFormat/>
    <w:rsid w:val="00574455"/>
    <w:rPr>
      <w:i/>
      <w:iCs/>
      <w:position w:val="0"/>
      <w:vertAlign w:val="superscript"/>
    </w:rPr>
  </w:style>
  <w:style w:type="numbering" w:customStyle="1" w:styleId="Bulletnew">
    <w:name w:val="Bullet new"/>
    <w:basedOn w:val="Bullets"/>
    <w:uiPriority w:val="99"/>
    <w:rsid w:val="00574455"/>
    <w:pPr>
      <w:numPr>
        <w:numId w:val="7"/>
      </w:numPr>
    </w:pPr>
  </w:style>
  <w:style w:type="table" w:customStyle="1" w:styleId="TableGANoHeader">
    <w:name w:val="Table GA No Header"/>
    <w:basedOn w:val="TableGAHeaderRow"/>
    <w:uiPriority w:val="99"/>
    <w:rsid w:val="00574455"/>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qFormat/>
    <w:rsid w:val="00574455"/>
    <w:pPr>
      <w:jc w:val="center"/>
    </w:pPr>
  </w:style>
  <w:style w:type="paragraph" w:customStyle="1" w:styleId="Authors">
    <w:name w:val="Authors"/>
    <w:basedOn w:val="BodyText"/>
    <w:next w:val="Figuresandimagesleft"/>
    <w:qFormat/>
    <w:rsid w:val="00574455"/>
    <w:pPr>
      <w:spacing w:after="2280"/>
    </w:pPr>
  </w:style>
  <w:style w:type="table" w:styleId="MediumShading1">
    <w:name w:val="Medium Shading 1"/>
    <w:basedOn w:val="TableNormal"/>
    <w:uiPriority w:val="63"/>
    <w:locked/>
    <w:rsid w:val="0057445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574455"/>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574455"/>
    <w:pPr>
      <w:spacing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574455"/>
    <w:pPr>
      <w:tabs>
        <w:tab w:val="clear" w:pos="9072"/>
        <w:tab w:val="right" w:pos="14005"/>
      </w:tabs>
    </w:pPr>
  </w:style>
  <w:style w:type="table" w:customStyle="1" w:styleId="TableGAHeaderColumn">
    <w:name w:val="Table GA Header Column"/>
    <w:basedOn w:val="TableGAHeaderRowColumn"/>
    <w:uiPriority w:val="99"/>
    <w:rsid w:val="0057445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74455"/>
    <w:pPr>
      <w:pageBreakBefore/>
      <w:spacing w:after="60" w:line="240" w:lineRule="atLeast"/>
    </w:pPr>
    <w:rPr>
      <w:rFonts w:cs="Arial"/>
      <w:b/>
      <w:kern w:val="28"/>
    </w:rPr>
  </w:style>
  <w:style w:type="paragraph" w:customStyle="1" w:styleId="BodyTextSymbolItalic">
    <w:name w:val="Body Text Symbol Italic"/>
    <w:next w:val="BodyText"/>
    <w:link w:val="BodyTextSymbolItalicChar"/>
    <w:qFormat/>
    <w:rsid w:val="00195F5B"/>
    <w:rPr>
      <w:rFonts w:ascii="Symbol" w:hAnsi="Symbol" w:cs="Arial"/>
      <w:i/>
      <w:kern w:val="28"/>
    </w:rPr>
  </w:style>
  <w:style w:type="character" w:customStyle="1" w:styleId="Italic">
    <w:name w:val="Italic"/>
    <w:basedOn w:val="DefaultParagraphFont"/>
    <w:qFormat/>
    <w:rsid w:val="00574455"/>
    <w:rPr>
      <w:i/>
    </w:rPr>
  </w:style>
  <w:style w:type="character" w:customStyle="1" w:styleId="ReferencesItalic">
    <w:name w:val="References Italic"/>
    <w:basedOn w:val="DefaultParagraphFont"/>
    <w:qFormat/>
    <w:rsid w:val="00574455"/>
    <w:rPr>
      <w:i/>
    </w:rPr>
  </w:style>
  <w:style w:type="paragraph" w:customStyle="1" w:styleId="StyleHeading4numberedNotBoldNotItalic">
    <w:name w:val="Style Heading 4 numbered + Not Bold Not Italic"/>
    <w:basedOn w:val="Head4nonumbers"/>
    <w:semiHidden/>
    <w:locked/>
    <w:rsid w:val="00277007"/>
    <w:rPr>
      <w:b w:val="0"/>
    </w:rPr>
  </w:style>
  <w:style w:type="numbering" w:customStyle="1" w:styleId="BulletsGA">
    <w:name w:val="Bullets GA"/>
    <w:basedOn w:val="NoList"/>
    <w:uiPriority w:val="99"/>
    <w:rsid w:val="00574455"/>
    <w:pPr>
      <w:numPr>
        <w:numId w:val="8"/>
      </w:numPr>
    </w:pPr>
  </w:style>
  <w:style w:type="paragraph" w:customStyle="1" w:styleId="FooterlandscapeA3">
    <w:name w:val="Footer landscape A3"/>
    <w:basedOn w:val="Footerlandscape"/>
    <w:qFormat/>
    <w:rsid w:val="00574455"/>
    <w:pPr>
      <w:tabs>
        <w:tab w:val="clear" w:pos="14005"/>
        <w:tab w:val="right" w:pos="20979"/>
      </w:tabs>
    </w:pPr>
  </w:style>
  <w:style w:type="paragraph" w:customStyle="1" w:styleId="Tablenotes">
    <w:name w:val="Table notes"/>
    <w:basedOn w:val="BodyText"/>
    <w:qFormat/>
    <w:rsid w:val="00574455"/>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574455"/>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574455"/>
    <w:pPr>
      <w:pageBreakBefore w:val="0"/>
      <w:numPr>
        <w:ilvl w:val="1"/>
        <w:numId w:val="11"/>
      </w:numPr>
      <w:spacing w:before="480" w:after="180"/>
      <w:outlineLvl w:val="1"/>
    </w:pPr>
    <w:rPr>
      <w:sz w:val="30"/>
      <w:szCs w:val="30"/>
    </w:rPr>
  </w:style>
  <w:style w:type="paragraph" w:customStyle="1" w:styleId="Headingappendix3">
    <w:name w:val="Heading appendix 3"/>
    <w:basedOn w:val="Headingappendix2"/>
    <w:next w:val="BodyText"/>
    <w:qFormat/>
    <w:rsid w:val="00574455"/>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57445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574455"/>
    <w:pPr>
      <w:numPr>
        <w:ilvl w:val="4"/>
      </w:numPr>
      <w:outlineLvl w:val="4"/>
    </w:pPr>
    <w:rPr>
      <w:b w:val="0"/>
      <w:bCs w:val="0"/>
    </w:rPr>
  </w:style>
  <w:style w:type="paragraph" w:customStyle="1" w:styleId="Equation">
    <w:name w:val="Equation"/>
    <w:basedOn w:val="BodyText"/>
    <w:next w:val="BodyText"/>
    <w:uiPriority w:val="7"/>
    <w:qFormat/>
    <w:rsid w:val="00574455"/>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Normal"/>
    <w:rsid w:val="00574455"/>
    <w:pPr>
      <w:spacing w:before="240" w:after="0"/>
    </w:pPr>
    <w:rPr>
      <w:b/>
      <w:kern w:val="28"/>
    </w:rPr>
  </w:style>
  <w:style w:type="character" w:styleId="BookTitle">
    <w:name w:val="Book Title"/>
    <w:aliases w:val="BT-DO NOT USE"/>
    <w:uiPriority w:val="33"/>
    <w:semiHidden/>
    <w:locked/>
    <w:rsid w:val="00574455"/>
  </w:style>
  <w:style w:type="character" w:styleId="CommentReference">
    <w:name w:val="annotation reference"/>
    <w:aliases w:val="CR-DO NOT USE"/>
    <w:semiHidden/>
    <w:locked/>
    <w:rsid w:val="00574455"/>
  </w:style>
  <w:style w:type="character" w:customStyle="1" w:styleId="HeaderChar">
    <w:name w:val="Header Char"/>
    <w:basedOn w:val="DefaultParagraphFont"/>
    <w:link w:val="Header"/>
    <w:rsid w:val="0025475F"/>
    <w:rPr>
      <w:rFonts w:ascii="Arial Bold" w:hAnsi="Arial Bold" w:cs="Arial"/>
      <w:b/>
      <w:sz w:val="16"/>
      <w:szCs w:val="16"/>
    </w:rPr>
  </w:style>
  <w:style w:type="paragraph" w:styleId="BodyTextIndent3">
    <w:name w:val="Body Text Indent 3"/>
    <w:aliases w:val="B3-DO NOT USE"/>
    <w:next w:val="BodyText"/>
    <w:link w:val="BodyTextIndent3Char"/>
    <w:semiHidden/>
    <w:locked/>
    <w:rsid w:val="00574455"/>
    <w:rPr>
      <w:rFonts w:cs="Arial"/>
    </w:rPr>
  </w:style>
  <w:style w:type="character" w:customStyle="1" w:styleId="BodyTextIndent3Char">
    <w:name w:val="Body Text Indent 3 Char"/>
    <w:aliases w:val="B3-DO NOT USE Char"/>
    <w:basedOn w:val="DefaultParagraphFont"/>
    <w:link w:val="BodyTextIndent3"/>
    <w:semiHidden/>
    <w:rsid w:val="00574455"/>
    <w:rPr>
      <w:rFonts w:cs="Arial"/>
    </w:rPr>
  </w:style>
  <w:style w:type="paragraph" w:styleId="BodyText3">
    <w:name w:val="Body Text 3"/>
    <w:aliases w:val="BT3-DO NOT USE"/>
    <w:next w:val="BodyText"/>
    <w:link w:val="BodyText3Char"/>
    <w:semiHidden/>
    <w:locked/>
    <w:rsid w:val="00574455"/>
    <w:rPr>
      <w:rFonts w:cs="Arial"/>
    </w:rPr>
  </w:style>
  <w:style w:type="character" w:customStyle="1" w:styleId="BodyText3Char">
    <w:name w:val="Body Text 3 Char"/>
    <w:aliases w:val="BT3-DO NOT USE Char"/>
    <w:basedOn w:val="DefaultParagraphFont"/>
    <w:link w:val="BodyText3"/>
    <w:semiHidden/>
    <w:rsid w:val="00574455"/>
    <w:rPr>
      <w:rFonts w:cs="Arial"/>
    </w:rPr>
  </w:style>
  <w:style w:type="character" w:styleId="SubtleReference">
    <w:name w:val="Subtle Reference"/>
    <w:aliases w:val="SR-DO NOT USE"/>
    <w:uiPriority w:val="31"/>
    <w:semiHidden/>
    <w:locked/>
    <w:rsid w:val="00574455"/>
  </w:style>
  <w:style w:type="character" w:styleId="SubtleEmphasis">
    <w:name w:val="Subtle Emphasis"/>
    <w:aliases w:val="SE-DO NOT USE"/>
    <w:uiPriority w:val="19"/>
    <w:semiHidden/>
    <w:locked/>
    <w:rsid w:val="00574455"/>
  </w:style>
  <w:style w:type="character" w:styleId="PlaceholderText">
    <w:name w:val="Placeholder Text"/>
    <w:aliases w:val="Pl-DO NOT USE"/>
    <w:uiPriority w:val="99"/>
    <w:semiHidden/>
    <w:locked/>
    <w:rsid w:val="00574455"/>
  </w:style>
  <w:style w:type="character" w:styleId="IntenseReference">
    <w:name w:val="Intense Reference"/>
    <w:aliases w:val="IR-DO NOT USE"/>
    <w:uiPriority w:val="32"/>
    <w:semiHidden/>
    <w:qFormat/>
    <w:locked/>
    <w:rsid w:val="00574455"/>
  </w:style>
  <w:style w:type="character" w:styleId="IntenseEmphasis">
    <w:name w:val="Intense Emphasis"/>
    <w:aliases w:val="IE-DO NOT USE"/>
    <w:uiPriority w:val="21"/>
    <w:semiHidden/>
    <w:qFormat/>
    <w:locked/>
    <w:rsid w:val="00574455"/>
  </w:style>
  <w:style w:type="character" w:styleId="EndnoteReference">
    <w:name w:val="endnote reference"/>
    <w:aliases w:val="ERe-DO NOT USE"/>
    <w:semiHidden/>
    <w:locked/>
    <w:rsid w:val="00574455"/>
  </w:style>
  <w:style w:type="paragraph" w:styleId="BodyTextIndent2">
    <w:name w:val="Body Text Indent 2"/>
    <w:aliases w:val="B2-DO NOT USE"/>
    <w:next w:val="BodyText"/>
    <w:link w:val="BodyTextIndent2Char"/>
    <w:semiHidden/>
    <w:locked/>
    <w:rsid w:val="00574455"/>
    <w:rPr>
      <w:rFonts w:cs="Arial"/>
    </w:rPr>
  </w:style>
  <w:style w:type="character" w:customStyle="1" w:styleId="BodyTextIndent2Char">
    <w:name w:val="Body Text Indent 2 Char"/>
    <w:aliases w:val="B2-DO NOT USE Char"/>
    <w:basedOn w:val="DefaultParagraphFont"/>
    <w:link w:val="BodyTextIndent2"/>
    <w:semiHidden/>
    <w:rsid w:val="00574455"/>
    <w:rPr>
      <w:rFonts w:cs="Arial"/>
    </w:rPr>
  </w:style>
  <w:style w:type="paragraph" w:styleId="BodyTextIndent">
    <w:name w:val="Body Text Indent"/>
    <w:aliases w:val="B1-DO NOT USE"/>
    <w:next w:val="BodyText"/>
    <w:link w:val="BodyTextIndentChar"/>
    <w:semiHidden/>
    <w:locked/>
    <w:rsid w:val="00574455"/>
    <w:rPr>
      <w:rFonts w:cs="Arial"/>
    </w:rPr>
  </w:style>
  <w:style w:type="character" w:customStyle="1" w:styleId="BodyTextIndentChar">
    <w:name w:val="Body Text Indent Char"/>
    <w:aliases w:val="B1-DO NOT USE Char"/>
    <w:basedOn w:val="DefaultParagraphFont"/>
    <w:link w:val="BodyTextIndent"/>
    <w:semiHidden/>
    <w:rsid w:val="00574455"/>
    <w:rPr>
      <w:rFonts w:cs="Arial"/>
    </w:rPr>
  </w:style>
  <w:style w:type="paragraph" w:styleId="BodyTextFirstIndent2">
    <w:name w:val="Body Text First Indent 2"/>
    <w:aliases w:val="Bi2-DO NOT USE"/>
    <w:next w:val="BodyText"/>
    <w:link w:val="BodyTextFirstIndent2Char"/>
    <w:semiHidden/>
    <w:locked/>
    <w:rsid w:val="00574455"/>
    <w:rPr>
      <w:rFonts w:cs="Arial"/>
    </w:rPr>
  </w:style>
  <w:style w:type="character" w:customStyle="1" w:styleId="BodyTextFirstIndent2Char">
    <w:name w:val="Body Text First Indent 2 Char"/>
    <w:aliases w:val="Bi2-DO NOT USE Char"/>
    <w:basedOn w:val="BodyTextIndentChar"/>
    <w:link w:val="BodyTextFirstIndent2"/>
    <w:semiHidden/>
    <w:rsid w:val="00574455"/>
    <w:rPr>
      <w:rFonts w:cs="Arial"/>
    </w:rPr>
  </w:style>
  <w:style w:type="paragraph" w:styleId="BodyTextFirstIndent">
    <w:name w:val="Body Text First Indent"/>
    <w:aliases w:val="Bi-DO NOT USE"/>
    <w:next w:val="BodyText"/>
    <w:link w:val="BodyTextFirstIndentChar"/>
    <w:semiHidden/>
    <w:locked/>
    <w:rsid w:val="00574455"/>
    <w:rPr>
      <w:rFonts w:cs="Arial"/>
    </w:rPr>
  </w:style>
  <w:style w:type="character" w:customStyle="1" w:styleId="BodyTextFirstIndentChar">
    <w:name w:val="Body Text First Indent Char"/>
    <w:aliases w:val="Bi-DO NOT USE Char"/>
    <w:basedOn w:val="BodyTextChar"/>
    <w:link w:val="BodyTextFirstIndent"/>
    <w:semiHidden/>
    <w:rsid w:val="00574455"/>
    <w:rPr>
      <w:rFonts w:cs="Arial"/>
    </w:rPr>
  </w:style>
  <w:style w:type="paragraph" w:styleId="BodyText2">
    <w:name w:val="Body Text 2"/>
    <w:aliases w:val="BT2-DO NOT USE"/>
    <w:next w:val="BodyText"/>
    <w:link w:val="BodyText2Char"/>
    <w:semiHidden/>
    <w:locked/>
    <w:rsid w:val="00574455"/>
    <w:rPr>
      <w:rFonts w:cs="Arial"/>
    </w:rPr>
  </w:style>
  <w:style w:type="character" w:customStyle="1" w:styleId="BodyText2Char">
    <w:name w:val="Body Text 2 Char"/>
    <w:aliases w:val="BT2-DO NOT USE Char"/>
    <w:basedOn w:val="DefaultParagraphFont"/>
    <w:link w:val="BodyText2"/>
    <w:semiHidden/>
    <w:rsid w:val="00574455"/>
    <w:rPr>
      <w:rFonts w:cs="Arial"/>
    </w:rPr>
  </w:style>
  <w:style w:type="character" w:styleId="FootnoteReference">
    <w:name w:val="footnote reference"/>
    <w:basedOn w:val="DefaultParagraphFont"/>
    <w:semiHidden/>
    <w:locked/>
    <w:rsid w:val="00574455"/>
    <w:rPr>
      <w:vertAlign w:val="superscript"/>
    </w:rPr>
  </w:style>
  <w:style w:type="table" w:customStyle="1" w:styleId="TableStyleGAHeaderColumn">
    <w:name w:val="Table Style GA Header Column"/>
    <w:basedOn w:val="TableNormal"/>
    <w:uiPriority w:val="99"/>
    <w:rsid w:val="006A5A7F"/>
    <w:pPr>
      <w:spacing w:before="0" w:after="0"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Bibliographicref">
    <w:name w:val="Bibliographic ref"/>
    <w:basedOn w:val="BodyText"/>
    <w:next w:val="BodyText"/>
    <w:link w:val="BibliographicrefChar"/>
    <w:qFormat/>
    <w:rsid w:val="006A5A7F"/>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paragraph" w:customStyle="1" w:styleId="Heading1numbered">
    <w:name w:val="Heading 1 numbered"/>
    <w:next w:val="BodyText"/>
    <w:link w:val="Heading1numberedChar"/>
    <w:qFormat/>
    <w:rsid w:val="006A5A7F"/>
    <w:pPr>
      <w:keepNext/>
      <w:keepLines/>
      <w:pageBreakBefore/>
      <w:numPr>
        <w:numId w:val="24"/>
      </w:numPr>
      <w:spacing w:before="0" w:after="1080" w:line="240" w:lineRule="auto"/>
    </w:pPr>
    <w:rPr>
      <w:rFonts w:cs="Arial"/>
      <w:kern w:val="28"/>
      <w:sz w:val="40"/>
    </w:rPr>
  </w:style>
  <w:style w:type="paragraph" w:customStyle="1" w:styleId="FiguresandImagesLeft0">
    <w:name w:val="Figures and Images Left"/>
    <w:basedOn w:val="BodyText"/>
    <w:next w:val="Captions"/>
    <w:link w:val="FiguresandImagesLeftChar0"/>
    <w:qFormat/>
    <w:rsid w:val="006A5A7F"/>
    <w:pPr>
      <w:keepNext/>
      <w:spacing w:before="480" w:after="80" w:line="160" w:lineRule="atLeast"/>
    </w:pPr>
  </w:style>
  <w:style w:type="character" w:customStyle="1" w:styleId="FiguresandImagesLeftChar0">
    <w:name w:val="Figures and Images Left Char"/>
    <w:link w:val="FiguresandImagesLeft0"/>
    <w:rsid w:val="006A5A7F"/>
    <w:rPr>
      <w:rFonts w:cs="Arial"/>
    </w:rPr>
  </w:style>
  <w:style w:type="character" w:customStyle="1" w:styleId="BibliographicrefChar">
    <w:name w:val="Bibliographic ref Char"/>
    <w:link w:val="Bibliographicref"/>
    <w:rsid w:val="006A5A7F"/>
    <w:rPr>
      <w:rFonts w:eastAsia="Times New Roman" w:cs="Arial"/>
    </w:rPr>
  </w:style>
  <w:style w:type="character" w:customStyle="1" w:styleId="Heading1numberedChar">
    <w:name w:val="Heading 1 numbered Char"/>
    <w:link w:val="Heading1numbered"/>
    <w:rsid w:val="006A5A7F"/>
    <w:rPr>
      <w:rFonts w:cs="Arial"/>
      <w:kern w:val="28"/>
      <w:sz w:val="40"/>
    </w:rPr>
  </w:style>
  <w:style w:type="paragraph" w:customStyle="1" w:styleId="Heading2numbered">
    <w:name w:val="Heading 2 numbered"/>
    <w:basedOn w:val="Heading1numbered"/>
    <w:next w:val="BodyText"/>
    <w:link w:val="Heading2numberedChar"/>
    <w:qFormat/>
    <w:rsid w:val="006A5A7F"/>
    <w:pPr>
      <w:pageBreakBefore w:val="0"/>
      <w:numPr>
        <w:ilvl w:val="1"/>
      </w:numPr>
      <w:spacing w:before="480" w:after="180"/>
    </w:pPr>
    <w:rPr>
      <w:sz w:val="30"/>
      <w:szCs w:val="28"/>
    </w:rPr>
  </w:style>
  <w:style w:type="paragraph" w:customStyle="1" w:styleId="Heading3numbered">
    <w:name w:val="Heading 3 numbered"/>
    <w:basedOn w:val="Heading2numbered"/>
    <w:next w:val="BodyText"/>
    <w:link w:val="Heading3numberedChar"/>
    <w:qFormat/>
    <w:rsid w:val="006A5A7F"/>
    <w:pPr>
      <w:numPr>
        <w:ilvl w:val="2"/>
      </w:numPr>
    </w:pPr>
    <w:rPr>
      <w:rFonts w:cs="Lucida Sans Unicode"/>
      <w:b/>
      <w:sz w:val="24"/>
      <w:szCs w:val="24"/>
    </w:rPr>
  </w:style>
  <w:style w:type="paragraph" w:customStyle="1" w:styleId="Heading4numbered">
    <w:name w:val="Heading 4 numbered"/>
    <w:basedOn w:val="Heading3numbered"/>
    <w:next w:val="BodyText"/>
    <w:link w:val="Heading4numberedChar"/>
    <w:qFormat/>
    <w:rsid w:val="006A5A7F"/>
    <w:pPr>
      <w:numPr>
        <w:ilvl w:val="3"/>
      </w:numPr>
      <w:spacing w:before="360"/>
    </w:pPr>
    <w:rPr>
      <w:i/>
      <w:sz w:val="22"/>
      <w:szCs w:val="22"/>
    </w:rPr>
  </w:style>
  <w:style w:type="paragraph" w:customStyle="1" w:styleId="Heading5numbered">
    <w:name w:val="Heading 5 numbered"/>
    <w:basedOn w:val="Heading4numbered"/>
    <w:next w:val="BodyText"/>
    <w:rsid w:val="006A5A7F"/>
    <w:pPr>
      <w:numPr>
        <w:ilvl w:val="4"/>
      </w:numPr>
      <w:tabs>
        <w:tab w:val="num" w:pos="3600"/>
      </w:tabs>
      <w:ind w:left="3600" w:hanging="360"/>
    </w:pPr>
    <w:rPr>
      <w:b w:val="0"/>
    </w:rPr>
  </w:style>
  <w:style w:type="character" w:customStyle="1" w:styleId="Heading2numberedChar">
    <w:name w:val="Heading 2 numbered Char"/>
    <w:link w:val="Heading2numbered"/>
    <w:rsid w:val="006A5A7F"/>
    <w:rPr>
      <w:rFonts w:cs="Arial"/>
      <w:kern w:val="28"/>
      <w:sz w:val="30"/>
      <w:szCs w:val="28"/>
    </w:rPr>
  </w:style>
  <w:style w:type="character" w:customStyle="1" w:styleId="Heading3numberedChar">
    <w:name w:val="Heading 3 numbered Char"/>
    <w:link w:val="Heading3numbered"/>
    <w:rsid w:val="006A5A7F"/>
    <w:rPr>
      <w:rFonts w:cs="Lucida Sans Unicode"/>
      <w:b/>
      <w:kern w:val="28"/>
      <w:sz w:val="24"/>
      <w:szCs w:val="24"/>
    </w:rPr>
  </w:style>
  <w:style w:type="character" w:customStyle="1" w:styleId="Heading4numberedChar">
    <w:name w:val="Heading 4 numbered Char"/>
    <w:link w:val="Heading4numbered"/>
    <w:rsid w:val="006A5A7F"/>
    <w:rPr>
      <w:rFonts w:cs="Lucida Sans Unicode"/>
      <w:b/>
      <w:i/>
      <w:kern w:val="28"/>
      <w:sz w:val="22"/>
      <w:szCs w:val="22"/>
    </w:rPr>
  </w:style>
  <w:style w:type="paragraph" w:customStyle="1" w:styleId="Versopagebold">
    <w:name w:val="Verso page bold"/>
    <w:basedOn w:val="BodyText"/>
    <w:next w:val="Versopageinfo"/>
    <w:rsid w:val="006A5A7F"/>
    <w:pPr>
      <w:spacing w:before="360" w:after="60"/>
    </w:pPr>
    <w:rPr>
      <w:b/>
      <w:kern w:val="28"/>
    </w:rPr>
  </w:style>
  <w:style w:type="table" w:customStyle="1" w:styleId="TableStyleGAHeaderRow">
    <w:name w:val="Table Style GA Header Row"/>
    <w:basedOn w:val="TableNormal"/>
    <w:rsid w:val="006A5A7F"/>
    <w:pPr>
      <w:spacing w:before="0" w:after="0"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styleId="TableofAuthorities">
    <w:name w:val="table of authorities"/>
    <w:basedOn w:val="Normal"/>
    <w:next w:val="Normal"/>
    <w:semiHidden/>
    <w:locked/>
    <w:rsid w:val="006A5A7F"/>
    <w:pPr>
      <w:spacing w:before="0" w:after="0"/>
      <w:ind w:left="200" w:hanging="200"/>
    </w:pPr>
    <w:rPr>
      <w:rFonts w:cs="Times New Roman"/>
    </w:rPr>
  </w:style>
  <w:style w:type="table" w:customStyle="1" w:styleId="TableStyleGANoHeaders">
    <w:name w:val="Table Style GA No Headers"/>
    <w:basedOn w:val="TableStyleGAHeaderRow"/>
    <w:uiPriority w:val="99"/>
    <w:rsid w:val="006A5A7F"/>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0">
    <w:name w:val="Figures and Images centred"/>
    <w:basedOn w:val="FiguresandImagesLeft0"/>
    <w:qFormat/>
    <w:rsid w:val="006A5A7F"/>
    <w:pPr>
      <w:jc w:val="center"/>
    </w:pPr>
  </w:style>
  <w:style w:type="table" w:customStyle="1" w:styleId="TableStyleGAHeaderRowColumn">
    <w:name w:val="Table Style GA Header Row &amp; Column"/>
    <w:basedOn w:val="TableNormal"/>
    <w:uiPriority w:val="99"/>
    <w:rsid w:val="006A5A7F"/>
    <w:pPr>
      <w:spacing w:before="0" w:after="0"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paragraph" w:customStyle="1" w:styleId="Title1">
    <w:name w:val="Title1"/>
    <w:rsid w:val="006A5A7F"/>
    <w:pPr>
      <w:keepNext/>
      <w:spacing w:before="0" w:after="0" w:line="240" w:lineRule="auto"/>
    </w:pPr>
    <w:rPr>
      <w:rFonts w:ascii="Helvetica" w:eastAsia="Arial Unicode MS" w:hAnsi="Helvetica"/>
      <w:b/>
      <w:color w:val="000000"/>
      <w:sz w:val="72"/>
    </w:rPr>
  </w:style>
  <w:style w:type="numbering" w:customStyle="1" w:styleId="StyleNumberedOutlinenumberedHelvetica12ptBlackHanging">
    <w:name w:val="Style Numbered + Outline numbered Helvetica 12 pt Black Hanging..."/>
    <w:basedOn w:val="NoList"/>
    <w:rsid w:val="006A5A7F"/>
    <w:pPr>
      <w:numPr>
        <w:numId w:val="25"/>
      </w:numPr>
    </w:pPr>
  </w:style>
  <w:style w:type="table" w:styleId="MediumShading2-Accent1">
    <w:name w:val="Medium Shading 2 Accent 1"/>
    <w:basedOn w:val="TableNormal"/>
    <w:uiPriority w:val="64"/>
    <w:locked/>
    <w:rsid w:val="006A5A7F"/>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locked/>
    <w:rsid w:val="006A5A7F"/>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locked/>
    <w:rsid w:val="006A5A7F"/>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uiPriority w:val="65"/>
    <w:locked/>
    <w:rsid w:val="006A5A7F"/>
    <w:pPr>
      <w:spacing w:before="0"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locked/>
    <w:rsid w:val="00DA38AD"/>
    <w:pPr>
      <w:spacing w:before="0"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BodyTextBold">
    <w:name w:val="Body Text Bold"/>
    <w:next w:val="BodyText"/>
    <w:link w:val="BodyTextBoldChar"/>
    <w:qFormat/>
    <w:rsid w:val="00195F5B"/>
    <w:rPr>
      <w:rFonts w:cs="Arial"/>
      <w:b/>
    </w:rPr>
  </w:style>
  <w:style w:type="paragraph" w:customStyle="1" w:styleId="Tabletextcentredbolditalic">
    <w:name w:val="Table text centred bold italic"/>
    <w:basedOn w:val="Tabletextcentred"/>
    <w:next w:val="Tabletextcentred"/>
    <w:link w:val="TabletextcentredbolditalicChar"/>
    <w:qFormat/>
    <w:rsid w:val="00195F5B"/>
    <w:rPr>
      <w:rFonts w:eastAsia="Arial Unicode MS"/>
      <w:b/>
      <w:i/>
    </w:rPr>
  </w:style>
  <w:style w:type="character" w:customStyle="1" w:styleId="BodyTextBoldChar">
    <w:name w:val="Body Text Bold Char"/>
    <w:basedOn w:val="DefaultParagraphFont"/>
    <w:link w:val="BodyTextBold"/>
    <w:rsid w:val="00195F5B"/>
    <w:rPr>
      <w:rFonts w:cs="Arial"/>
      <w:b/>
    </w:rPr>
  </w:style>
  <w:style w:type="character" w:customStyle="1" w:styleId="BodyTextSymbolItalicChar">
    <w:name w:val="Body Text Symbol Italic Char"/>
    <w:basedOn w:val="DefaultParagraphFont"/>
    <w:link w:val="BodyTextSymbolItalic"/>
    <w:rsid w:val="00195F5B"/>
    <w:rPr>
      <w:rFonts w:ascii="Symbol" w:hAnsi="Symbol" w:cs="Arial"/>
      <w:i/>
      <w:kern w:val="28"/>
    </w:rPr>
  </w:style>
  <w:style w:type="paragraph" w:customStyle="1" w:styleId="Tabletextcentreditalic">
    <w:name w:val="Table text centred italic"/>
    <w:next w:val="Tabletextcentred"/>
    <w:link w:val="TabletextcentreditalicChar"/>
    <w:qFormat/>
    <w:rsid w:val="00036022"/>
    <w:pPr>
      <w:jc w:val="center"/>
    </w:pPr>
    <w:rPr>
      <w:rFonts w:eastAsia="Arial Unicode MS" w:cs="Arial"/>
      <w:i/>
      <w:sz w:val="18"/>
    </w:rPr>
  </w:style>
  <w:style w:type="character" w:customStyle="1" w:styleId="TabletextleftChar">
    <w:name w:val="Table text left Char"/>
    <w:basedOn w:val="DefaultParagraphFont"/>
    <w:link w:val="Tabletextleft"/>
    <w:rsid w:val="00195F5B"/>
    <w:rPr>
      <w:rFonts w:eastAsia="Times New Roman" w:cs="Arial"/>
      <w:sz w:val="18"/>
    </w:rPr>
  </w:style>
  <w:style w:type="character" w:customStyle="1" w:styleId="TabletextcentredChar">
    <w:name w:val="Table text centred Char"/>
    <w:basedOn w:val="TabletextleftChar"/>
    <w:link w:val="Tabletextcentred"/>
    <w:rsid w:val="00195F5B"/>
    <w:rPr>
      <w:rFonts w:eastAsia="Times New Roman" w:cs="Arial"/>
      <w:sz w:val="18"/>
    </w:rPr>
  </w:style>
  <w:style w:type="character" w:customStyle="1" w:styleId="TabletextcentredbolditalicChar">
    <w:name w:val="Table text centred bold italic Char"/>
    <w:basedOn w:val="TabletextcentredChar"/>
    <w:link w:val="Tabletextcentredbolditalic"/>
    <w:rsid w:val="00195F5B"/>
    <w:rPr>
      <w:rFonts w:eastAsia="Arial Unicode MS" w:cs="Arial"/>
      <w:b/>
      <w:i/>
      <w:sz w:val="18"/>
    </w:rPr>
  </w:style>
  <w:style w:type="paragraph" w:customStyle="1" w:styleId="Tabletextcentredbold">
    <w:name w:val="Table text centred bold"/>
    <w:next w:val="Tabletextcentred"/>
    <w:link w:val="TabletextcentredboldChar"/>
    <w:qFormat/>
    <w:rsid w:val="00036022"/>
    <w:pPr>
      <w:jc w:val="center"/>
    </w:pPr>
    <w:rPr>
      <w:rFonts w:eastAsia="Times New Roman" w:cs="Arial"/>
      <w:b/>
      <w:bCs/>
      <w:sz w:val="18"/>
    </w:rPr>
  </w:style>
  <w:style w:type="character" w:customStyle="1" w:styleId="TabletextcentreditalicChar">
    <w:name w:val="Table text centred italic Char"/>
    <w:basedOn w:val="DefaultParagraphFont"/>
    <w:link w:val="Tabletextcentreditalic"/>
    <w:rsid w:val="00036022"/>
    <w:rPr>
      <w:rFonts w:eastAsia="Arial Unicode MS" w:cs="Arial"/>
      <w:i/>
      <w:sz w:val="18"/>
    </w:rPr>
  </w:style>
  <w:style w:type="character" w:customStyle="1" w:styleId="TabletextcentredboldChar">
    <w:name w:val="Table text centred bold Char"/>
    <w:basedOn w:val="DefaultParagraphFont"/>
    <w:link w:val="Tabletextcentredbold"/>
    <w:rsid w:val="00036022"/>
    <w:rPr>
      <w:rFonts w:eastAsia="Times New Roman" w:cs="Arial"/>
      <w:b/>
      <w:bCs/>
      <w:sz w:val="18"/>
    </w:rPr>
  </w:style>
  <w:style w:type="paragraph" w:customStyle="1" w:styleId="FootnoteText1">
    <w:name w:val="Footnote Text1"/>
    <w:basedOn w:val="Notes"/>
    <w:link w:val="FootnotetextChar0"/>
    <w:qFormat/>
    <w:rsid w:val="006771CA"/>
    <w:pPr>
      <w:pBdr>
        <w:top w:val="none" w:sz="0" w:space="0" w:color="auto"/>
      </w:pBdr>
      <w:spacing w:before="60" w:after="60"/>
      <w:ind w:left="113" w:hanging="113"/>
    </w:pPr>
  </w:style>
  <w:style w:type="character" w:customStyle="1" w:styleId="NotesChar">
    <w:name w:val="Notes Char"/>
    <w:basedOn w:val="BodyTextChar"/>
    <w:link w:val="Notes"/>
    <w:rsid w:val="006771CA"/>
    <w:rPr>
      <w:rFonts w:eastAsia="Times New Roman" w:cs="Arial"/>
      <w:sz w:val="16"/>
    </w:rPr>
  </w:style>
  <w:style w:type="character" w:customStyle="1" w:styleId="FootnotetextChar0">
    <w:name w:val="Footnote text Char"/>
    <w:basedOn w:val="NotesChar"/>
    <w:link w:val="FootnoteText1"/>
    <w:rsid w:val="006771CA"/>
    <w:rPr>
      <w:rFonts w:eastAsia="Times New Roman" w:cs="Arial"/>
      <w:sz w:val="16"/>
    </w:rPr>
  </w:style>
  <w:style w:type="paragraph" w:customStyle="1" w:styleId="Bulletlevel1numberedsuperscript">
    <w:name w:val="Bullet level 1 numbered superscript"/>
    <w:basedOn w:val="Bulletlevel1numbered"/>
    <w:next w:val="Bulletlevel1numbered"/>
    <w:link w:val="Bulletlevel1numberedsuperscriptChar"/>
    <w:qFormat/>
    <w:rsid w:val="007C6CB4"/>
    <w:rPr>
      <w:vertAlign w:val="superscript"/>
    </w:rPr>
  </w:style>
  <w:style w:type="character" w:customStyle="1" w:styleId="Bulletlevel1numberedsuperscriptChar">
    <w:name w:val="Bullet level 1 numbered superscript Char"/>
    <w:basedOn w:val="Bulletlevel1numberedChar"/>
    <w:link w:val="Bulletlevel1numberedsuperscript"/>
    <w:rsid w:val="007C6CB4"/>
    <w:rPr>
      <w:rFonts w:eastAsia="Times New Roman" w:cs="Arial"/>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962267898">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559823931">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arthdata.nasa.gov/" TargetMode="External"/><Relationship Id="rId18" Type="http://schemas.openxmlformats.org/officeDocument/2006/relationships/image" Target="media/image3.jpeg"/><Relationship Id="rId26" Type="http://schemas.openxmlformats.org/officeDocument/2006/relationships/diagramQuickStyle" Target="diagrams/quickStyle2.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8.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diagramLayout" Target="diagrams/layout2.xml"/><Relationship Id="rId33" Type="http://schemas.openxmlformats.org/officeDocument/2006/relationships/image" Target="media/image7.pn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Layout" Target="diagrams/layout1.xml"/><Relationship Id="rId29" Type="http://schemas.openxmlformats.org/officeDocument/2006/relationships/image" Target="media/image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diagramData" Target="diagrams/data2.xm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0.emf"/><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oleObject" Target="embeddings/oleObject1.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5.wmf"/><Relationship Id="rId35" Type="http://schemas.openxmlformats.org/officeDocument/2006/relationships/image" Target="media/image9.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ncdc.noaa.gov/oa/ibtrac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5DC3DE-4252-4DDE-9CB3-DED7303DCBF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8C31C7E3-61F9-45CC-B761-12AFD1FA9CAC}">
      <dgm:prSet phldrT="[Text]"/>
      <dgm:spPr/>
      <dgm:t>
        <a:bodyPr/>
        <a:lstStyle/>
        <a:p>
          <a:r>
            <a:rPr lang="en-AU"/>
            <a:t>CMIP3 general circulation model</a:t>
          </a:r>
        </a:p>
      </dgm:t>
    </dgm:pt>
    <dgm:pt modelId="{C828D15E-BFED-4701-A18D-930751F4E772}" type="parTrans" cxnId="{B79E82C2-73E8-432F-9BF4-26E2E08138F3}">
      <dgm:prSet/>
      <dgm:spPr/>
      <dgm:t>
        <a:bodyPr/>
        <a:lstStyle/>
        <a:p>
          <a:endParaRPr lang="en-AU"/>
        </a:p>
      </dgm:t>
    </dgm:pt>
    <dgm:pt modelId="{E094E570-1103-4D71-BC4F-F854E887F628}" type="sibTrans" cxnId="{B79E82C2-73E8-432F-9BF4-26E2E08138F3}">
      <dgm:prSet/>
      <dgm:spPr/>
      <dgm:t>
        <a:bodyPr/>
        <a:lstStyle/>
        <a:p>
          <a:endParaRPr lang="en-AU"/>
        </a:p>
      </dgm:t>
    </dgm:pt>
    <dgm:pt modelId="{F34DF5BF-489E-4EBA-81A1-3C69FF623BCA}">
      <dgm:prSet phldrT="[Text]"/>
      <dgm:spPr/>
      <dgm:t>
        <a:bodyPr/>
        <a:lstStyle/>
        <a:p>
          <a:r>
            <a:rPr lang="en-AU"/>
            <a:t>CCAM downscaling using bias-corrected SSTs </a:t>
          </a:r>
        </a:p>
      </dgm:t>
    </dgm:pt>
    <dgm:pt modelId="{3E08CA15-8D5A-4C50-A0F4-C880834CC69B}" type="parTrans" cxnId="{3A08E134-A9A1-4821-B2A2-22762D59F7AA}">
      <dgm:prSet/>
      <dgm:spPr/>
      <dgm:t>
        <a:bodyPr/>
        <a:lstStyle/>
        <a:p>
          <a:endParaRPr lang="en-AU"/>
        </a:p>
      </dgm:t>
    </dgm:pt>
    <dgm:pt modelId="{61AEC454-1585-46EA-9BB1-5D93B247FE40}" type="sibTrans" cxnId="{3A08E134-A9A1-4821-B2A2-22762D59F7AA}">
      <dgm:prSet/>
      <dgm:spPr/>
      <dgm:t>
        <a:bodyPr/>
        <a:lstStyle/>
        <a:p>
          <a:endParaRPr lang="en-AU"/>
        </a:p>
      </dgm:t>
    </dgm:pt>
    <dgm:pt modelId="{4CEE1F83-9C5D-4A96-A179-447D41C95BD3}">
      <dgm:prSet phldrT="[Text]"/>
      <dgm:spPr/>
      <dgm:t>
        <a:bodyPr/>
        <a:lstStyle/>
        <a:p>
          <a:r>
            <a:rPr lang="en-AU"/>
            <a:t>TCLV identification and tracking</a:t>
          </a:r>
        </a:p>
      </dgm:t>
    </dgm:pt>
    <dgm:pt modelId="{5F90E4A1-6FB8-45B6-AC09-4D74EBE74C02}" type="parTrans" cxnId="{25B544AE-665C-41DF-AE32-5E242A17402B}">
      <dgm:prSet/>
      <dgm:spPr/>
      <dgm:t>
        <a:bodyPr/>
        <a:lstStyle/>
        <a:p>
          <a:endParaRPr lang="en-AU"/>
        </a:p>
      </dgm:t>
    </dgm:pt>
    <dgm:pt modelId="{3E8C6FBA-E86B-4AE4-A7A0-CCC18D5FF8F0}" type="sibTrans" cxnId="{25B544AE-665C-41DF-AE32-5E242A17402B}">
      <dgm:prSet/>
      <dgm:spPr/>
      <dgm:t>
        <a:bodyPr/>
        <a:lstStyle/>
        <a:p>
          <a:endParaRPr lang="en-AU"/>
        </a:p>
      </dgm:t>
    </dgm:pt>
    <dgm:pt modelId="{44919D18-27FE-473A-BB27-899823FDDF59}">
      <dgm:prSet phldrT="[Text]"/>
      <dgm:spPr/>
      <dgm:t>
        <a:bodyPr/>
        <a:lstStyle/>
        <a:p>
          <a:r>
            <a:rPr lang="en-AU"/>
            <a:t>Peril matrix</a:t>
          </a:r>
        </a:p>
      </dgm:t>
    </dgm:pt>
    <dgm:pt modelId="{7991A0A2-DA8A-40E0-A979-8788EC1EFE31}" type="parTrans" cxnId="{64A680DC-9729-40A4-B077-A1F184981CE8}">
      <dgm:prSet/>
      <dgm:spPr/>
      <dgm:t>
        <a:bodyPr/>
        <a:lstStyle/>
        <a:p>
          <a:endParaRPr lang="en-AU"/>
        </a:p>
      </dgm:t>
    </dgm:pt>
    <dgm:pt modelId="{F5E6D696-1396-4CBE-8C1C-E0413D221912}" type="sibTrans" cxnId="{64A680DC-9729-40A4-B077-A1F184981CE8}">
      <dgm:prSet/>
      <dgm:spPr/>
      <dgm:t>
        <a:bodyPr/>
        <a:lstStyle/>
        <a:p>
          <a:endParaRPr lang="en-AU"/>
        </a:p>
      </dgm:t>
    </dgm:pt>
    <dgm:pt modelId="{906A285E-EF37-43F0-93C7-415BDE23571B}">
      <dgm:prSet phldrT="[Text]"/>
      <dgm:spPr/>
      <dgm:t>
        <a:bodyPr/>
        <a:lstStyle/>
        <a:p>
          <a:r>
            <a:rPr lang="en-AU"/>
            <a:t>Quantile scaling for intensity</a:t>
          </a:r>
        </a:p>
      </dgm:t>
    </dgm:pt>
    <dgm:pt modelId="{AC1BA277-82D5-407C-B610-E467D5379B7F}" type="parTrans" cxnId="{F65BB569-3A9C-4150-BA9C-DDF3AB56E32E}">
      <dgm:prSet/>
      <dgm:spPr/>
      <dgm:t>
        <a:bodyPr/>
        <a:lstStyle/>
        <a:p>
          <a:endParaRPr lang="en-AU"/>
        </a:p>
      </dgm:t>
    </dgm:pt>
    <dgm:pt modelId="{90783D34-EA21-4A71-BC3E-E243FF94C363}" type="sibTrans" cxnId="{F65BB569-3A9C-4150-BA9C-DDF3AB56E32E}">
      <dgm:prSet/>
      <dgm:spPr/>
      <dgm:t>
        <a:bodyPr/>
        <a:lstStyle/>
        <a:p>
          <a:endParaRPr lang="en-AU"/>
        </a:p>
      </dgm:t>
    </dgm:pt>
    <dgm:pt modelId="{A364FF0B-8787-483C-8490-635A01FB16B8}" type="pres">
      <dgm:prSet presAssocID="{D65DC3DE-4252-4DDE-9CB3-DED7303DCBFE}" presName="linearFlow" presStyleCnt="0">
        <dgm:presLayoutVars>
          <dgm:resizeHandles val="exact"/>
        </dgm:presLayoutVars>
      </dgm:prSet>
      <dgm:spPr/>
      <dgm:t>
        <a:bodyPr/>
        <a:lstStyle/>
        <a:p>
          <a:endParaRPr lang="en-AU"/>
        </a:p>
      </dgm:t>
    </dgm:pt>
    <dgm:pt modelId="{D68DAE71-435F-4DAC-880E-58980EE823C8}" type="pres">
      <dgm:prSet presAssocID="{8C31C7E3-61F9-45CC-B761-12AFD1FA9CAC}" presName="node" presStyleLbl="node1" presStyleIdx="0" presStyleCnt="5">
        <dgm:presLayoutVars>
          <dgm:bulletEnabled val="1"/>
        </dgm:presLayoutVars>
      </dgm:prSet>
      <dgm:spPr/>
      <dgm:t>
        <a:bodyPr/>
        <a:lstStyle/>
        <a:p>
          <a:endParaRPr lang="en-AU"/>
        </a:p>
      </dgm:t>
    </dgm:pt>
    <dgm:pt modelId="{DCEB970C-A3EE-4D7E-87ED-955D32175D7D}" type="pres">
      <dgm:prSet presAssocID="{E094E570-1103-4D71-BC4F-F854E887F628}" presName="sibTrans" presStyleLbl="sibTrans2D1" presStyleIdx="0" presStyleCnt="4"/>
      <dgm:spPr/>
      <dgm:t>
        <a:bodyPr/>
        <a:lstStyle/>
        <a:p>
          <a:endParaRPr lang="en-AU"/>
        </a:p>
      </dgm:t>
    </dgm:pt>
    <dgm:pt modelId="{4861BE7A-6322-421F-B2F9-46EF0C6C40F2}" type="pres">
      <dgm:prSet presAssocID="{E094E570-1103-4D71-BC4F-F854E887F628}" presName="connectorText" presStyleLbl="sibTrans2D1" presStyleIdx="0" presStyleCnt="4"/>
      <dgm:spPr/>
      <dgm:t>
        <a:bodyPr/>
        <a:lstStyle/>
        <a:p>
          <a:endParaRPr lang="en-AU"/>
        </a:p>
      </dgm:t>
    </dgm:pt>
    <dgm:pt modelId="{28F32466-F2F2-4D31-983B-78E6797083AA}" type="pres">
      <dgm:prSet presAssocID="{F34DF5BF-489E-4EBA-81A1-3C69FF623BCA}" presName="node" presStyleLbl="node1" presStyleIdx="1" presStyleCnt="5">
        <dgm:presLayoutVars>
          <dgm:bulletEnabled val="1"/>
        </dgm:presLayoutVars>
      </dgm:prSet>
      <dgm:spPr/>
      <dgm:t>
        <a:bodyPr/>
        <a:lstStyle/>
        <a:p>
          <a:endParaRPr lang="en-AU"/>
        </a:p>
      </dgm:t>
    </dgm:pt>
    <dgm:pt modelId="{0C78A0D8-2B57-460E-BBED-24FF2C287046}" type="pres">
      <dgm:prSet presAssocID="{61AEC454-1585-46EA-9BB1-5D93B247FE40}" presName="sibTrans" presStyleLbl="sibTrans2D1" presStyleIdx="1" presStyleCnt="4"/>
      <dgm:spPr/>
      <dgm:t>
        <a:bodyPr/>
        <a:lstStyle/>
        <a:p>
          <a:endParaRPr lang="en-AU"/>
        </a:p>
      </dgm:t>
    </dgm:pt>
    <dgm:pt modelId="{3D6FE60F-2FCB-4740-A311-740F1F79DCF0}" type="pres">
      <dgm:prSet presAssocID="{61AEC454-1585-46EA-9BB1-5D93B247FE40}" presName="connectorText" presStyleLbl="sibTrans2D1" presStyleIdx="1" presStyleCnt="4"/>
      <dgm:spPr/>
      <dgm:t>
        <a:bodyPr/>
        <a:lstStyle/>
        <a:p>
          <a:endParaRPr lang="en-AU"/>
        </a:p>
      </dgm:t>
    </dgm:pt>
    <dgm:pt modelId="{C2438094-FB56-41E0-8E88-BC39C721F476}" type="pres">
      <dgm:prSet presAssocID="{4CEE1F83-9C5D-4A96-A179-447D41C95BD3}" presName="node" presStyleLbl="node1" presStyleIdx="2" presStyleCnt="5">
        <dgm:presLayoutVars>
          <dgm:bulletEnabled val="1"/>
        </dgm:presLayoutVars>
      </dgm:prSet>
      <dgm:spPr/>
      <dgm:t>
        <a:bodyPr/>
        <a:lstStyle/>
        <a:p>
          <a:endParaRPr lang="en-AU"/>
        </a:p>
      </dgm:t>
    </dgm:pt>
    <dgm:pt modelId="{6931690F-C49C-48DB-B878-C0F44565DB59}" type="pres">
      <dgm:prSet presAssocID="{3E8C6FBA-E86B-4AE4-A7A0-CCC18D5FF8F0}" presName="sibTrans" presStyleLbl="sibTrans2D1" presStyleIdx="2" presStyleCnt="4"/>
      <dgm:spPr/>
      <dgm:t>
        <a:bodyPr/>
        <a:lstStyle/>
        <a:p>
          <a:endParaRPr lang="en-AU"/>
        </a:p>
      </dgm:t>
    </dgm:pt>
    <dgm:pt modelId="{EFB7F41D-6CF6-41C9-961F-540EF4ECD2C5}" type="pres">
      <dgm:prSet presAssocID="{3E8C6FBA-E86B-4AE4-A7A0-CCC18D5FF8F0}" presName="connectorText" presStyleLbl="sibTrans2D1" presStyleIdx="2" presStyleCnt="4"/>
      <dgm:spPr/>
      <dgm:t>
        <a:bodyPr/>
        <a:lstStyle/>
        <a:p>
          <a:endParaRPr lang="en-AU"/>
        </a:p>
      </dgm:t>
    </dgm:pt>
    <dgm:pt modelId="{65987265-153D-4494-A041-A5635444D92D}" type="pres">
      <dgm:prSet presAssocID="{906A285E-EF37-43F0-93C7-415BDE23571B}" presName="node" presStyleLbl="node1" presStyleIdx="3" presStyleCnt="5">
        <dgm:presLayoutVars>
          <dgm:bulletEnabled val="1"/>
        </dgm:presLayoutVars>
      </dgm:prSet>
      <dgm:spPr/>
      <dgm:t>
        <a:bodyPr/>
        <a:lstStyle/>
        <a:p>
          <a:endParaRPr lang="en-AU"/>
        </a:p>
      </dgm:t>
    </dgm:pt>
    <dgm:pt modelId="{DEE86DD5-A338-4C86-A6A5-595EB753F7C9}" type="pres">
      <dgm:prSet presAssocID="{90783D34-EA21-4A71-BC3E-E243FF94C363}" presName="sibTrans" presStyleLbl="sibTrans2D1" presStyleIdx="3" presStyleCnt="4"/>
      <dgm:spPr/>
      <dgm:t>
        <a:bodyPr/>
        <a:lstStyle/>
        <a:p>
          <a:endParaRPr lang="en-AU"/>
        </a:p>
      </dgm:t>
    </dgm:pt>
    <dgm:pt modelId="{F848BA2B-477E-4B0D-AAAE-5F7B4CFA95FC}" type="pres">
      <dgm:prSet presAssocID="{90783D34-EA21-4A71-BC3E-E243FF94C363}" presName="connectorText" presStyleLbl="sibTrans2D1" presStyleIdx="3" presStyleCnt="4"/>
      <dgm:spPr/>
      <dgm:t>
        <a:bodyPr/>
        <a:lstStyle/>
        <a:p>
          <a:endParaRPr lang="en-AU"/>
        </a:p>
      </dgm:t>
    </dgm:pt>
    <dgm:pt modelId="{6EE4731F-DA58-47A2-9020-7324531F5B86}" type="pres">
      <dgm:prSet presAssocID="{44919D18-27FE-473A-BB27-899823FDDF59}" presName="node" presStyleLbl="node1" presStyleIdx="4" presStyleCnt="5">
        <dgm:presLayoutVars>
          <dgm:bulletEnabled val="1"/>
        </dgm:presLayoutVars>
      </dgm:prSet>
      <dgm:spPr/>
      <dgm:t>
        <a:bodyPr/>
        <a:lstStyle/>
        <a:p>
          <a:endParaRPr lang="en-AU"/>
        </a:p>
      </dgm:t>
    </dgm:pt>
  </dgm:ptLst>
  <dgm:cxnLst>
    <dgm:cxn modelId="{5079F3FB-12DC-4B2C-916B-A6B38C593262}" type="presOf" srcId="{90783D34-EA21-4A71-BC3E-E243FF94C363}" destId="{F848BA2B-477E-4B0D-AAAE-5F7B4CFA95FC}" srcOrd="1" destOrd="0" presId="urn:microsoft.com/office/officeart/2005/8/layout/process2"/>
    <dgm:cxn modelId="{3E842336-B17F-41C1-AE2D-D8DDCA59F115}" type="presOf" srcId="{3E8C6FBA-E86B-4AE4-A7A0-CCC18D5FF8F0}" destId="{6931690F-C49C-48DB-B878-C0F44565DB59}" srcOrd="0" destOrd="0" presId="urn:microsoft.com/office/officeart/2005/8/layout/process2"/>
    <dgm:cxn modelId="{BFD1E0CE-2A86-4EFA-B72F-7FF6FF444171}" type="presOf" srcId="{90783D34-EA21-4A71-BC3E-E243FF94C363}" destId="{DEE86DD5-A338-4C86-A6A5-595EB753F7C9}" srcOrd="0" destOrd="0" presId="urn:microsoft.com/office/officeart/2005/8/layout/process2"/>
    <dgm:cxn modelId="{3A08E134-A9A1-4821-B2A2-22762D59F7AA}" srcId="{D65DC3DE-4252-4DDE-9CB3-DED7303DCBFE}" destId="{F34DF5BF-489E-4EBA-81A1-3C69FF623BCA}" srcOrd="1" destOrd="0" parTransId="{3E08CA15-8D5A-4C50-A0F4-C880834CC69B}" sibTransId="{61AEC454-1585-46EA-9BB1-5D93B247FE40}"/>
    <dgm:cxn modelId="{9216FF3D-EE57-4AE5-9FA3-80B82EE033FF}" type="presOf" srcId="{E094E570-1103-4D71-BC4F-F854E887F628}" destId="{4861BE7A-6322-421F-B2F9-46EF0C6C40F2}" srcOrd="1" destOrd="0" presId="urn:microsoft.com/office/officeart/2005/8/layout/process2"/>
    <dgm:cxn modelId="{9772CD63-5697-44DD-93B2-27CFA2CB7BC5}" type="presOf" srcId="{4CEE1F83-9C5D-4A96-A179-447D41C95BD3}" destId="{C2438094-FB56-41E0-8E88-BC39C721F476}" srcOrd="0" destOrd="0" presId="urn:microsoft.com/office/officeart/2005/8/layout/process2"/>
    <dgm:cxn modelId="{45BBEF41-A672-4AE8-A243-FE6A72602E5D}" type="presOf" srcId="{F34DF5BF-489E-4EBA-81A1-3C69FF623BCA}" destId="{28F32466-F2F2-4D31-983B-78E6797083AA}" srcOrd="0" destOrd="0" presId="urn:microsoft.com/office/officeart/2005/8/layout/process2"/>
    <dgm:cxn modelId="{ED3431DA-C030-4F69-A983-16D0C89F14EA}" type="presOf" srcId="{D65DC3DE-4252-4DDE-9CB3-DED7303DCBFE}" destId="{A364FF0B-8787-483C-8490-635A01FB16B8}" srcOrd="0" destOrd="0" presId="urn:microsoft.com/office/officeart/2005/8/layout/process2"/>
    <dgm:cxn modelId="{25B544AE-665C-41DF-AE32-5E242A17402B}" srcId="{D65DC3DE-4252-4DDE-9CB3-DED7303DCBFE}" destId="{4CEE1F83-9C5D-4A96-A179-447D41C95BD3}" srcOrd="2" destOrd="0" parTransId="{5F90E4A1-6FB8-45B6-AC09-4D74EBE74C02}" sibTransId="{3E8C6FBA-E86B-4AE4-A7A0-CCC18D5FF8F0}"/>
    <dgm:cxn modelId="{C294648E-2ACB-4420-B649-4ED6BD56A012}" type="presOf" srcId="{906A285E-EF37-43F0-93C7-415BDE23571B}" destId="{65987265-153D-4494-A041-A5635444D92D}" srcOrd="0" destOrd="0" presId="urn:microsoft.com/office/officeart/2005/8/layout/process2"/>
    <dgm:cxn modelId="{CEF5B297-5034-49A2-8401-363F48D537A8}" type="presOf" srcId="{E094E570-1103-4D71-BC4F-F854E887F628}" destId="{DCEB970C-A3EE-4D7E-87ED-955D32175D7D}" srcOrd="0" destOrd="0" presId="urn:microsoft.com/office/officeart/2005/8/layout/process2"/>
    <dgm:cxn modelId="{64A680DC-9729-40A4-B077-A1F184981CE8}" srcId="{D65DC3DE-4252-4DDE-9CB3-DED7303DCBFE}" destId="{44919D18-27FE-473A-BB27-899823FDDF59}" srcOrd="4" destOrd="0" parTransId="{7991A0A2-DA8A-40E0-A979-8788EC1EFE31}" sibTransId="{F5E6D696-1396-4CBE-8C1C-E0413D221912}"/>
    <dgm:cxn modelId="{F65BB569-3A9C-4150-BA9C-DDF3AB56E32E}" srcId="{D65DC3DE-4252-4DDE-9CB3-DED7303DCBFE}" destId="{906A285E-EF37-43F0-93C7-415BDE23571B}" srcOrd="3" destOrd="0" parTransId="{AC1BA277-82D5-407C-B610-E467D5379B7F}" sibTransId="{90783D34-EA21-4A71-BC3E-E243FF94C363}"/>
    <dgm:cxn modelId="{5111E3EB-1B30-4E4E-83FF-B264E810D69B}" type="presOf" srcId="{8C31C7E3-61F9-45CC-B761-12AFD1FA9CAC}" destId="{D68DAE71-435F-4DAC-880E-58980EE823C8}" srcOrd="0" destOrd="0" presId="urn:microsoft.com/office/officeart/2005/8/layout/process2"/>
    <dgm:cxn modelId="{F82F27FA-C6FA-4289-9EA3-DB3162331BF3}" type="presOf" srcId="{3E8C6FBA-E86B-4AE4-A7A0-CCC18D5FF8F0}" destId="{EFB7F41D-6CF6-41C9-961F-540EF4ECD2C5}" srcOrd="1" destOrd="0" presId="urn:microsoft.com/office/officeart/2005/8/layout/process2"/>
    <dgm:cxn modelId="{2596AE6A-111A-49DE-904A-5BEB904E5479}" type="presOf" srcId="{61AEC454-1585-46EA-9BB1-5D93B247FE40}" destId="{0C78A0D8-2B57-460E-BBED-24FF2C287046}" srcOrd="0" destOrd="0" presId="urn:microsoft.com/office/officeart/2005/8/layout/process2"/>
    <dgm:cxn modelId="{E6AF7E48-CC88-41D2-9B01-7DECB806484E}" type="presOf" srcId="{44919D18-27FE-473A-BB27-899823FDDF59}" destId="{6EE4731F-DA58-47A2-9020-7324531F5B86}" srcOrd="0" destOrd="0" presId="urn:microsoft.com/office/officeart/2005/8/layout/process2"/>
    <dgm:cxn modelId="{D5F2C757-7FDB-42AE-808E-4D39CA5C56EB}" type="presOf" srcId="{61AEC454-1585-46EA-9BB1-5D93B247FE40}" destId="{3D6FE60F-2FCB-4740-A311-740F1F79DCF0}" srcOrd="1" destOrd="0" presId="urn:microsoft.com/office/officeart/2005/8/layout/process2"/>
    <dgm:cxn modelId="{B79E82C2-73E8-432F-9BF4-26E2E08138F3}" srcId="{D65DC3DE-4252-4DDE-9CB3-DED7303DCBFE}" destId="{8C31C7E3-61F9-45CC-B761-12AFD1FA9CAC}" srcOrd="0" destOrd="0" parTransId="{C828D15E-BFED-4701-A18D-930751F4E772}" sibTransId="{E094E570-1103-4D71-BC4F-F854E887F628}"/>
    <dgm:cxn modelId="{F2C2B163-5638-448D-8CD2-4CA9C7F4F28F}" type="presParOf" srcId="{A364FF0B-8787-483C-8490-635A01FB16B8}" destId="{D68DAE71-435F-4DAC-880E-58980EE823C8}" srcOrd="0" destOrd="0" presId="urn:microsoft.com/office/officeart/2005/8/layout/process2"/>
    <dgm:cxn modelId="{CA766EB0-45CB-4082-8FB2-5C41A99914D9}" type="presParOf" srcId="{A364FF0B-8787-483C-8490-635A01FB16B8}" destId="{DCEB970C-A3EE-4D7E-87ED-955D32175D7D}" srcOrd="1" destOrd="0" presId="urn:microsoft.com/office/officeart/2005/8/layout/process2"/>
    <dgm:cxn modelId="{D0273A46-C872-44F4-9A9C-D79CE7D976CE}" type="presParOf" srcId="{DCEB970C-A3EE-4D7E-87ED-955D32175D7D}" destId="{4861BE7A-6322-421F-B2F9-46EF0C6C40F2}" srcOrd="0" destOrd="0" presId="urn:microsoft.com/office/officeart/2005/8/layout/process2"/>
    <dgm:cxn modelId="{7A1E45ED-06BF-4D53-A928-51DF8F7AC341}" type="presParOf" srcId="{A364FF0B-8787-483C-8490-635A01FB16B8}" destId="{28F32466-F2F2-4D31-983B-78E6797083AA}" srcOrd="2" destOrd="0" presId="urn:microsoft.com/office/officeart/2005/8/layout/process2"/>
    <dgm:cxn modelId="{092C425A-4C41-4734-B403-9B5C37B386BC}" type="presParOf" srcId="{A364FF0B-8787-483C-8490-635A01FB16B8}" destId="{0C78A0D8-2B57-460E-BBED-24FF2C287046}" srcOrd="3" destOrd="0" presId="urn:microsoft.com/office/officeart/2005/8/layout/process2"/>
    <dgm:cxn modelId="{C4659B42-AFDE-4972-951B-DE1175AAB6EB}" type="presParOf" srcId="{0C78A0D8-2B57-460E-BBED-24FF2C287046}" destId="{3D6FE60F-2FCB-4740-A311-740F1F79DCF0}" srcOrd="0" destOrd="0" presId="urn:microsoft.com/office/officeart/2005/8/layout/process2"/>
    <dgm:cxn modelId="{7C8AD636-D027-4C0C-9055-2688BE3D2E29}" type="presParOf" srcId="{A364FF0B-8787-483C-8490-635A01FB16B8}" destId="{C2438094-FB56-41E0-8E88-BC39C721F476}" srcOrd="4" destOrd="0" presId="urn:microsoft.com/office/officeart/2005/8/layout/process2"/>
    <dgm:cxn modelId="{1D8C5E55-F429-4EA6-A097-A0E265DDBDB3}" type="presParOf" srcId="{A364FF0B-8787-483C-8490-635A01FB16B8}" destId="{6931690F-C49C-48DB-B878-C0F44565DB59}" srcOrd="5" destOrd="0" presId="urn:microsoft.com/office/officeart/2005/8/layout/process2"/>
    <dgm:cxn modelId="{6D0C8C69-F18A-4343-AF57-B650B6ECD4C6}" type="presParOf" srcId="{6931690F-C49C-48DB-B878-C0F44565DB59}" destId="{EFB7F41D-6CF6-41C9-961F-540EF4ECD2C5}" srcOrd="0" destOrd="0" presId="urn:microsoft.com/office/officeart/2005/8/layout/process2"/>
    <dgm:cxn modelId="{1FEFE383-19FB-45E8-B375-91A6C57F893D}" type="presParOf" srcId="{A364FF0B-8787-483C-8490-635A01FB16B8}" destId="{65987265-153D-4494-A041-A5635444D92D}" srcOrd="6" destOrd="0" presId="urn:microsoft.com/office/officeart/2005/8/layout/process2"/>
    <dgm:cxn modelId="{A8B442A8-88C0-4732-A72B-5D08F5E43435}" type="presParOf" srcId="{A364FF0B-8787-483C-8490-635A01FB16B8}" destId="{DEE86DD5-A338-4C86-A6A5-595EB753F7C9}" srcOrd="7" destOrd="0" presId="urn:microsoft.com/office/officeart/2005/8/layout/process2"/>
    <dgm:cxn modelId="{473FE2EC-5CC0-4816-ACA7-29BC700B695A}" type="presParOf" srcId="{DEE86DD5-A338-4C86-A6A5-595EB753F7C9}" destId="{F848BA2B-477E-4B0D-AAAE-5F7B4CFA95FC}" srcOrd="0" destOrd="0" presId="urn:microsoft.com/office/officeart/2005/8/layout/process2"/>
    <dgm:cxn modelId="{23A004CD-776B-4439-9A8C-48FCDB68053E}" type="presParOf" srcId="{A364FF0B-8787-483C-8490-635A01FB16B8}" destId="{6EE4731F-DA58-47A2-9020-7324531F5B86}" srcOrd="8"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5DC3DE-4252-4DDE-9CB3-DED7303DCBF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8C31C7E3-61F9-45CC-B761-12AFD1FA9CAC}">
      <dgm:prSet phldrT="[Text]"/>
      <dgm:spPr/>
      <dgm:t>
        <a:bodyPr/>
        <a:lstStyle/>
        <a:p>
          <a:r>
            <a:rPr lang="en-AU"/>
            <a:t>CMIP5 general circulation model</a:t>
          </a:r>
        </a:p>
      </dgm:t>
    </dgm:pt>
    <dgm:pt modelId="{C828D15E-BFED-4701-A18D-930751F4E772}" type="parTrans" cxnId="{B79E82C2-73E8-432F-9BF4-26E2E08138F3}">
      <dgm:prSet/>
      <dgm:spPr/>
      <dgm:t>
        <a:bodyPr/>
        <a:lstStyle/>
        <a:p>
          <a:endParaRPr lang="en-AU"/>
        </a:p>
      </dgm:t>
    </dgm:pt>
    <dgm:pt modelId="{E094E570-1103-4D71-BC4F-F854E887F628}" type="sibTrans" cxnId="{B79E82C2-73E8-432F-9BF4-26E2E08138F3}">
      <dgm:prSet/>
      <dgm:spPr/>
      <dgm:t>
        <a:bodyPr/>
        <a:lstStyle/>
        <a:p>
          <a:endParaRPr lang="en-AU"/>
        </a:p>
      </dgm:t>
    </dgm:pt>
    <dgm:pt modelId="{4CEE1F83-9C5D-4A96-A179-447D41C95BD3}">
      <dgm:prSet phldrT="[Text]"/>
      <dgm:spPr/>
      <dgm:t>
        <a:bodyPr/>
        <a:lstStyle/>
        <a:p>
          <a:r>
            <a:rPr lang="en-AU"/>
            <a:t>TCLV identification and tracking</a:t>
          </a:r>
        </a:p>
      </dgm:t>
    </dgm:pt>
    <dgm:pt modelId="{5F90E4A1-6FB8-45B6-AC09-4D74EBE74C02}" type="parTrans" cxnId="{25B544AE-665C-41DF-AE32-5E242A17402B}">
      <dgm:prSet/>
      <dgm:spPr/>
      <dgm:t>
        <a:bodyPr/>
        <a:lstStyle/>
        <a:p>
          <a:endParaRPr lang="en-AU"/>
        </a:p>
      </dgm:t>
    </dgm:pt>
    <dgm:pt modelId="{3E8C6FBA-E86B-4AE4-A7A0-CCC18D5FF8F0}" type="sibTrans" cxnId="{25B544AE-665C-41DF-AE32-5E242A17402B}">
      <dgm:prSet/>
      <dgm:spPr/>
      <dgm:t>
        <a:bodyPr/>
        <a:lstStyle/>
        <a:p>
          <a:endParaRPr lang="en-AU"/>
        </a:p>
      </dgm:t>
    </dgm:pt>
    <dgm:pt modelId="{44919D18-27FE-473A-BB27-899823FDDF59}">
      <dgm:prSet phldrT="[Text]"/>
      <dgm:spPr/>
      <dgm:t>
        <a:bodyPr/>
        <a:lstStyle/>
        <a:p>
          <a:r>
            <a:rPr lang="en-AU"/>
            <a:t>Peril matrix</a:t>
          </a:r>
        </a:p>
      </dgm:t>
    </dgm:pt>
    <dgm:pt modelId="{7991A0A2-DA8A-40E0-A979-8788EC1EFE31}" type="parTrans" cxnId="{64A680DC-9729-40A4-B077-A1F184981CE8}">
      <dgm:prSet/>
      <dgm:spPr/>
      <dgm:t>
        <a:bodyPr/>
        <a:lstStyle/>
        <a:p>
          <a:endParaRPr lang="en-AU"/>
        </a:p>
      </dgm:t>
    </dgm:pt>
    <dgm:pt modelId="{F5E6D696-1396-4CBE-8C1C-E0413D221912}" type="sibTrans" cxnId="{64A680DC-9729-40A4-B077-A1F184981CE8}">
      <dgm:prSet/>
      <dgm:spPr/>
      <dgm:t>
        <a:bodyPr/>
        <a:lstStyle/>
        <a:p>
          <a:endParaRPr lang="en-AU"/>
        </a:p>
      </dgm:t>
    </dgm:pt>
    <dgm:pt modelId="{8EE1A217-732B-4175-B303-FA245417C35C}">
      <dgm:prSet phldrT="[Text]"/>
      <dgm:spPr/>
      <dgm:t>
        <a:bodyPr/>
        <a:lstStyle/>
        <a:p>
          <a:r>
            <a:rPr lang="en-AU"/>
            <a:t>Quantile scaling for intensity</a:t>
          </a:r>
        </a:p>
      </dgm:t>
    </dgm:pt>
    <dgm:pt modelId="{8539929D-42BC-426A-AC55-60DB360328CD}" type="parTrans" cxnId="{271E0741-DA6C-4243-81D2-892E5C1B1346}">
      <dgm:prSet/>
      <dgm:spPr/>
      <dgm:t>
        <a:bodyPr/>
        <a:lstStyle/>
        <a:p>
          <a:endParaRPr lang="en-AU"/>
        </a:p>
      </dgm:t>
    </dgm:pt>
    <dgm:pt modelId="{0E9F2F81-BF57-41C6-8712-064CC7699829}" type="sibTrans" cxnId="{271E0741-DA6C-4243-81D2-892E5C1B1346}">
      <dgm:prSet/>
      <dgm:spPr/>
      <dgm:t>
        <a:bodyPr/>
        <a:lstStyle/>
        <a:p>
          <a:endParaRPr lang="en-AU"/>
        </a:p>
      </dgm:t>
    </dgm:pt>
    <dgm:pt modelId="{82E208D8-133A-4731-9D48-F982ED114161}">
      <dgm:prSet phldrT="[Text]"/>
      <dgm:spPr>
        <a:noFill/>
      </dgm:spPr>
      <dgm:t>
        <a:bodyPr/>
        <a:lstStyle/>
        <a:p>
          <a:endParaRPr lang="en-AU"/>
        </a:p>
      </dgm:t>
      <dgm:extLst>
        <a:ext uri="{E40237B7-FDA0-4F09-8148-C483321AD2D9}">
          <dgm14:cNvPr xmlns:dgm14="http://schemas.microsoft.com/office/drawing/2010/diagram" id="0" name="" descr="Blank entry&#10;" title=" "/>
        </a:ext>
      </dgm:extLst>
    </dgm:pt>
    <dgm:pt modelId="{6091B6D8-0E74-4A19-9EE1-34FA21E33FE0}" type="sibTrans" cxnId="{598B686D-DDFE-452D-ACD3-419F7C017C9E}">
      <dgm:prSet/>
      <dgm:spPr/>
      <dgm:t>
        <a:bodyPr/>
        <a:lstStyle/>
        <a:p>
          <a:endParaRPr lang="en-AU"/>
        </a:p>
      </dgm:t>
    </dgm:pt>
    <dgm:pt modelId="{46975CC6-A748-48F0-9293-145689052D47}" type="parTrans" cxnId="{598B686D-DDFE-452D-ACD3-419F7C017C9E}">
      <dgm:prSet/>
      <dgm:spPr/>
      <dgm:t>
        <a:bodyPr/>
        <a:lstStyle/>
        <a:p>
          <a:endParaRPr lang="en-AU"/>
        </a:p>
      </dgm:t>
    </dgm:pt>
    <dgm:pt modelId="{A364FF0B-8787-483C-8490-635A01FB16B8}" type="pres">
      <dgm:prSet presAssocID="{D65DC3DE-4252-4DDE-9CB3-DED7303DCBFE}" presName="linearFlow" presStyleCnt="0">
        <dgm:presLayoutVars>
          <dgm:resizeHandles val="exact"/>
        </dgm:presLayoutVars>
      </dgm:prSet>
      <dgm:spPr/>
      <dgm:t>
        <a:bodyPr/>
        <a:lstStyle/>
        <a:p>
          <a:endParaRPr lang="en-AU"/>
        </a:p>
      </dgm:t>
    </dgm:pt>
    <dgm:pt modelId="{D68DAE71-435F-4DAC-880E-58980EE823C8}" type="pres">
      <dgm:prSet presAssocID="{8C31C7E3-61F9-45CC-B761-12AFD1FA9CAC}" presName="node" presStyleLbl="node1" presStyleIdx="0" presStyleCnt="5">
        <dgm:presLayoutVars>
          <dgm:bulletEnabled val="1"/>
        </dgm:presLayoutVars>
      </dgm:prSet>
      <dgm:spPr/>
      <dgm:t>
        <a:bodyPr/>
        <a:lstStyle/>
        <a:p>
          <a:endParaRPr lang="en-AU"/>
        </a:p>
      </dgm:t>
    </dgm:pt>
    <dgm:pt modelId="{DCEB970C-A3EE-4D7E-87ED-955D32175D7D}" type="pres">
      <dgm:prSet presAssocID="{E094E570-1103-4D71-BC4F-F854E887F628}" presName="sibTrans" presStyleLbl="sibTrans2D1" presStyleIdx="0" presStyleCnt="4" custScaleX="546591" custLinFactY="52922" custLinFactNeighborY="100000"/>
      <dgm:spPr/>
      <dgm:t>
        <a:bodyPr/>
        <a:lstStyle/>
        <a:p>
          <a:endParaRPr lang="en-AU"/>
        </a:p>
      </dgm:t>
    </dgm:pt>
    <dgm:pt modelId="{4861BE7A-6322-421F-B2F9-46EF0C6C40F2}" type="pres">
      <dgm:prSet presAssocID="{E094E570-1103-4D71-BC4F-F854E887F628}" presName="connectorText" presStyleLbl="sibTrans2D1" presStyleIdx="0" presStyleCnt="4"/>
      <dgm:spPr/>
      <dgm:t>
        <a:bodyPr/>
        <a:lstStyle/>
        <a:p>
          <a:endParaRPr lang="en-AU"/>
        </a:p>
      </dgm:t>
    </dgm:pt>
    <dgm:pt modelId="{A2F40149-0BD1-4A20-BBA9-8F432BE252B5}" type="pres">
      <dgm:prSet presAssocID="{82E208D8-133A-4731-9D48-F982ED114161}" presName="node" presStyleLbl="node1" presStyleIdx="1" presStyleCnt="5">
        <dgm:presLayoutVars>
          <dgm:bulletEnabled val="1"/>
        </dgm:presLayoutVars>
      </dgm:prSet>
      <dgm:spPr/>
      <dgm:t>
        <a:bodyPr/>
        <a:lstStyle/>
        <a:p>
          <a:endParaRPr lang="en-AU"/>
        </a:p>
      </dgm:t>
    </dgm:pt>
    <dgm:pt modelId="{873F5796-A2D4-4675-854E-22165B03B5E2}" type="pres">
      <dgm:prSet presAssocID="{6091B6D8-0E74-4A19-9EE1-34FA21E33FE0}" presName="sibTrans" presStyleLbl="sibTrans2D1" presStyleIdx="1" presStyleCnt="4"/>
      <dgm:spPr/>
      <dgm:t>
        <a:bodyPr/>
        <a:lstStyle/>
        <a:p>
          <a:endParaRPr lang="en-AU"/>
        </a:p>
      </dgm:t>
    </dgm:pt>
    <dgm:pt modelId="{5C7D4A36-7AAC-4FC0-84EE-7021E67CBF3F}" type="pres">
      <dgm:prSet presAssocID="{6091B6D8-0E74-4A19-9EE1-34FA21E33FE0}" presName="connectorText" presStyleLbl="sibTrans2D1" presStyleIdx="1" presStyleCnt="4"/>
      <dgm:spPr/>
      <dgm:t>
        <a:bodyPr/>
        <a:lstStyle/>
        <a:p>
          <a:endParaRPr lang="en-AU"/>
        </a:p>
      </dgm:t>
    </dgm:pt>
    <dgm:pt modelId="{C2438094-FB56-41E0-8E88-BC39C721F476}" type="pres">
      <dgm:prSet presAssocID="{4CEE1F83-9C5D-4A96-A179-447D41C95BD3}" presName="node" presStyleLbl="node1" presStyleIdx="2" presStyleCnt="5">
        <dgm:presLayoutVars>
          <dgm:bulletEnabled val="1"/>
        </dgm:presLayoutVars>
      </dgm:prSet>
      <dgm:spPr/>
      <dgm:t>
        <a:bodyPr/>
        <a:lstStyle/>
        <a:p>
          <a:endParaRPr lang="en-AU"/>
        </a:p>
      </dgm:t>
    </dgm:pt>
    <dgm:pt modelId="{6931690F-C49C-48DB-B878-C0F44565DB59}" type="pres">
      <dgm:prSet presAssocID="{3E8C6FBA-E86B-4AE4-A7A0-CCC18D5FF8F0}" presName="sibTrans" presStyleLbl="sibTrans2D1" presStyleIdx="2" presStyleCnt="4"/>
      <dgm:spPr/>
      <dgm:t>
        <a:bodyPr/>
        <a:lstStyle/>
        <a:p>
          <a:endParaRPr lang="en-AU"/>
        </a:p>
      </dgm:t>
    </dgm:pt>
    <dgm:pt modelId="{EFB7F41D-6CF6-41C9-961F-540EF4ECD2C5}" type="pres">
      <dgm:prSet presAssocID="{3E8C6FBA-E86B-4AE4-A7A0-CCC18D5FF8F0}" presName="connectorText" presStyleLbl="sibTrans2D1" presStyleIdx="2" presStyleCnt="4"/>
      <dgm:spPr/>
      <dgm:t>
        <a:bodyPr/>
        <a:lstStyle/>
        <a:p>
          <a:endParaRPr lang="en-AU"/>
        </a:p>
      </dgm:t>
    </dgm:pt>
    <dgm:pt modelId="{78A49E51-F2B0-4ACD-913D-90223AD3FFA9}" type="pres">
      <dgm:prSet presAssocID="{8EE1A217-732B-4175-B303-FA245417C35C}" presName="node" presStyleLbl="node1" presStyleIdx="3" presStyleCnt="5">
        <dgm:presLayoutVars>
          <dgm:bulletEnabled val="1"/>
        </dgm:presLayoutVars>
      </dgm:prSet>
      <dgm:spPr/>
      <dgm:t>
        <a:bodyPr/>
        <a:lstStyle/>
        <a:p>
          <a:endParaRPr lang="en-AU"/>
        </a:p>
      </dgm:t>
    </dgm:pt>
    <dgm:pt modelId="{4D8E1C18-64F6-494E-A98E-D941E5D0479B}" type="pres">
      <dgm:prSet presAssocID="{0E9F2F81-BF57-41C6-8712-064CC7699829}" presName="sibTrans" presStyleLbl="sibTrans2D1" presStyleIdx="3" presStyleCnt="4"/>
      <dgm:spPr/>
      <dgm:t>
        <a:bodyPr/>
        <a:lstStyle/>
        <a:p>
          <a:endParaRPr lang="en-AU"/>
        </a:p>
      </dgm:t>
    </dgm:pt>
    <dgm:pt modelId="{2671CE92-0AF8-4FE2-B304-698D1FB22D67}" type="pres">
      <dgm:prSet presAssocID="{0E9F2F81-BF57-41C6-8712-064CC7699829}" presName="connectorText" presStyleLbl="sibTrans2D1" presStyleIdx="3" presStyleCnt="4"/>
      <dgm:spPr/>
      <dgm:t>
        <a:bodyPr/>
        <a:lstStyle/>
        <a:p>
          <a:endParaRPr lang="en-AU"/>
        </a:p>
      </dgm:t>
    </dgm:pt>
    <dgm:pt modelId="{6EE4731F-DA58-47A2-9020-7324531F5B86}" type="pres">
      <dgm:prSet presAssocID="{44919D18-27FE-473A-BB27-899823FDDF59}" presName="node" presStyleLbl="node1" presStyleIdx="4" presStyleCnt="5">
        <dgm:presLayoutVars>
          <dgm:bulletEnabled val="1"/>
        </dgm:presLayoutVars>
      </dgm:prSet>
      <dgm:spPr/>
      <dgm:t>
        <a:bodyPr/>
        <a:lstStyle/>
        <a:p>
          <a:endParaRPr lang="en-AU"/>
        </a:p>
      </dgm:t>
    </dgm:pt>
  </dgm:ptLst>
  <dgm:cxnLst>
    <dgm:cxn modelId="{64A680DC-9729-40A4-B077-A1F184981CE8}" srcId="{D65DC3DE-4252-4DDE-9CB3-DED7303DCBFE}" destId="{44919D18-27FE-473A-BB27-899823FDDF59}" srcOrd="4" destOrd="0" parTransId="{7991A0A2-DA8A-40E0-A979-8788EC1EFE31}" sibTransId="{F5E6D696-1396-4CBE-8C1C-E0413D221912}"/>
    <dgm:cxn modelId="{598B686D-DDFE-452D-ACD3-419F7C017C9E}" srcId="{D65DC3DE-4252-4DDE-9CB3-DED7303DCBFE}" destId="{82E208D8-133A-4731-9D48-F982ED114161}" srcOrd="1" destOrd="0" parTransId="{46975CC6-A748-48F0-9293-145689052D47}" sibTransId="{6091B6D8-0E74-4A19-9EE1-34FA21E33FE0}"/>
    <dgm:cxn modelId="{B79E82C2-73E8-432F-9BF4-26E2E08138F3}" srcId="{D65DC3DE-4252-4DDE-9CB3-DED7303DCBFE}" destId="{8C31C7E3-61F9-45CC-B761-12AFD1FA9CAC}" srcOrd="0" destOrd="0" parTransId="{C828D15E-BFED-4701-A18D-930751F4E772}" sibTransId="{E094E570-1103-4D71-BC4F-F854E887F628}"/>
    <dgm:cxn modelId="{5CA40765-8049-440D-BB05-57576D3D7D62}" type="presOf" srcId="{82E208D8-133A-4731-9D48-F982ED114161}" destId="{A2F40149-0BD1-4A20-BBA9-8F432BE252B5}" srcOrd="0" destOrd="0" presId="urn:microsoft.com/office/officeart/2005/8/layout/process2"/>
    <dgm:cxn modelId="{59DBB57B-45A2-4E23-9D2C-E41E2E08C9D0}" type="presOf" srcId="{6091B6D8-0E74-4A19-9EE1-34FA21E33FE0}" destId="{5C7D4A36-7AAC-4FC0-84EE-7021E67CBF3F}" srcOrd="1" destOrd="0" presId="urn:microsoft.com/office/officeart/2005/8/layout/process2"/>
    <dgm:cxn modelId="{7D0A8147-073C-40FE-B257-AF1FC3FD3728}" type="presOf" srcId="{0E9F2F81-BF57-41C6-8712-064CC7699829}" destId="{2671CE92-0AF8-4FE2-B304-698D1FB22D67}" srcOrd="1" destOrd="0" presId="urn:microsoft.com/office/officeart/2005/8/layout/process2"/>
    <dgm:cxn modelId="{45658683-38D1-422F-B4F2-CC864BCDCD98}" type="presOf" srcId="{0E9F2F81-BF57-41C6-8712-064CC7699829}" destId="{4D8E1C18-64F6-494E-A98E-D941E5D0479B}" srcOrd="0" destOrd="0" presId="urn:microsoft.com/office/officeart/2005/8/layout/process2"/>
    <dgm:cxn modelId="{BA783941-C0A6-4E4A-8641-8CC5927BC54C}" type="presOf" srcId="{8C31C7E3-61F9-45CC-B761-12AFD1FA9CAC}" destId="{D68DAE71-435F-4DAC-880E-58980EE823C8}" srcOrd="0" destOrd="0" presId="urn:microsoft.com/office/officeart/2005/8/layout/process2"/>
    <dgm:cxn modelId="{5C1256AA-4D0E-4C41-BEE5-70C88CEFC60B}" type="presOf" srcId="{E094E570-1103-4D71-BC4F-F854E887F628}" destId="{DCEB970C-A3EE-4D7E-87ED-955D32175D7D}" srcOrd="0" destOrd="0" presId="urn:microsoft.com/office/officeart/2005/8/layout/process2"/>
    <dgm:cxn modelId="{8015635A-5CE5-438D-A8D0-3326B506E4AC}" type="presOf" srcId="{3E8C6FBA-E86B-4AE4-A7A0-CCC18D5FF8F0}" destId="{EFB7F41D-6CF6-41C9-961F-540EF4ECD2C5}" srcOrd="1" destOrd="0" presId="urn:microsoft.com/office/officeart/2005/8/layout/process2"/>
    <dgm:cxn modelId="{D05348D5-5B9B-4B4B-9781-05FA59BF0757}" type="presOf" srcId="{44919D18-27FE-473A-BB27-899823FDDF59}" destId="{6EE4731F-DA58-47A2-9020-7324531F5B86}" srcOrd="0" destOrd="0" presId="urn:microsoft.com/office/officeart/2005/8/layout/process2"/>
    <dgm:cxn modelId="{CB22B197-D0E1-48B8-8439-8DACA8069DFD}" type="presOf" srcId="{3E8C6FBA-E86B-4AE4-A7A0-CCC18D5FF8F0}" destId="{6931690F-C49C-48DB-B878-C0F44565DB59}" srcOrd="0" destOrd="0" presId="urn:microsoft.com/office/officeart/2005/8/layout/process2"/>
    <dgm:cxn modelId="{271E0741-DA6C-4243-81D2-892E5C1B1346}" srcId="{D65DC3DE-4252-4DDE-9CB3-DED7303DCBFE}" destId="{8EE1A217-732B-4175-B303-FA245417C35C}" srcOrd="3" destOrd="0" parTransId="{8539929D-42BC-426A-AC55-60DB360328CD}" sibTransId="{0E9F2F81-BF57-41C6-8712-064CC7699829}"/>
    <dgm:cxn modelId="{93A7A4B5-73B1-421C-BDF2-FFCC81DF9608}" type="presOf" srcId="{4CEE1F83-9C5D-4A96-A179-447D41C95BD3}" destId="{C2438094-FB56-41E0-8E88-BC39C721F476}" srcOrd="0" destOrd="0" presId="urn:microsoft.com/office/officeart/2005/8/layout/process2"/>
    <dgm:cxn modelId="{016234E3-B2F9-4A9D-B23F-CDA53C88BB1F}" type="presOf" srcId="{E094E570-1103-4D71-BC4F-F854E887F628}" destId="{4861BE7A-6322-421F-B2F9-46EF0C6C40F2}" srcOrd="1" destOrd="0" presId="urn:microsoft.com/office/officeart/2005/8/layout/process2"/>
    <dgm:cxn modelId="{25B544AE-665C-41DF-AE32-5E242A17402B}" srcId="{D65DC3DE-4252-4DDE-9CB3-DED7303DCBFE}" destId="{4CEE1F83-9C5D-4A96-A179-447D41C95BD3}" srcOrd="2" destOrd="0" parTransId="{5F90E4A1-6FB8-45B6-AC09-4D74EBE74C02}" sibTransId="{3E8C6FBA-E86B-4AE4-A7A0-CCC18D5FF8F0}"/>
    <dgm:cxn modelId="{A7627332-01AE-4D32-B15E-71114D9FC7F5}" type="presOf" srcId="{D65DC3DE-4252-4DDE-9CB3-DED7303DCBFE}" destId="{A364FF0B-8787-483C-8490-635A01FB16B8}" srcOrd="0" destOrd="0" presId="urn:microsoft.com/office/officeart/2005/8/layout/process2"/>
    <dgm:cxn modelId="{D26F1D2C-4A1B-4037-9B4E-F11CBE027052}" type="presOf" srcId="{6091B6D8-0E74-4A19-9EE1-34FA21E33FE0}" destId="{873F5796-A2D4-4675-854E-22165B03B5E2}" srcOrd="0" destOrd="0" presId="urn:microsoft.com/office/officeart/2005/8/layout/process2"/>
    <dgm:cxn modelId="{3DDFA306-5425-4C51-9373-84C2127A9459}" type="presOf" srcId="{8EE1A217-732B-4175-B303-FA245417C35C}" destId="{78A49E51-F2B0-4ACD-913D-90223AD3FFA9}" srcOrd="0" destOrd="0" presId="urn:microsoft.com/office/officeart/2005/8/layout/process2"/>
    <dgm:cxn modelId="{9293CF96-FBE0-40C2-BAA5-600D40E5DD10}" type="presParOf" srcId="{A364FF0B-8787-483C-8490-635A01FB16B8}" destId="{D68DAE71-435F-4DAC-880E-58980EE823C8}" srcOrd="0" destOrd="0" presId="urn:microsoft.com/office/officeart/2005/8/layout/process2"/>
    <dgm:cxn modelId="{6943A992-2301-4F08-9040-EDA2D9B7130F}" type="presParOf" srcId="{A364FF0B-8787-483C-8490-635A01FB16B8}" destId="{DCEB970C-A3EE-4D7E-87ED-955D32175D7D}" srcOrd="1" destOrd="0" presId="urn:microsoft.com/office/officeart/2005/8/layout/process2"/>
    <dgm:cxn modelId="{AA46D799-A6C1-4F8A-A75B-65C831187AC9}" type="presParOf" srcId="{DCEB970C-A3EE-4D7E-87ED-955D32175D7D}" destId="{4861BE7A-6322-421F-B2F9-46EF0C6C40F2}" srcOrd="0" destOrd="0" presId="urn:microsoft.com/office/officeart/2005/8/layout/process2"/>
    <dgm:cxn modelId="{FAE1775A-A68F-4A8B-8A6D-1A178B27959B}" type="presParOf" srcId="{A364FF0B-8787-483C-8490-635A01FB16B8}" destId="{A2F40149-0BD1-4A20-BBA9-8F432BE252B5}" srcOrd="2" destOrd="0" presId="urn:microsoft.com/office/officeart/2005/8/layout/process2"/>
    <dgm:cxn modelId="{4DC0E84B-5E5F-4DC8-88AB-EA8BAEE93993}" type="presParOf" srcId="{A364FF0B-8787-483C-8490-635A01FB16B8}" destId="{873F5796-A2D4-4675-854E-22165B03B5E2}" srcOrd="3" destOrd="0" presId="urn:microsoft.com/office/officeart/2005/8/layout/process2"/>
    <dgm:cxn modelId="{DD316DC9-23CA-4844-82CC-D6863F0FED1C}" type="presParOf" srcId="{873F5796-A2D4-4675-854E-22165B03B5E2}" destId="{5C7D4A36-7AAC-4FC0-84EE-7021E67CBF3F}" srcOrd="0" destOrd="0" presId="urn:microsoft.com/office/officeart/2005/8/layout/process2"/>
    <dgm:cxn modelId="{0549A0A8-68D4-469E-9AC0-34A8C9B37D83}" type="presParOf" srcId="{A364FF0B-8787-483C-8490-635A01FB16B8}" destId="{C2438094-FB56-41E0-8E88-BC39C721F476}" srcOrd="4" destOrd="0" presId="urn:microsoft.com/office/officeart/2005/8/layout/process2"/>
    <dgm:cxn modelId="{BA1DFAA7-7FBE-4E5C-8518-C5AD22C536D2}" type="presParOf" srcId="{A364FF0B-8787-483C-8490-635A01FB16B8}" destId="{6931690F-C49C-48DB-B878-C0F44565DB59}" srcOrd="5" destOrd="0" presId="urn:microsoft.com/office/officeart/2005/8/layout/process2"/>
    <dgm:cxn modelId="{34A92497-7E91-4D42-9454-6357D93A0967}" type="presParOf" srcId="{6931690F-C49C-48DB-B878-C0F44565DB59}" destId="{EFB7F41D-6CF6-41C9-961F-540EF4ECD2C5}" srcOrd="0" destOrd="0" presId="urn:microsoft.com/office/officeart/2005/8/layout/process2"/>
    <dgm:cxn modelId="{F07C00F1-8725-4307-BFEC-9A88E537AC03}" type="presParOf" srcId="{A364FF0B-8787-483C-8490-635A01FB16B8}" destId="{78A49E51-F2B0-4ACD-913D-90223AD3FFA9}" srcOrd="6" destOrd="0" presId="urn:microsoft.com/office/officeart/2005/8/layout/process2"/>
    <dgm:cxn modelId="{D5D8D342-976D-45C7-B10D-CA9E86C17904}" type="presParOf" srcId="{A364FF0B-8787-483C-8490-635A01FB16B8}" destId="{4D8E1C18-64F6-494E-A98E-D941E5D0479B}" srcOrd="7" destOrd="0" presId="urn:microsoft.com/office/officeart/2005/8/layout/process2"/>
    <dgm:cxn modelId="{FFE85683-3AB6-4858-A25E-060F69A435C5}" type="presParOf" srcId="{4D8E1C18-64F6-494E-A98E-D941E5D0479B}" destId="{2671CE92-0AF8-4FE2-B304-698D1FB22D67}" srcOrd="0" destOrd="0" presId="urn:microsoft.com/office/officeart/2005/8/layout/process2"/>
    <dgm:cxn modelId="{64FBD4F5-5580-44A3-B043-7D5384DA7DFF}" type="presParOf" srcId="{A364FF0B-8787-483C-8490-635A01FB16B8}" destId="{6EE4731F-DA58-47A2-9020-7324531F5B86}" srcOrd="8"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DAE71-435F-4DAC-880E-58980EE823C8}">
      <dsp:nvSpPr>
        <dsp:cNvPr id="0" name=""/>
        <dsp:cNvSpPr/>
      </dsp:nvSpPr>
      <dsp:spPr>
        <a:xfrm>
          <a:off x="393110" y="390"/>
          <a:ext cx="1671229"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CMIP3 general circulation model</a:t>
          </a:r>
        </a:p>
      </dsp:txBody>
      <dsp:txXfrm>
        <a:off x="406498" y="13778"/>
        <a:ext cx="1644453" cy="430312"/>
      </dsp:txXfrm>
    </dsp:sp>
    <dsp:sp modelId="{DCEB970C-A3EE-4D7E-87ED-955D32175D7D}">
      <dsp:nvSpPr>
        <dsp:cNvPr id="0" name=""/>
        <dsp:cNvSpPr/>
      </dsp:nvSpPr>
      <dsp:spPr>
        <a:xfrm rot="5400000">
          <a:off x="1143020" y="468906"/>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1167018" y="486046"/>
        <a:ext cx="123413" cy="119986"/>
      </dsp:txXfrm>
    </dsp:sp>
    <dsp:sp modelId="{28F32466-F2F2-4D31-983B-78E6797083AA}">
      <dsp:nvSpPr>
        <dsp:cNvPr id="0" name=""/>
        <dsp:cNvSpPr/>
      </dsp:nvSpPr>
      <dsp:spPr>
        <a:xfrm>
          <a:off x="393110" y="686023"/>
          <a:ext cx="1671229"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CCAM downscaling using bias-corrected SSTs </a:t>
          </a:r>
        </a:p>
      </dsp:txBody>
      <dsp:txXfrm>
        <a:off x="406498" y="699411"/>
        <a:ext cx="1644453" cy="430312"/>
      </dsp:txXfrm>
    </dsp:sp>
    <dsp:sp modelId="{0C78A0D8-2B57-460E-BBED-24FF2C287046}">
      <dsp:nvSpPr>
        <dsp:cNvPr id="0" name=""/>
        <dsp:cNvSpPr/>
      </dsp:nvSpPr>
      <dsp:spPr>
        <a:xfrm rot="5400000">
          <a:off x="1143020" y="1154538"/>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1167018" y="1171678"/>
        <a:ext cx="123413" cy="119986"/>
      </dsp:txXfrm>
    </dsp:sp>
    <dsp:sp modelId="{C2438094-FB56-41E0-8E88-BC39C721F476}">
      <dsp:nvSpPr>
        <dsp:cNvPr id="0" name=""/>
        <dsp:cNvSpPr/>
      </dsp:nvSpPr>
      <dsp:spPr>
        <a:xfrm>
          <a:off x="393110" y="1371655"/>
          <a:ext cx="1671229"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TCLV identification and tracking</a:t>
          </a:r>
        </a:p>
      </dsp:txBody>
      <dsp:txXfrm>
        <a:off x="406498" y="1385043"/>
        <a:ext cx="1644453" cy="430312"/>
      </dsp:txXfrm>
    </dsp:sp>
    <dsp:sp modelId="{6931690F-C49C-48DB-B878-C0F44565DB59}">
      <dsp:nvSpPr>
        <dsp:cNvPr id="0" name=""/>
        <dsp:cNvSpPr/>
      </dsp:nvSpPr>
      <dsp:spPr>
        <a:xfrm rot="5400000">
          <a:off x="1143020" y="1840171"/>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1167018" y="1857311"/>
        <a:ext cx="123413" cy="119986"/>
      </dsp:txXfrm>
    </dsp:sp>
    <dsp:sp modelId="{65987265-153D-4494-A041-A5635444D92D}">
      <dsp:nvSpPr>
        <dsp:cNvPr id="0" name=""/>
        <dsp:cNvSpPr/>
      </dsp:nvSpPr>
      <dsp:spPr>
        <a:xfrm>
          <a:off x="393110" y="2057288"/>
          <a:ext cx="1671229"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Quantile scaling for intensity</a:t>
          </a:r>
        </a:p>
      </dsp:txBody>
      <dsp:txXfrm>
        <a:off x="406498" y="2070676"/>
        <a:ext cx="1644453" cy="430312"/>
      </dsp:txXfrm>
    </dsp:sp>
    <dsp:sp modelId="{DEE86DD5-A338-4C86-A6A5-595EB753F7C9}">
      <dsp:nvSpPr>
        <dsp:cNvPr id="0" name=""/>
        <dsp:cNvSpPr/>
      </dsp:nvSpPr>
      <dsp:spPr>
        <a:xfrm rot="5400000">
          <a:off x="1143020" y="2525803"/>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1167018" y="2542943"/>
        <a:ext cx="123413" cy="119986"/>
      </dsp:txXfrm>
    </dsp:sp>
    <dsp:sp modelId="{6EE4731F-DA58-47A2-9020-7324531F5B86}">
      <dsp:nvSpPr>
        <dsp:cNvPr id="0" name=""/>
        <dsp:cNvSpPr/>
      </dsp:nvSpPr>
      <dsp:spPr>
        <a:xfrm>
          <a:off x="393110" y="2742920"/>
          <a:ext cx="1671229"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Peril matrix</a:t>
          </a:r>
        </a:p>
      </dsp:txBody>
      <dsp:txXfrm>
        <a:off x="406498" y="2756308"/>
        <a:ext cx="1644453" cy="430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DAE71-435F-4DAC-880E-58980EE823C8}">
      <dsp:nvSpPr>
        <dsp:cNvPr id="0" name=""/>
        <dsp:cNvSpPr/>
      </dsp:nvSpPr>
      <dsp:spPr>
        <a:xfrm>
          <a:off x="589515" y="390"/>
          <a:ext cx="1278419"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CMIP5 general circulation model</a:t>
          </a:r>
        </a:p>
      </dsp:txBody>
      <dsp:txXfrm>
        <a:off x="602903" y="13778"/>
        <a:ext cx="1251643" cy="430312"/>
      </dsp:txXfrm>
    </dsp:sp>
    <dsp:sp modelId="{DCEB970C-A3EE-4D7E-87ED-955D32175D7D}">
      <dsp:nvSpPr>
        <dsp:cNvPr id="0" name=""/>
        <dsp:cNvSpPr/>
      </dsp:nvSpPr>
      <dsp:spPr>
        <a:xfrm rot="5400000">
          <a:off x="760274" y="783451"/>
          <a:ext cx="936901"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1167018" y="417846"/>
        <a:ext cx="123413" cy="875194"/>
      </dsp:txXfrm>
    </dsp:sp>
    <dsp:sp modelId="{A2F40149-0BD1-4A20-BBA9-8F432BE252B5}">
      <dsp:nvSpPr>
        <dsp:cNvPr id="0" name=""/>
        <dsp:cNvSpPr/>
      </dsp:nvSpPr>
      <dsp:spPr>
        <a:xfrm>
          <a:off x="589515" y="686023"/>
          <a:ext cx="1278419" cy="457088"/>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AU" sz="1200" kern="1200"/>
        </a:p>
      </dsp:txBody>
      <dsp:txXfrm>
        <a:off x="602903" y="699411"/>
        <a:ext cx="1251643" cy="430312"/>
      </dsp:txXfrm>
    </dsp:sp>
    <dsp:sp modelId="{873F5796-A2D4-4675-854E-22165B03B5E2}">
      <dsp:nvSpPr>
        <dsp:cNvPr id="0" name=""/>
        <dsp:cNvSpPr/>
      </dsp:nvSpPr>
      <dsp:spPr>
        <a:xfrm rot="5400000">
          <a:off x="1143020" y="1154538"/>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1167018" y="1171678"/>
        <a:ext cx="123413" cy="119986"/>
      </dsp:txXfrm>
    </dsp:sp>
    <dsp:sp modelId="{C2438094-FB56-41E0-8E88-BC39C721F476}">
      <dsp:nvSpPr>
        <dsp:cNvPr id="0" name=""/>
        <dsp:cNvSpPr/>
      </dsp:nvSpPr>
      <dsp:spPr>
        <a:xfrm>
          <a:off x="589515" y="1371655"/>
          <a:ext cx="1278419"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TCLV identification and tracking</a:t>
          </a:r>
        </a:p>
      </dsp:txBody>
      <dsp:txXfrm>
        <a:off x="602903" y="1385043"/>
        <a:ext cx="1251643" cy="430312"/>
      </dsp:txXfrm>
    </dsp:sp>
    <dsp:sp modelId="{6931690F-C49C-48DB-B878-C0F44565DB59}">
      <dsp:nvSpPr>
        <dsp:cNvPr id="0" name=""/>
        <dsp:cNvSpPr/>
      </dsp:nvSpPr>
      <dsp:spPr>
        <a:xfrm rot="5400000">
          <a:off x="1143020" y="1840171"/>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1167018" y="1857311"/>
        <a:ext cx="123413" cy="119986"/>
      </dsp:txXfrm>
    </dsp:sp>
    <dsp:sp modelId="{78A49E51-F2B0-4ACD-913D-90223AD3FFA9}">
      <dsp:nvSpPr>
        <dsp:cNvPr id="0" name=""/>
        <dsp:cNvSpPr/>
      </dsp:nvSpPr>
      <dsp:spPr>
        <a:xfrm>
          <a:off x="589515" y="2057288"/>
          <a:ext cx="1278419"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Quantile scaling for intensity</a:t>
          </a:r>
        </a:p>
      </dsp:txBody>
      <dsp:txXfrm>
        <a:off x="602903" y="2070676"/>
        <a:ext cx="1251643" cy="430312"/>
      </dsp:txXfrm>
    </dsp:sp>
    <dsp:sp modelId="{4D8E1C18-64F6-494E-A98E-D941E5D0479B}">
      <dsp:nvSpPr>
        <dsp:cNvPr id="0" name=""/>
        <dsp:cNvSpPr/>
      </dsp:nvSpPr>
      <dsp:spPr>
        <a:xfrm rot="5400000">
          <a:off x="1143020" y="2525803"/>
          <a:ext cx="171408" cy="2056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1167018" y="2542943"/>
        <a:ext cx="123413" cy="119986"/>
      </dsp:txXfrm>
    </dsp:sp>
    <dsp:sp modelId="{6EE4731F-DA58-47A2-9020-7324531F5B86}">
      <dsp:nvSpPr>
        <dsp:cNvPr id="0" name=""/>
        <dsp:cNvSpPr/>
      </dsp:nvSpPr>
      <dsp:spPr>
        <a:xfrm>
          <a:off x="589515" y="2742920"/>
          <a:ext cx="1278419" cy="457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Peril matrix</a:t>
          </a:r>
        </a:p>
      </dsp:txBody>
      <dsp:txXfrm>
        <a:off x="602903" y="2756308"/>
        <a:ext cx="1251643" cy="4303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6E7CA-9AC6-4242-836A-C13676B85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B6392371.dotm</Template>
  <TotalTime>0</TotalTime>
  <Pages>51</Pages>
  <Words>10095</Words>
  <Characters>59893</Characters>
  <Application>Microsoft Office Word</Application>
  <DocSecurity>0</DocSecurity>
  <Lines>3523</Lines>
  <Paragraphs>2691</Paragraphs>
  <ScaleCrop>false</ScaleCrop>
  <HeadingPairs>
    <vt:vector size="2" baseType="variant">
      <vt:variant>
        <vt:lpstr>Title</vt:lpstr>
      </vt:variant>
      <vt:variant>
        <vt:i4>1</vt:i4>
      </vt:variant>
    </vt:vector>
  </HeadingPairs>
  <TitlesOfParts>
    <vt:vector size="1" baseType="lpstr">
      <vt:lpstr>Tropical Cyclone Risk Assessment in the Pacific Region</vt:lpstr>
    </vt:vector>
  </TitlesOfParts>
  <Company/>
  <LinksUpToDate>false</LinksUpToDate>
  <CharactersWithSpaces>67297</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Risk Assessment in the Pacific Region</dc:title>
  <dc:subject/>
  <dc:creator/>
  <cp:keywords/>
  <dc:description/>
  <cp:lastModifiedBy/>
  <cp:revision>1</cp:revision>
  <dcterms:created xsi:type="dcterms:W3CDTF">2013-07-30T02:02:00Z</dcterms:created>
  <dcterms:modified xsi:type="dcterms:W3CDTF">2013-07-30T06:20:00Z</dcterms:modified>
</cp:coreProperties>
</file>