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E0B1A" w:rsidRPr="00F60B69" w:rsidRDefault="00AE0B1A" w:rsidP="00F60B69">
      <w:pPr>
        <w:pStyle w:val="Documenttitle"/>
      </w:pPr>
      <w:r w:rsidRPr="00F60B69">
        <w:t>Regional assessment of the CO</w:t>
      </w:r>
      <w:r w:rsidRPr="00F60B69">
        <w:rPr>
          <w:rStyle w:val="Subscript"/>
        </w:rPr>
        <w:t>2</w:t>
      </w:r>
      <w:r w:rsidRPr="00F60B69">
        <w:t xml:space="preserve"> storage potential of the Mesozoic succession in the Petrel Sub-basin, Northern Territory, Australia</w:t>
      </w:r>
    </w:p>
    <w:p w:rsidR="00AE0B1A" w:rsidRPr="00C94C2F" w:rsidRDefault="00AE0B1A" w:rsidP="00AE0B1A">
      <w:pPr>
        <w:pStyle w:val="Documentsubtitle"/>
      </w:pPr>
      <w:r>
        <w:t>Summary r</w:t>
      </w:r>
      <w:r w:rsidRPr="00C94C2F">
        <w:t>eport</w:t>
      </w:r>
      <w:r w:rsidRPr="00C94C2F">
        <w:rPr>
          <w:noProof/>
        </w:rPr>
        <w:t xml:space="preserve"> </w:t>
      </w:r>
    </w:p>
    <w:p w:rsidR="00AE0B1A" w:rsidRPr="00CD2239" w:rsidRDefault="00AE0B1A" w:rsidP="00AE0B1A">
      <w:pPr>
        <w:pStyle w:val="Record"/>
      </w:pPr>
      <w:r w:rsidRPr="000D1A85">
        <w:t>Geoscience Australia</w:t>
      </w:r>
      <w:r w:rsidRPr="000D1A85">
        <w:br/>
        <w:t>RECORD 201</w:t>
      </w:r>
      <w:r w:rsidR="001B04C8" w:rsidRPr="000D1A85">
        <w:t>4</w:t>
      </w:r>
      <w:r w:rsidRPr="000D1A85">
        <w:t>/</w:t>
      </w:r>
      <w:r w:rsidR="00725B96">
        <w:t>11</w:t>
      </w:r>
    </w:p>
    <w:p w:rsidR="00AE0B1A" w:rsidRPr="00213B94" w:rsidRDefault="00735298" w:rsidP="00AE0B1A">
      <w:pPr>
        <w:pStyle w:val="Authors"/>
      </w:pPr>
      <w:r>
        <w:rPr>
          <w:noProof/>
        </w:rPr>
        <w:t>Christopher Consoli</w:t>
      </w:r>
      <w:r w:rsidR="00AE0B1A">
        <w:t xml:space="preserve">, </w:t>
      </w:r>
      <w:r>
        <w:rPr>
          <w:noProof/>
        </w:rPr>
        <w:t>Karen Higgins</w:t>
      </w:r>
      <w:r w:rsidR="00AE0B1A">
        <w:t xml:space="preserve">, </w:t>
      </w:r>
      <w:r>
        <w:rPr>
          <w:noProof/>
        </w:rPr>
        <w:t>Diane Jorgensen</w:t>
      </w:r>
      <w:r w:rsidR="00AE0B1A">
        <w:t xml:space="preserve">, </w:t>
      </w:r>
      <w:r>
        <w:rPr>
          <w:noProof/>
        </w:rPr>
        <w:t>Kamal Khider</w:t>
      </w:r>
      <w:r w:rsidR="00AE0B1A">
        <w:t xml:space="preserve">, </w:t>
      </w:r>
      <w:r>
        <w:rPr>
          <w:noProof/>
        </w:rPr>
        <w:t>David Lescinsky</w:t>
      </w:r>
      <w:r w:rsidR="00AE0B1A">
        <w:t xml:space="preserve">, </w:t>
      </w:r>
      <w:r>
        <w:rPr>
          <w:noProof/>
        </w:rPr>
        <w:t>Robbie Morris</w:t>
      </w:r>
      <w:r w:rsidR="00AE0B1A">
        <w:t xml:space="preserve"> and </w:t>
      </w:r>
      <w:r>
        <w:rPr>
          <w:noProof/>
        </w:rPr>
        <w:t>Victor Nguyen</w:t>
      </w:r>
    </w:p>
    <w:p w:rsidR="000D1A85" w:rsidRPr="006639BF" w:rsidRDefault="000D1A85" w:rsidP="000D1A85">
      <w:pPr>
        <w:pStyle w:val="FiguresImagesLeft"/>
      </w:pPr>
      <w:r w:rsidRPr="006639BF">
        <w:rPr>
          <w:noProof/>
        </w:rPr>
        <w:drawing>
          <wp:inline distT="0" distB="0" distL="0" distR="0" wp14:anchorId="5759CF76" wp14:editId="2B78C6A6">
            <wp:extent cx="2549525" cy="587281"/>
            <wp:effectExtent l="0" t="0" r="3175" b="3810"/>
            <wp:docPr id="1" name="Picture 1" descr="Australian Government: Geoscience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_recor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0258" b="10683"/>
                    <a:stretch/>
                  </pic:blipFill>
                  <pic:spPr bwMode="auto">
                    <a:xfrm>
                      <a:off x="0" y="0"/>
                      <a:ext cx="2552065" cy="587866"/>
                    </a:xfrm>
                    <a:prstGeom prst="rect">
                      <a:avLst/>
                    </a:prstGeom>
                    <a:noFill/>
                    <a:ln>
                      <a:noFill/>
                    </a:ln>
                    <a:extLst>
                      <a:ext uri="{53640926-AAD7-44D8-BBD7-CCE9431645EC}">
                        <a14:shadowObscured xmlns:a14="http://schemas.microsoft.com/office/drawing/2010/main"/>
                      </a:ext>
                    </a:extLst>
                  </pic:spPr>
                </pic:pic>
              </a:graphicData>
            </a:graphic>
          </wp:inline>
        </w:drawing>
      </w:r>
    </w:p>
    <w:p w:rsidR="00AE0B1A" w:rsidRPr="00CA0868" w:rsidRDefault="00AE0B1A" w:rsidP="00AE0B1A">
      <w:pPr>
        <w:pStyle w:val="VersoBoldPgB4"/>
      </w:pPr>
      <w:r w:rsidRPr="00CA0868">
        <w:lastRenderedPageBreak/>
        <w:t>Department of Industry</w:t>
      </w:r>
    </w:p>
    <w:p w:rsidR="000D1A85" w:rsidRPr="006639BF" w:rsidRDefault="000D1A85" w:rsidP="000D1A85">
      <w:pPr>
        <w:pStyle w:val="VersoPageInfo0"/>
      </w:pPr>
      <w:r w:rsidRPr="006639BF">
        <w:t>Minister for Industry: The Hon Ian Macfarlane MP</w:t>
      </w:r>
      <w:r w:rsidRPr="006639BF">
        <w:br/>
        <w:t>Parliamentary Secretary: The Hon Bob Baldwin MP</w:t>
      </w:r>
      <w:r w:rsidRPr="006639BF">
        <w:br/>
        <w:t>Secretary: Ms Glenys Beauchamp PSM</w:t>
      </w:r>
    </w:p>
    <w:p w:rsidR="000D1A85" w:rsidRPr="006639BF" w:rsidRDefault="000D1A85" w:rsidP="000D1A85">
      <w:pPr>
        <w:pStyle w:val="VersoBold"/>
      </w:pPr>
      <w:r w:rsidRPr="006639BF">
        <w:t>Geoscience Australia</w:t>
      </w:r>
    </w:p>
    <w:p w:rsidR="000D1A85" w:rsidRPr="006639BF" w:rsidRDefault="000D1A85" w:rsidP="000D1A85">
      <w:pPr>
        <w:pStyle w:val="VersoPageInfo0"/>
      </w:pPr>
      <w:r w:rsidRPr="006639BF">
        <w:t xml:space="preserve">Chief Executive Officer: Dr Chris </w:t>
      </w:r>
      <w:proofErr w:type="spellStart"/>
      <w:r w:rsidRPr="006639BF">
        <w:t>Pigram</w:t>
      </w:r>
      <w:proofErr w:type="spellEnd"/>
      <w:r w:rsidRPr="006639BF">
        <w:br/>
        <w:t>This paper is published with the permission of the CEO, Geoscience Australia</w:t>
      </w:r>
    </w:p>
    <w:p w:rsidR="000D1A85" w:rsidRPr="006639BF" w:rsidRDefault="000D1A85" w:rsidP="000D1A85">
      <w:pPr>
        <w:pStyle w:val="FiguresImagesLeft"/>
      </w:pPr>
      <w:r w:rsidRPr="006639BF">
        <w:rPr>
          <w:noProof/>
        </w:rPr>
        <w:drawing>
          <wp:inline distT="0" distB="0" distL="0" distR="0" wp14:anchorId="148469AD" wp14:editId="36D6DC2D">
            <wp:extent cx="1000125" cy="361950"/>
            <wp:effectExtent l="0" t="0" r="9525" b="0"/>
            <wp:docPr id="2"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0D1A85" w:rsidRPr="006639BF" w:rsidRDefault="000D1A85" w:rsidP="000D1A85">
      <w:pPr>
        <w:pStyle w:val="VersoPageInfo0"/>
      </w:pPr>
      <w:r w:rsidRPr="006639BF">
        <w:t>© Commonwealth of Australia (Geoscience Australia) 2014</w:t>
      </w:r>
    </w:p>
    <w:p w:rsidR="000D1A85" w:rsidRPr="006639BF" w:rsidRDefault="000D1A85" w:rsidP="000D1A85">
      <w:pPr>
        <w:pStyle w:val="VersoPageInfo0"/>
      </w:pPr>
      <w:r w:rsidRPr="006639BF">
        <w:t>With the exception of the Commonwealth Coat of Arms and where otherwise noted, all material in this publication is provided under a Creative Commons Attribution 3.0 Australia Licence. (</w:t>
      </w:r>
      <w:hyperlink r:id="rId11" w:tooltip="Creative Commons website" w:history="1">
        <w:r w:rsidRPr="006639BF">
          <w:rPr>
            <w:rStyle w:val="Hyperlink"/>
          </w:rPr>
          <w:t>http://www.creativecommons.org/licenses/by/3.0/au/deed.en</w:t>
        </w:r>
      </w:hyperlink>
      <w:r w:rsidRPr="006639BF">
        <w:t>)</w:t>
      </w:r>
    </w:p>
    <w:p w:rsidR="000D1A85" w:rsidRPr="006639BF" w:rsidRDefault="000D1A85" w:rsidP="000D1A85">
      <w:pPr>
        <w:pStyle w:val="VersoPageInfo0"/>
      </w:pPr>
      <w:r w:rsidRPr="006639BF">
        <w:t>Geoscience Australia has tried to make the information in this product as accurate as possible. However, it does not guarantee that the information is totally accurate or complete. Therefore, you should not solely rely on this information when making a commercial decision.</w:t>
      </w:r>
    </w:p>
    <w:p w:rsidR="000D1A85" w:rsidRPr="006639BF" w:rsidRDefault="000D1A85" w:rsidP="000D1A85">
      <w:pPr>
        <w:pStyle w:val="VersoPageInfo0"/>
      </w:pPr>
      <w:r w:rsidRPr="006639BF">
        <w:t xml:space="preserve">Geoscience Australia is committed to providing web accessible content wherever possible. If you are having difficulties with accessing this document please email </w:t>
      </w:r>
      <w:hyperlink r:id="rId12" w:tooltip="Email Geoscience Australia" w:history="1">
        <w:r w:rsidRPr="006639BF">
          <w:rPr>
            <w:rStyle w:val="Hyperlink"/>
          </w:rPr>
          <w:t>clientservices@ga.gov.au</w:t>
        </w:r>
      </w:hyperlink>
      <w:r w:rsidRPr="006639BF">
        <w:t>.</w:t>
      </w:r>
    </w:p>
    <w:p w:rsidR="000D1A85" w:rsidRPr="006639BF" w:rsidRDefault="000D1A85" w:rsidP="000D1A85">
      <w:pPr>
        <w:pStyle w:val="VersoBold"/>
      </w:pPr>
      <w:r w:rsidRPr="006639BF">
        <w:t>ISSN 2201-702X (PDF)</w:t>
      </w:r>
    </w:p>
    <w:p w:rsidR="000D1A85" w:rsidRPr="006639BF" w:rsidRDefault="000D1A85" w:rsidP="000D1A85">
      <w:pPr>
        <w:pStyle w:val="VersoBold"/>
      </w:pPr>
      <w:r w:rsidRPr="006639BF">
        <w:t xml:space="preserve">ISBN </w:t>
      </w:r>
      <w:r w:rsidR="00725B96">
        <w:t xml:space="preserve">978-1-925124-00-2 </w:t>
      </w:r>
      <w:r w:rsidRPr="006639BF">
        <w:t>(PDF)</w:t>
      </w:r>
    </w:p>
    <w:p w:rsidR="00AE0B1A" w:rsidRPr="00F77E2B" w:rsidRDefault="00AE0B1A" w:rsidP="00AE0B1A">
      <w:pPr>
        <w:pStyle w:val="VersoBold"/>
      </w:pPr>
      <w:proofErr w:type="spellStart"/>
      <w:r w:rsidRPr="00661A73">
        <w:t>GeoCat</w:t>
      </w:r>
      <w:proofErr w:type="spellEnd"/>
      <w:r w:rsidR="00C75E33">
        <w:t xml:space="preserve"> </w:t>
      </w:r>
      <w:r w:rsidR="00C75E33" w:rsidRPr="00C75E33">
        <w:t>76510</w:t>
      </w:r>
    </w:p>
    <w:p w:rsidR="00AE0B1A" w:rsidRPr="00CD2239" w:rsidRDefault="00AE0B1A" w:rsidP="00AE0B1A">
      <w:pPr>
        <w:pStyle w:val="Bibliography"/>
      </w:pPr>
      <w:r w:rsidRPr="000D1A85">
        <w:rPr>
          <w:rStyle w:val="Bold"/>
          <w:rFonts w:eastAsia="Times"/>
        </w:rPr>
        <w:t>Bibliographic reference:</w:t>
      </w:r>
      <w:r w:rsidRPr="00317526">
        <w:t xml:space="preserve"> </w:t>
      </w:r>
      <w:r w:rsidRPr="00C94C2F">
        <w:t xml:space="preserve">Consoli, C.P., Higgins, K., Jorgensen, D., </w:t>
      </w:r>
      <w:proofErr w:type="spellStart"/>
      <w:r w:rsidRPr="00C94C2F">
        <w:t>Khider</w:t>
      </w:r>
      <w:proofErr w:type="spellEnd"/>
      <w:r w:rsidRPr="00C94C2F">
        <w:t>, K., Lescinsky, D. T., Morris, R. and Nguyen, V., 2013</w:t>
      </w:r>
      <w:r>
        <w:t>,</w:t>
      </w:r>
      <w:r w:rsidRPr="00C94C2F">
        <w:t xml:space="preserve"> </w:t>
      </w:r>
      <w:r w:rsidRPr="009D5B2E">
        <w:rPr>
          <w:rStyle w:val="Italic"/>
        </w:rPr>
        <w:t>Regional assessment of the CO</w:t>
      </w:r>
      <w:r w:rsidRPr="009D5B2E">
        <w:rPr>
          <w:rStyle w:val="Subscriptitalic"/>
        </w:rPr>
        <w:t>2</w:t>
      </w:r>
      <w:r w:rsidRPr="009D5B2E">
        <w:rPr>
          <w:rStyle w:val="Italic"/>
        </w:rPr>
        <w:t xml:space="preserve"> storage potential of the Mesozoic succession in the Petrel Sub-basin, Northern Territor</w:t>
      </w:r>
      <w:r w:rsidRPr="000D1A85">
        <w:rPr>
          <w:rStyle w:val="Italic"/>
        </w:rPr>
        <w:t xml:space="preserve">y, </w:t>
      </w:r>
      <w:proofErr w:type="gramStart"/>
      <w:r w:rsidRPr="000D1A85">
        <w:rPr>
          <w:rStyle w:val="Italic"/>
        </w:rPr>
        <w:t>Australia</w:t>
      </w:r>
      <w:proofErr w:type="gramEnd"/>
      <w:r w:rsidR="00725B96">
        <w:rPr>
          <w:rStyle w:val="Italic"/>
        </w:rPr>
        <w:t xml:space="preserve">: </w:t>
      </w:r>
      <w:r w:rsidR="00725B96" w:rsidRPr="00725B96">
        <w:rPr>
          <w:rStyle w:val="Italic"/>
        </w:rPr>
        <w:t>summary report</w:t>
      </w:r>
      <w:r w:rsidR="001B04C8" w:rsidRPr="000D1A85">
        <w:t xml:space="preserve">. </w:t>
      </w:r>
      <w:r w:rsidR="000D1A85" w:rsidRPr="000D1A85">
        <w:t>Rec</w:t>
      </w:r>
      <w:r w:rsidR="000D1A85" w:rsidRPr="006639BF">
        <w:t>ord 2014/</w:t>
      </w:r>
      <w:r w:rsidR="00725B96">
        <w:t>11</w:t>
      </w:r>
      <w:r w:rsidR="000D1A85" w:rsidRPr="006639BF">
        <w:t>. Geoscience Australia</w:t>
      </w:r>
      <w:r w:rsidR="000D1A85">
        <w:t>,</w:t>
      </w:r>
      <w:r w:rsidR="000D1A85" w:rsidRPr="006639BF">
        <w:t xml:space="preserve"> Canberra.</w:t>
      </w:r>
      <w:r w:rsidR="000D1A85">
        <w:t xml:space="preserve"> </w:t>
      </w:r>
      <w:hyperlink r:id="rId13" w:tooltip="Geoscience Australia website" w:history="1">
        <w:r w:rsidR="00725B96">
          <w:rPr>
            <w:rStyle w:val="Hyperlink"/>
          </w:rPr>
          <w:t>http://dx.doi.org/10.11636/Record.2014.011</w:t>
        </w:r>
      </w:hyperlink>
    </w:p>
    <w:p w:rsidR="003543F5" w:rsidRDefault="003543F5" w:rsidP="00AE0B1A">
      <w:pPr>
        <w:pStyle w:val="Versopageinfo"/>
        <w:sectPr w:rsidR="003543F5" w:rsidSect="00725B96">
          <w:footerReference w:type="default" r:id="rId14"/>
          <w:pgSz w:w="11907" w:h="16840" w:code="9"/>
          <w:pgMar w:top="1985" w:right="1418" w:bottom="1134" w:left="1418" w:header="720" w:footer="397" w:gutter="0"/>
          <w:pgNumType w:fmt="lowerRoman" w:start="1"/>
          <w:cols w:space="720"/>
          <w:titlePg/>
          <w:docGrid w:linePitch="272"/>
        </w:sectPr>
      </w:pPr>
    </w:p>
    <w:p w:rsidR="00AE0B1A" w:rsidRPr="00255748" w:rsidRDefault="00AE0B1A" w:rsidP="00AE0B1A">
      <w:pPr>
        <w:pStyle w:val="TOCHeading"/>
      </w:pPr>
      <w:r w:rsidRPr="00255748">
        <w:lastRenderedPageBreak/>
        <w:t>Contents</w:t>
      </w:r>
    </w:p>
    <w:p w:rsidR="00F64E4F" w:rsidRDefault="00BC13E3">
      <w:pPr>
        <w:pStyle w:val="TOC1"/>
        <w:rPr>
          <w:rFonts w:asciiTheme="minorHAnsi" w:eastAsiaTheme="minorEastAsia" w:hAnsiTheme="minorHAnsi" w:cstheme="minorBidi"/>
          <w:sz w:val="22"/>
          <w:szCs w:val="22"/>
        </w:rPr>
      </w:pPr>
      <w:r>
        <w:fldChar w:fldCharType="begin"/>
      </w:r>
      <w:r>
        <w:instrText xml:space="preserve"> TOC \h \z \t "Heading 1,1,Heading 2,2,Heading 3,3,Heading 9,1,Head 1 no numbers,1,Head 2 no numbers,2,Head 3 no numbers,3,Heading appendix 1 base,1,Heading 1 numbered,1,Heading 2 numbered,2,Heading 3 numbered,3" </w:instrText>
      </w:r>
      <w:r>
        <w:fldChar w:fldCharType="separate"/>
      </w:r>
      <w:hyperlink w:anchor="_Toc383758202" w:history="1">
        <w:r w:rsidR="00F64E4F" w:rsidRPr="00D2310D">
          <w:rPr>
            <w:rStyle w:val="Hyperlink"/>
          </w:rPr>
          <w:t>Summary</w:t>
        </w:r>
        <w:r w:rsidR="00F64E4F">
          <w:rPr>
            <w:webHidden/>
          </w:rPr>
          <w:tab/>
        </w:r>
        <w:r w:rsidR="00F64E4F">
          <w:rPr>
            <w:webHidden/>
          </w:rPr>
          <w:fldChar w:fldCharType="begin"/>
        </w:r>
        <w:r w:rsidR="00F64E4F">
          <w:rPr>
            <w:webHidden/>
          </w:rPr>
          <w:instrText xml:space="preserve"> PAGEREF _Toc383758202 \h </w:instrText>
        </w:r>
        <w:r w:rsidR="00F64E4F">
          <w:rPr>
            <w:webHidden/>
          </w:rPr>
        </w:r>
        <w:r w:rsidR="00F64E4F">
          <w:rPr>
            <w:webHidden/>
          </w:rPr>
          <w:fldChar w:fldCharType="separate"/>
        </w:r>
        <w:r w:rsidR="00F64E4F">
          <w:rPr>
            <w:webHidden/>
          </w:rPr>
          <w:t>1</w:t>
        </w:r>
        <w:r w:rsidR="00F64E4F">
          <w:rPr>
            <w:webHidden/>
          </w:rPr>
          <w:fldChar w:fldCharType="end"/>
        </w:r>
      </w:hyperlink>
    </w:p>
    <w:p w:rsidR="00F64E4F" w:rsidRDefault="00F64E4F">
      <w:pPr>
        <w:pStyle w:val="TOC1"/>
        <w:rPr>
          <w:rFonts w:asciiTheme="minorHAnsi" w:eastAsiaTheme="minorEastAsia" w:hAnsiTheme="minorHAnsi" w:cstheme="minorBidi"/>
          <w:sz w:val="22"/>
          <w:szCs w:val="22"/>
        </w:rPr>
      </w:pPr>
      <w:hyperlink w:anchor="_Toc383758203" w:history="1">
        <w:r w:rsidRPr="00D2310D">
          <w:rPr>
            <w:rStyle w:val="Hyperlink"/>
          </w:rPr>
          <w:t>1 Introduction</w:t>
        </w:r>
        <w:r>
          <w:rPr>
            <w:webHidden/>
          </w:rPr>
          <w:tab/>
        </w:r>
        <w:r>
          <w:rPr>
            <w:webHidden/>
          </w:rPr>
          <w:fldChar w:fldCharType="begin"/>
        </w:r>
        <w:r>
          <w:rPr>
            <w:webHidden/>
          </w:rPr>
          <w:instrText xml:space="preserve"> PAGEREF _Toc383758203 \h </w:instrText>
        </w:r>
        <w:r>
          <w:rPr>
            <w:webHidden/>
          </w:rPr>
        </w:r>
        <w:r>
          <w:rPr>
            <w:webHidden/>
          </w:rPr>
          <w:fldChar w:fldCharType="separate"/>
        </w:r>
        <w:r>
          <w:rPr>
            <w:webHidden/>
          </w:rPr>
          <w:t>2</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04" w:history="1">
        <w:r w:rsidRPr="00D2310D">
          <w:rPr>
            <w:rStyle w:val="Hyperlink"/>
          </w:rPr>
          <w:t>1.1 Project Details</w:t>
        </w:r>
        <w:r>
          <w:rPr>
            <w:webHidden/>
          </w:rPr>
          <w:tab/>
        </w:r>
        <w:r>
          <w:rPr>
            <w:webHidden/>
          </w:rPr>
          <w:fldChar w:fldCharType="begin"/>
        </w:r>
        <w:r>
          <w:rPr>
            <w:webHidden/>
          </w:rPr>
          <w:instrText xml:space="preserve"> PAGEREF _Toc383758204 \h </w:instrText>
        </w:r>
        <w:r>
          <w:rPr>
            <w:webHidden/>
          </w:rPr>
        </w:r>
        <w:r>
          <w:rPr>
            <w:webHidden/>
          </w:rPr>
          <w:fldChar w:fldCharType="separate"/>
        </w:r>
        <w:r>
          <w:rPr>
            <w:webHidden/>
          </w:rPr>
          <w:t>2</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05" w:history="1">
        <w:r w:rsidRPr="00D2310D">
          <w:rPr>
            <w:rStyle w:val="Hyperlink"/>
          </w:rPr>
          <w:t>1.2 Carbon Capture and Storage</w:t>
        </w:r>
        <w:r>
          <w:rPr>
            <w:webHidden/>
          </w:rPr>
          <w:tab/>
        </w:r>
        <w:r>
          <w:rPr>
            <w:webHidden/>
          </w:rPr>
          <w:fldChar w:fldCharType="begin"/>
        </w:r>
        <w:r>
          <w:rPr>
            <w:webHidden/>
          </w:rPr>
          <w:instrText xml:space="preserve"> PAGEREF _Toc383758205 \h </w:instrText>
        </w:r>
        <w:r>
          <w:rPr>
            <w:webHidden/>
          </w:rPr>
        </w:r>
        <w:r>
          <w:rPr>
            <w:webHidden/>
          </w:rPr>
          <w:fldChar w:fldCharType="separate"/>
        </w:r>
        <w:r>
          <w:rPr>
            <w:webHidden/>
          </w:rPr>
          <w:t>3</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06" w:history="1">
        <w:r w:rsidRPr="00D2310D">
          <w:rPr>
            <w:rStyle w:val="Hyperlink"/>
          </w:rPr>
          <w:t>1.3 CO</w:t>
        </w:r>
        <w:r w:rsidRPr="00D2310D">
          <w:rPr>
            <w:rStyle w:val="Hyperlink"/>
            <w:position w:val="-4"/>
            <w:vertAlign w:val="subscript"/>
          </w:rPr>
          <w:t>2</w:t>
        </w:r>
        <w:r w:rsidRPr="00D2310D">
          <w:rPr>
            <w:rStyle w:val="Hyperlink"/>
          </w:rPr>
          <w:t xml:space="preserve"> Properties and Subsurface Behaviour</w:t>
        </w:r>
        <w:r>
          <w:rPr>
            <w:webHidden/>
          </w:rPr>
          <w:tab/>
        </w:r>
        <w:r>
          <w:rPr>
            <w:webHidden/>
          </w:rPr>
          <w:fldChar w:fldCharType="begin"/>
        </w:r>
        <w:r>
          <w:rPr>
            <w:webHidden/>
          </w:rPr>
          <w:instrText xml:space="preserve"> PAGEREF _Toc383758206 \h </w:instrText>
        </w:r>
        <w:r>
          <w:rPr>
            <w:webHidden/>
          </w:rPr>
        </w:r>
        <w:r>
          <w:rPr>
            <w:webHidden/>
          </w:rPr>
          <w:fldChar w:fldCharType="separate"/>
        </w:r>
        <w:r>
          <w:rPr>
            <w:webHidden/>
          </w:rPr>
          <w:t>4</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07" w:history="1">
        <w:r w:rsidRPr="00D2310D">
          <w:rPr>
            <w:rStyle w:val="Hyperlink"/>
          </w:rPr>
          <w:t>1.4 Aim</w:t>
        </w:r>
        <w:r>
          <w:rPr>
            <w:webHidden/>
          </w:rPr>
          <w:tab/>
        </w:r>
        <w:r>
          <w:rPr>
            <w:webHidden/>
          </w:rPr>
          <w:fldChar w:fldCharType="begin"/>
        </w:r>
        <w:r>
          <w:rPr>
            <w:webHidden/>
          </w:rPr>
          <w:instrText xml:space="preserve"> PAGEREF _Toc383758207 \h </w:instrText>
        </w:r>
        <w:r>
          <w:rPr>
            <w:webHidden/>
          </w:rPr>
        </w:r>
        <w:r>
          <w:rPr>
            <w:webHidden/>
          </w:rPr>
          <w:fldChar w:fldCharType="separate"/>
        </w:r>
        <w:r>
          <w:rPr>
            <w:webHidden/>
          </w:rPr>
          <w:t>5</w:t>
        </w:r>
        <w:r>
          <w:rPr>
            <w:webHidden/>
          </w:rPr>
          <w:fldChar w:fldCharType="end"/>
        </w:r>
      </w:hyperlink>
    </w:p>
    <w:p w:rsidR="00F64E4F" w:rsidRDefault="00F64E4F">
      <w:pPr>
        <w:pStyle w:val="TOC1"/>
        <w:rPr>
          <w:rFonts w:asciiTheme="minorHAnsi" w:eastAsiaTheme="minorEastAsia" w:hAnsiTheme="minorHAnsi" w:cstheme="minorBidi"/>
          <w:sz w:val="22"/>
          <w:szCs w:val="22"/>
        </w:rPr>
      </w:pPr>
      <w:hyperlink w:anchor="_Toc383758208" w:history="1">
        <w:r w:rsidRPr="00D2310D">
          <w:rPr>
            <w:rStyle w:val="Hyperlink"/>
          </w:rPr>
          <w:t>2 Regional Geology</w:t>
        </w:r>
        <w:r>
          <w:rPr>
            <w:webHidden/>
          </w:rPr>
          <w:tab/>
        </w:r>
        <w:r>
          <w:rPr>
            <w:webHidden/>
          </w:rPr>
          <w:fldChar w:fldCharType="begin"/>
        </w:r>
        <w:r>
          <w:rPr>
            <w:webHidden/>
          </w:rPr>
          <w:instrText xml:space="preserve"> PAGEREF _Toc383758208 \h </w:instrText>
        </w:r>
        <w:r>
          <w:rPr>
            <w:webHidden/>
          </w:rPr>
        </w:r>
        <w:r>
          <w:rPr>
            <w:webHidden/>
          </w:rPr>
          <w:fldChar w:fldCharType="separate"/>
        </w:r>
        <w:r>
          <w:rPr>
            <w:webHidden/>
          </w:rPr>
          <w:t>9</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09" w:history="1">
        <w:r w:rsidRPr="00D2310D">
          <w:rPr>
            <w:rStyle w:val="Hyperlink"/>
          </w:rPr>
          <w:t>2.1 Tectonic Evolution</w:t>
        </w:r>
        <w:r>
          <w:rPr>
            <w:webHidden/>
          </w:rPr>
          <w:tab/>
        </w:r>
        <w:r>
          <w:rPr>
            <w:webHidden/>
          </w:rPr>
          <w:fldChar w:fldCharType="begin"/>
        </w:r>
        <w:r>
          <w:rPr>
            <w:webHidden/>
          </w:rPr>
          <w:instrText xml:space="preserve"> PAGEREF _Toc383758209 \h </w:instrText>
        </w:r>
        <w:r>
          <w:rPr>
            <w:webHidden/>
          </w:rPr>
        </w:r>
        <w:r>
          <w:rPr>
            <w:webHidden/>
          </w:rPr>
          <w:fldChar w:fldCharType="separate"/>
        </w:r>
        <w:r>
          <w:rPr>
            <w:webHidden/>
          </w:rPr>
          <w:t>12</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10" w:history="1">
        <w:r w:rsidRPr="00D2310D">
          <w:rPr>
            <w:rStyle w:val="Hyperlink"/>
          </w:rPr>
          <w:t>2.2 Stratigraphy</w:t>
        </w:r>
        <w:r>
          <w:rPr>
            <w:webHidden/>
          </w:rPr>
          <w:tab/>
        </w:r>
        <w:r>
          <w:rPr>
            <w:webHidden/>
          </w:rPr>
          <w:fldChar w:fldCharType="begin"/>
        </w:r>
        <w:r>
          <w:rPr>
            <w:webHidden/>
          </w:rPr>
          <w:instrText xml:space="preserve"> PAGEREF _Toc383758210 \h </w:instrText>
        </w:r>
        <w:r>
          <w:rPr>
            <w:webHidden/>
          </w:rPr>
        </w:r>
        <w:r>
          <w:rPr>
            <w:webHidden/>
          </w:rPr>
          <w:fldChar w:fldCharType="separate"/>
        </w:r>
        <w:r>
          <w:rPr>
            <w:webHidden/>
          </w:rPr>
          <w:t>14</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11" w:history="1">
        <w:r w:rsidRPr="00D2310D">
          <w:rPr>
            <w:rStyle w:val="Hyperlink"/>
          </w:rPr>
          <w:t>2.3 Petroleum Potential</w:t>
        </w:r>
        <w:r>
          <w:rPr>
            <w:webHidden/>
          </w:rPr>
          <w:tab/>
        </w:r>
        <w:r>
          <w:rPr>
            <w:webHidden/>
          </w:rPr>
          <w:fldChar w:fldCharType="begin"/>
        </w:r>
        <w:r>
          <w:rPr>
            <w:webHidden/>
          </w:rPr>
          <w:instrText xml:space="preserve"> PAGEREF _Toc383758211 \h </w:instrText>
        </w:r>
        <w:r>
          <w:rPr>
            <w:webHidden/>
          </w:rPr>
        </w:r>
        <w:r>
          <w:rPr>
            <w:webHidden/>
          </w:rPr>
          <w:fldChar w:fldCharType="separate"/>
        </w:r>
        <w:r>
          <w:rPr>
            <w:webHidden/>
          </w:rPr>
          <w:t>15</w:t>
        </w:r>
        <w:r>
          <w:rPr>
            <w:webHidden/>
          </w:rPr>
          <w:fldChar w:fldCharType="end"/>
        </w:r>
      </w:hyperlink>
    </w:p>
    <w:p w:rsidR="00F64E4F" w:rsidRDefault="00F64E4F">
      <w:pPr>
        <w:pStyle w:val="TOC1"/>
        <w:rPr>
          <w:rFonts w:asciiTheme="minorHAnsi" w:eastAsiaTheme="minorEastAsia" w:hAnsiTheme="minorHAnsi" w:cstheme="minorBidi"/>
          <w:sz w:val="22"/>
          <w:szCs w:val="22"/>
        </w:rPr>
      </w:pPr>
      <w:hyperlink w:anchor="_Toc383758212" w:history="1">
        <w:r w:rsidRPr="00D2310D">
          <w:rPr>
            <w:rStyle w:val="Hyperlink"/>
          </w:rPr>
          <w:t>3 Previous CO</w:t>
        </w:r>
        <w:r w:rsidRPr="00D2310D">
          <w:rPr>
            <w:rStyle w:val="Hyperlink"/>
            <w:position w:val="-4"/>
            <w:vertAlign w:val="subscript"/>
          </w:rPr>
          <w:t>2</w:t>
        </w:r>
        <w:r w:rsidRPr="00D2310D">
          <w:rPr>
            <w:rStyle w:val="Hyperlink"/>
          </w:rPr>
          <w:t xml:space="preserve"> Storage Studies</w:t>
        </w:r>
        <w:r>
          <w:rPr>
            <w:webHidden/>
          </w:rPr>
          <w:tab/>
        </w:r>
        <w:r>
          <w:rPr>
            <w:webHidden/>
          </w:rPr>
          <w:fldChar w:fldCharType="begin"/>
        </w:r>
        <w:r>
          <w:rPr>
            <w:webHidden/>
          </w:rPr>
          <w:instrText xml:space="preserve"> PAGEREF _Toc383758212 \h </w:instrText>
        </w:r>
        <w:r>
          <w:rPr>
            <w:webHidden/>
          </w:rPr>
        </w:r>
        <w:r>
          <w:rPr>
            <w:webHidden/>
          </w:rPr>
          <w:fldChar w:fldCharType="separate"/>
        </w:r>
        <w:r>
          <w:rPr>
            <w:webHidden/>
          </w:rPr>
          <w:t>17</w:t>
        </w:r>
        <w:r>
          <w:rPr>
            <w:webHidden/>
          </w:rPr>
          <w:fldChar w:fldCharType="end"/>
        </w:r>
      </w:hyperlink>
    </w:p>
    <w:p w:rsidR="00F64E4F" w:rsidRDefault="00F64E4F">
      <w:pPr>
        <w:pStyle w:val="TOC1"/>
        <w:rPr>
          <w:rFonts w:asciiTheme="minorHAnsi" w:eastAsiaTheme="minorEastAsia" w:hAnsiTheme="minorHAnsi" w:cstheme="minorBidi"/>
          <w:sz w:val="22"/>
          <w:szCs w:val="22"/>
        </w:rPr>
      </w:pPr>
      <w:hyperlink w:anchor="_Toc383758213" w:history="1">
        <w:r w:rsidRPr="00D2310D">
          <w:rPr>
            <w:rStyle w:val="Hyperlink"/>
          </w:rPr>
          <w:t>4 Datasets and Methodology</w:t>
        </w:r>
        <w:r>
          <w:rPr>
            <w:webHidden/>
          </w:rPr>
          <w:tab/>
        </w:r>
        <w:r>
          <w:rPr>
            <w:webHidden/>
          </w:rPr>
          <w:fldChar w:fldCharType="begin"/>
        </w:r>
        <w:r>
          <w:rPr>
            <w:webHidden/>
          </w:rPr>
          <w:instrText xml:space="preserve"> PAGEREF _Toc383758213 \h </w:instrText>
        </w:r>
        <w:r>
          <w:rPr>
            <w:webHidden/>
          </w:rPr>
        </w:r>
        <w:r>
          <w:rPr>
            <w:webHidden/>
          </w:rPr>
          <w:fldChar w:fldCharType="separate"/>
        </w:r>
        <w:r>
          <w:rPr>
            <w:webHidden/>
          </w:rPr>
          <w:t>21</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14" w:history="1">
        <w:r w:rsidRPr="00D2310D">
          <w:rPr>
            <w:rStyle w:val="Hyperlink"/>
          </w:rPr>
          <w:t>4.1 Datasets</w:t>
        </w:r>
        <w:r>
          <w:rPr>
            <w:webHidden/>
          </w:rPr>
          <w:tab/>
        </w:r>
        <w:r>
          <w:rPr>
            <w:webHidden/>
          </w:rPr>
          <w:fldChar w:fldCharType="begin"/>
        </w:r>
        <w:r>
          <w:rPr>
            <w:webHidden/>
          </w:rPr>
          <w:instrText xml:space="preserve"> PAGEREF _Toc383758214 \h </w:instrText>
        </w:r>
        <w:r>
          <w:rPr>
            <w:webHidden/>
          </w:rPr>
        </w:r>
        <w:r>
          <w:rPr>
            <w:webHidden/>
          </w:rPr>
          <w:fldChar w:fldCharType="separate"/>
        </w:r>
        <w:r>
          <w:rPr>
            <w:webHidden/>
          </w:rPr>
          <w:t>21</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15" w:history="1">
        <w:r w:rsidRPr="00D2310D">
          <w:rPr>
            <w:rStyle w:val="Hyperlink"/>
          </w:rPr>
          <w:t>4.2 Methodology</w:t>
        </w:r>
        <w:r>
          <w:rPr>
            <w:webHidden/>
          </w:rPr>
          <w:tab/>
        </w:r>
        <w:r>
          <w:rPr>
            <w:webHidden/>
          </w:rPr>
          <w:fldChar w:fldCharType="begin"/>
        </w:r>
        <w:r>
          <w:rPr>
            <w:webHidden/>
          </w:rPr>
          <w:instrText xml:space="preserve"> PAGEREF _Toc383758215 \h </w:instrText>
        </w:r>
        <w:r>
          <w:rPr>
            <w:webHidden/>
          </w:rPr>
        </w:r>
        <w:r>
          <w:rPr>
            <w:webHidden/>
          </w:rPr>
          <w:fldChar w:fldCharType="separate"/>
        </w:r>
        <w:r>
          <w:rPr>
            <w:webHidden/>
          </w:rPr>
          <w:t>24</w:t>
        </w:r>
        <w:r>
          <w:rPr>
            <w:webHidden/>
          </w:rPr>
          <w:fldChar w:fldCharType="end"/>
        </w:r>
      </w:hyperlink>
    </w:p>
    <w:p w:rsidR="00F64E4F" w:rsidRDefault="00F64E4F">
      <w:pPr>
        <w:pStyle w:val="TOC1"/>
        <w:rPr>
          <w:rFonts w:asciiTheme="minorHAnsi" w:eastAsiaTheme="minorEastAsia" w:hAnsiTheme="minorHAnsi" w:cstheme="minorBidi"/>
          <w:sz w:val="22"/>
          <w:szCs w:val="22"/>
        </w:rPr>
      </w:pPr>
      <w:hyperlink w:anchor="_Toc383758216" w:history="1">
        <w:r w:rsidRPr="00D2310D">
          <w:rPr>
            <w:rStyle w:val="Hyperlink"/>
          </w:rPr>
          <w:t>5 Pre-competitive Data Acquisition</w:t>
        </w:r>
        <w:r>
          <w:rPr>
            <w:webHidden/>
          </w:rPr>
          <w:tab/>
        </w:r>
        <w:r>
          <w:rPr>
            <w:webHidden/>
          </w:rPr>
          <w:fldChar w:fldCharType="begin"/>
        </w:r>
        <w:r>
          <w:rPr>
            <w:webHidden/>
          </w:rPr>
          <w:instrText xml:space="preserve"> PAGEREF _Toc383758216 \h </w:instrText>
        </w:r>
        <w:r>
          <w:rPr>
            <w:webHidden/>
          </w:rPr>
        </w:r>
        <w:r>
          <w:rPr>
            <w:webHidden/>
          </w:rPr>
          <w:fldChar w:fldCharType="separate"/>
        </w:r>
        <w:r>
          <w:rPr>
            <w:webHidden/>
          </w:rPr>
          <w:t>32</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17" w:history="1">
        <w:r w:rsidRPr="00D2310D">
          <w:rPr>
            <w:rStyle w:val="Hyperlink"/>
          </w:rPr>
          <w:t>5.1 Seismic Survey GA336</w:t>
        </w:r>
        <w:r>
          <w:rPr>
            <w:webHidden/>
          </w:rPr>
          <w:tab/>
        </w:r>
        <w:r>
          <w:rPr>
            <w:webHidden/>
          </w:rPr>
          <w:fldChar w:fldCharType="begin"/>
        </w:r>
        <w:r>
          <w:rPr>
            <w:webHidden/>
          </w:rPr>
          <w:instrText xml:space="preserve"> PAGEREF _Toc383758217 \h </w:instrText>
        </w:r>
        <w:r>
          <w:rPr>
            <w:webHidden/>
          </w:rPr>
        </w:r>
        <w:r>
          <w:rPr>
            <w:webHidden/>
          </w:rPr>
          <w:fldChar w:fldCharType="separate"/>
        </w:r>
        <w:r>
          <w:rPr>
            <w:webHidden/>
          </w:rPr>
          <w:t>32</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18" w:history="1">
        <w:r w:rsidRPr="00D2310D">
          <w:rPr>
            <w:rStyle w:val="Hyperlink"/>
          </w:rPr>
          <w:t>5.2 Marine Study SOL5463/GA335</w:t>
        </w:r>
        <w:r>
          <w:rPr>
            <w:webHidden/>
          </w:rPr>
          <w:tab/>
        </w:r>
        <w:r>
          <w:rPr>
            <w:webHidden/>
          </w:rPr>
          <w:fldChar w:fldCharType="begin"/>
        </w:r>
        <w:r>
          <w:rPr>
            <w:webHidden/>
          </w:rPr>
          <w:instrText xml:space="preserve"> PAGEREF _Toc383758218 \h </w:instrText>
        </w:r>
        <w:r>
          <w:rPr>
            <w:webHidden/>
          </w:rPr>
        </w:r>
        <w:r>
          <w:rPr>
            <w:webHidden/>
          </w:rPr>
          <w:fldChar w:fldCharType="separate"/>
        </w:r>
        <w:r>
          <w:rPr>
            <w:webHidden/>
          </w:rPr>
          <w:t>33</w:t>
        </w:r>
        <w:r>
          <w:rPr>
            <w:webHidden/>
          </w:rPr>
          <w:fldChar w:fldCharType="end"/>
        </w:r>
      </w:hyperlink>
    </w:p>
    <w:p w:rsidR="00F64E4F" w:rsidRDefault="00F64E4F">
      <w:pPr>
        <w:pStyle w:val="TOC1"/>
        <w:rPr>
          <w:rFonts w:asciiTheme="minorHAnsi" w:eastAsiaTheme="minorEastAsia" w:hAnsiTheme="minorHAnsi" w:cstheme="minorBidi"/>
          <w:sz w:val="22"/>
          <w:szCs w:val="22"/>
        </w:rPr>
      </w:pPr>
      <w:hyperlink w:anchor="_Toc383758219" w:history="1">
        <w:r w:rsidRPr="00D2310D">
          <w:rPr>
            <w:rStyle w:val="Hyperlink"/>
          </w:rPr>
          <w:t>6 Petrel Sub-basin CO</w:t>
        </w:r>
        <w:r w:rsidRPr="00D2310D">
          <w:rPr>
            <w:rStyle w:val="Hyperlink"/>
            <w:position w:val="-4"/>
            <w:vertAlign w:val="subscript"/>
          </w:rPr>
          <w:t>2</w:t>
        </w:r>
        <w:r w:rsidRPr="00D2310D">
          <w:rPr>
            <w:rStyle w:val="Hyperlink"/>
          </w:rPr>
          <w:t xml:space="preserve"> Storage</w:t>
        </w:r>
        <w:r>
          <w:rPr>
            <w:webHidden/>
          </w:rPr>
          <w:tab/>
        </w:r>
        <w:r>
          <w:rPr>
            <w:webHidden/>
          </w:rPr>
          <w:fldChar w:fldCharType="begin"/>
        </w:r>
        <w:r>
          <w:rPr>
            <w:webHidden/>
          </w:rPr>
          <w:instrText xml:space="preserve"> PAGEREF _Toc383758219 \h </w:instrText>
        </w:r>
        <w:r>
          <w:rPr>
            <w:webHidden/>
          </w:rPr>
        </w:r>
        <w:r>
          <w:rPr>
            <w:webHidden/>
          </w:rPr>
          <w:fldChar w:fldCharType="separate"/>
        </w:r>
        <w:r>
          <w:rPr>
            <w:webHidden/>
          </w:rPr>
          <w:t>37</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20" w:history="1">
        <w:r w:rsidRPr="00D2310D">
          <w:rPr>
            <w:rStyle w:val="Hyperlink"/>
          </w:rPr>
          <w:t>6.1 Reservoir and Seal Characterisation</w:t>
        </w:r>
        <w:r>
          <w:rPr>
            <w:webHidden/>
          </w:rPr>
          <w:tab/>
        </w:r>
        <w:r>
          <w:rPr>
            <w:webHidden/>
          </w:rPr>
          <w:fldChar w:fldCharType="begin"/>
        </w:r>
        <w:r>
          <w:rPr>
            <w:webHidden/>
          </w:rPr>
          <w:instrText xml:space="preserve"> PAGEREF _Toc383758220 \h </w:instrText>
        </w:r>
        <w:r>
          <w:rPr>
            <w:webHidden/>
          </w:rPr>
        </w:r>
        <w:r>
          <w:rPr>
            <w:webHidden/>
          </w:rPr>
          <w:fldChar w:fldCharType="separate"/>
        </w:r>
        <w:r>
          <w:rPr>
            <w:webHidden/>
          </w:rPr>
          <w:t>37</w:t>
        </w:r>
        <w:r>
          <w:rPr>
            <w:webHidden/>
          </w:rPr>
          <w:fldChar w:fldCharType="end"/>
        </w:r>
      </w:hyperlink>
    </w:p>
    <w:p w:rsidR="00F64E4F" w:rsidRDefault="00F64E4F">
      <w:pPr>
        <w:pStyle w:val="TOC3"/>
        <w:rPr>
          <w:rFonts w:asciiTheme="minorHAnsi" w:eastAsiaTheme="minorEastAsia" w:hAnsiTheme="minorHAnsi" w:cstheme="minorBidi"/>
          <w:sz w:val="22"/>
          <w:szCs w:val="22"/>
        </w:rPr>
      </w:pPr>
      <w:hyperlink w:anchor="_Toc383758221" w:history="1">
        <w:r w:rsidRPr="00D2310D">
          <w:rPr>
            <w:rStyle w:val="Hyperlink"/>
          </w:rPr>
          <w:t>Jurassic Reservoir – Plover, Elang formations and lower Frigate Shale</w:t>
        </w:r>
        <w:r>
          <w:rPr>
            <w:webHidden/>
          </w:rPr>
          <w:tab/>
        </w:r>
        <w:r>
          <w:rPr>
            <w:webHidden/>
          </w:rPr>
          <w:fldChar w:fldCharType="begin"/>
        </w:r>
        <w:r>
          <w:rPr>
            <w:webHidden/>
          </w:rPr>
          <w:instrText xml:space="preserve"> PAGEREF _Toc383758221 \h </w:instrText>
        </w:r>
        <w:r>
          <w:rPr>
            <w:webHidden/>
          </w:rPr>
        </w:r>
        <w:r>
          <w:rPr>
            <w:webHidden/>
          </w:rPr>
          <w:fldChar w:fldCharType="separate"/>
        </w:r>
        <w:r>
          <w:rPr>
            <w:webHidden/>
          </w:rPr>
          <w:t>45</w:t>
        </w:r>
        <w:r>
          <w:rPr>
            <w:webHidden/>
          </w:rPr>
          <w:fldChar w:fldCharType="end"/>
        </w:r>
      </w:hyperlink>
    </w:p>
    <w:p w:rsidR="00F64E4F" w:rsidRDefault="00F64E4F">
      <w:pPr>
        <w:pStyle w:val="TOC3"/>
        <w:rPr>
          <w:rFonts w:asciiTheme="minorHAnsi" w:eastAsiaTheme="minorEastAsia" w:hAnsiTheme="minorHAnsi" w:cstheme="minorBidi"/>
          <w:sz w:val="22"/>
          <w:szCs w:val="22"/>
        </w:rPr>
      </w:pPr>
      <w:hyperlink w:anchor="_Toc383758222" w:history="1">
        <w:r w:rsidRPr="00D2310D">
          <w:rPr>
            <w:rStyle w:val="Hyperlink"/>
          </w:rPr>
          <w:t>Jurassic Seal – upper Frigate Shale</w:t>
        </w:r>
        <w:r>
          <w:rPr>
            <w:webHidden/>
          </w:rPr>
          <w:tab/>
        </w:r>
        <w:r>
          <w:rPr>
            <w:webHidden/>
          </w:rPr>
          <w:fldChar w:fldCharType="begin"/>
        </w:r>
        <w:r>
          <w:rPr>
            <w:webHidden/>
          </w:rPr>
          <w:instrText xml:space="preserve"> PAGEREF _Toc383758222 \h </w:instrText>
        </w:r>
        <w:r>
          <w:rPr>
            <w:webHidden/>
          </w:rPr>
        </w:r>
        <w:r>
          <w:rPr>
            <w:webHidden/>
          </w:rPr>
          <w:fldChar w:fldCharType="separate"/>
        </w:r>
        <w:r>
          <w:rPr>
            <w:webHidden/>
          </w:rPr>
          <w:t>47</w:t>
        </w:r>
        <w:r>
          <w:rPr>
            <w:webHidden/>
          </w:rPr>
          <w:fldChar w:fldCharType="end"/>
        </w:r>
      </w:hyperlink>
    </w:p>
    <w:p w:rsidR="00F64E4F" w:rsidRDefault="00F64E4F">
      <w:pPr>
        <w:pStyle w:val="TOC3"/>
        <w:rPr>
          <w:rFonts w:asciiTheme="minorHAnsi" w:eastAsiaTheme="minorEastAsia" w:hAnsiTheme="minorHAnsi" w:cstheme="minorBidi"/>
          <w:sz w:val="22"/>
          <w:szCs w:val="22"/>
        </w:rPr>
      </w:pPr>
      <w:hyperlink w:anchor="_Toc383758223" w:history="1">
        <w:r w:rsidRPr="00D2310D">
          <w:rPr>
            <w:rStyle w:val="Hyperlink"/>
          </w:rPr>
          <w:t>Cretaceous Reservoir – Sandpiper Sandstone</w:t>
        </w:r>
        <w:r>
          <w:rPr>
            <w:webHidden/>
          </w:rPr>
          <w:tab/>
        </w:r>
        <w:r>
          <w:rPr>
            <w:webHidden/>
          </w:rPr>
          <w:fldChar w:fldCharType="begin"/>
        </w:r>
        <w:r>
          <w:rPr>
            <w:webHidden/>
          </w:rPr>
          <w:instrText xml:space="preserve"> PAGEREF _Toc383758223 \h </w:instrText>
        </w:r>
        <w:r>
          <w:rPr>
            <w:webHidden/>
          </w:rPr>
        </w:r>
        <w:r>
          <w:rPr>
            <w:webHidden/>
          </w:rPr>
          <w:fldChar w:fldCharType="separate"/>
        </w:r>
        <w:r>
          <w:rPr>
            <w:webHidden/>
          </w:rPr>
          <w:t>51</w:t>
        </w:r>
        <w:r>
          <w:rPr>
            <w:webHidden/>
          </w:rPr>
          <w:fldChar w:fldCharType="end"/>
        </w:r>
      </w:hyperlink>
    </w:p>
    <w:p w:rsidR="00F64E4F" w:rsidRDefault="00F64E4F">
      <w:pPr>
        <w:pStyle w:val="TOC3"/>
        <w:rPr>
          <w:rFonts w:asciiTheme="minorHAnsi" w:eastAsiaTheme="minorEastAsia" w:hAnsiTheme="minorHAnsi" w:cstheme="minorBidi"/>
          <w:sz w:val="22"/>
          <w:szCs w:val="22"/>
        </w:rPr>
      </w:pPr>
      <w:hyperlink w:anchor="_Toc383758224" w:history="1">
        <w:r w:rsidRPr="00D2310D">
          <w:rPr>
            <w:rStyle w:val="Hyperlink"/>
          </w:rPr>
          <w:t>Regional Cretaceous Seal – Bathurst Island Group</w:t>
        </w:r>
        <w:r>
          <w:rPr>
            <w:webHidden/>
          </w:rPr>
          <w:tab/>
        </w:r>
        <w:r>
          <w:rPr>
            <w:webHidden/>
          </w:rPr>
          <w:fldChar w:fldCharType="begin"/>
        </w:r>
        <w:r>
          <w:rPr>
            <w:webHidden/>
          </w:rPr>
          <w:instrText xml:space="preserve"> PAGEREF _Toc383758224 \h </w:instrText>
        </w:r>
        <w:r>
          <w:rPr>
            <w:webHidden/>
          </w:rPr>
        </w:r>
        <w:r>
          <w:rPr>
            <w:webHidden/>
          </w:rPr>
          <w:fldChar w:fldCharType="separate"/>
        </w:r>
        <w:r>
          <w:rPr>
            <w:webHidden/>
          </w:rPr>
          <w:t>53</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25" w:history="1">
        <w:r w:rsidRPr="00D2310D">
          <w:rPr>
            <w:rStyle w:val="Hyperlink"/>
          </w:rPr>
          <w:t>6.2 Geomechanics and Fault Characterisation</w:t>
        </w:r>
        <w:r>
          <w:rPr>
            <w:webHidden/>
          </w:rPr>
          <w:tab/>
        </w:r>
        <w:r>
          <w:rPr>
            <w:webHidden/>
          </w:rPr>
          <w:fldChar w:fldCharType="begin"/>
        </w:r>
        <w:r>
          <w:rPr>
            <w:webHidden/>
          </w:rPr>
          <w:instrText xml:space="preserve"> PAGEREF _Toc383758225 \h </w:instrText>
        </w:r>
        <w:r>
          <w:rPr>
            <w:webHidden/>
          </w:rPr>
        </w:r>
        <w:r>
          <w:rPr>
            <w:webHidden/>
          </w:rPr>
          <w:fldChar w:fldCharType="separate"/>
        </w:r>
        <w:r>
          <w:rPr>
            <w:webHidden/>
          </w:rPr>
          <w:t>53</w:t>
        </w:r>
        <w:r>
          <w:rPr>
            <w:webHidden/>
          </w:rPr>
          <w:fldChar w:fldCharType="end"/>
        </w:r>
      </w:hyperlink>
    </w:p>
    <w:p w:rsidR="00F64E4F" w:rsidRDefault="00F64E4F">
      <w:pPr>
        <w:pStyle w:val="TOC3"/>
        <w:rPr>
          <w:rFonts w:asciiTheme="minorHAnsi" w:eastAsiaTheme="minorEastAsia" w:hAnsiTheme="minorHAnsi" w:cstheme="minorBidi"/>
          <w:sz w:val="22"/>
          <w:szCs w:val="22"/>
        </w:rPr>
      </w:pPr>
      <w:hyperlink w:anchor="_Toc383758226" w:history="1">
        <w:r w:rsidRPr="00D2310D">
          <w:rPr>
            <w:rStyle w:val="Hyperlink"/>
          </w:rPr>
          <w:t>Geomechanical Analysis</w:t>
        </w:r>
        <w:r>
          <w:rPr>
            <w:webHidden/>
          </w:rPr>
          <w:tab/>
        </w:r>
        <w:r>
          <w:rPr>
            <w:webHidden/>
          </w:rPr>
          <w:fldChar w:fldCharType="begin"/>
        </w:r>
        <w:r>
          <w:rPr>
            <w:webHidden/>
          </w:rPr>
          <w:instrText xml:space="preserve"> PAGEREF _Toc383758226 \h </w:instrText>
        </w:r>
        <w:r>
          <w:rPr>
            <w:webHidden/>
          </w:rPr>
        </w:r>
        <w:r>
          <w:rPr>
            <w:webHidden/>
          </w:rPr>
          <w:fldChar w:fldCharType="separate"/>
        </w:r>
        <w:r>
          <w:rPr>
            <w:webHidden/>
          </w:rPr>
          <w:t>55</w:t>
        </w:r>
        <w:r>
          <w:rPr>
            <w:webHidden/>
          </w:rPr>
          <w:fldChar w:fldCharType="end"/>
        </w:r>
      </w:hyperlink>
    </w:p>
    <w:p w:rsidR="00F64E4F" w:rsidRDefault="00F64E4F">
      <w:pPr>
        <w:pStyle w:val="TOC3"/>
        <w:rPr>
          <w:rFonts w:asciiTheme="minorHAnsi" w:eastAsiaTheme="minorEastAsia" w:hAnsiTheme="minorHAnsi" w:cstheme="minorBidi"/>
          <w:sz w:val="22"/>
          <w:szCs w:val="22"/>
        </w:rPr>
      </w:pPr>
      <w:hyperlink w:anchor="_Toc383758227" w:history="1">
        <w:r w:rsidRPr="00D2310D">
          <w:rPr>
            <w:rStyle w:val="Hyperlink"/>
          </w:rPr>
          <w:t>Polygonal Fault Study</w:t>
        </w:r>
        <w:r>
          <w:rPr>
            <w:webHidden/>
          </w:rPr>
          <w:tab/>
        </w:r>
        <w:r>
          <w:rPr>
            <w:webHidden/>
          </w:rPr>
          <w:fldChar w:fldCharType="begin"/>
        </w:r>
        <w:r>
          <w:rPr>
            <w:webHidden/>
          </w:rPr>
          <w:instrText xml:space="preserve"> PAGEREF _Toc383758227 \h </w:instrText>
        </w:r>
        <w:r>
          <w:rPr>
            <w:webHidden/>
          </w:rPr>
        </w:r>
        <w:r>
          <w:rPr>
            <w:webHidden/>
          </w:rPr>
          <w:fldChar w:fldCharType="separate"/>
        </w:r>
        <w:r>
          <w:rPr>
            <w:webHidden/>
          </w:rPr>
          <w:t>60</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28" w:history="1">
        <w:r w:rsidRPr="00D2310D">
          <w:rPr>
            <w:rStyle w:val="Hyperlink"/>
          </w:rPr>
          <w:t>6.3 Injection Simulation and Plume Migration</w:t>
        </w:r>
        <w:r>
          <w:rPr>
            <w:webHidden/>
          </w:rPr>
          <w:tab/>
        </w:r>
        <w:r>
          <w:rPr>
            <w:webHidden/>
          </w:rPr>
          <w:fldChar w:fldCharType="begin"/>
        </w:r>
        <w:r>
          <w:rPr>
            <w:webHidden/>
          </w:rPr>
          <w:instrText xml:space="preserve"> PAGEREF _Toc383758228 \h </w:instrText>
        </w:r>
        <w:r>
          <w:rPr>
            <w:webHidden/>
          </w:rPr>
        </w:r>
        <w:r>
          <w:rPr>
            <w:webHidden/>
          </w:rPr>
          <w:fldChar w:fldCharType="separate"/>
        </w:r>
        <w:r>
          <w:rPr>
            <w:webHidden/>
          </w:rPr>
          <w:t>62</w:t>
        </w:r>
        <w:r>
          <w:rPr>
            <w:webHidden/>
          </w:rPr>
          <w:fldChar w:fldCharType="end"/>
        </w:r>
      </w:hyperlink>
    </w:p>
    <w:p w:rsidR="00F64E4F" w:rsidRDefault="00F64E4F">
      <w:pPr>
        <w:pStyle w:val="TOC3"/>
        <w:rPr>
          <w:rFonts w:asciiTheme="minorHAnsi" w:eastAsiaTheme="minorEastAsia" w:hAnsiTheme="minorHAnsi" w:cstheme="minorBidi"/>
          <w:sz w:val="22"/>
          <w:szCs w:val="22"/>
        </w:rPr>
      </w:pPr>
      <w:hyperlink w:anchor="_Toc383758229" w:history="1">
        <w:r w:rsidRPr="00D2310D">
          <w:rPr>
            <w:rStyle w:val="Hyperlink"/>
          </w:rPr>
          <w:t>Static Geological Model</w:t>
        </w:r>
        <w:r>
          <w:rPr>
            <w:webHidden/>
          </w:rPr>
          <w:tab/>
        </w:r>
        <w:r>
          <w:rPr>
            <w:webHidden/>
          </w:rPr>
          <w:fldChar w:fldCharType="begin"/>
        </w:r>
        <w:r>
          <w:rPr>
            <w:webHidden/>
          </w:rPr>
          <w:instrText xml:space="preserve"> PAGEREF _Toc383758229 \h </w:instrText>
        </w:r>
        <w:r>
          <w:rPr>
            <w:webHidden/>
          </w:rPr>
        </w:r>
        <w:r>
          <w:rPr>
            <w:webHidden/>
          </w:rPr>
          <w:fldChar w:fldCharType="separate"/>
        </w:r>
        <w:r>
          <w:rPr>
            <w:webHidden/>
          </w:rPr>
          <w:t>62</w:t>
        </w:r>
        <w:r>
          <w:rPr>
            <w:webHidden/>
          </w:rPr>
          <w:fldChar w:fldCharType="end"/>
        </w:r>
      </w:hyperlink>
    </w:p>
    <w:p w:rsidR="00F64E4F" w:rsidRDefault="00F64E4F">
      <w:pPr>
        <w:pStyle w:val="TOC3"/>
        <w:rPr>
          <w:rFonts w:asciiTheme="minorHAnsi" w:eastAsiaTheme="minorEastAsia" w:hAnsiTheme="minorHAnsi" w:cstheme="minorBidi"/>
          <w:sz w:val="22"/>
          <w:szCs w:val="22"/>
        </w:rPr>
      </w:pPr>
      <w:hyperlink w:anchor="_Toc383758230" w:history="1">
        <w:r w:rsidRPr="00D2310D">
          <w:rPr>
            <w:rStyle w:val="Hyperlink"/>
          </w:rPr>
          <w:t>Fill-Spill Analysis</w:t>
        </w:r>
        <w:r>
          <w:rPr>
            <w:webHidden/>
          </w:rPr>
          <w:tab/>
        </w:r>
        <w:r>
          <w:rPr>
            <w:webHidden/>
          </w:rPr>
          <w:fldChar w:fldCharType="begin"/>
        </w:r>
        <w:r>
          <w:rPr>
            <w:webHidden/>
          </w:rPr>
          <w:instrText xml:space="preserve"> PAGEREF _Toc383758230 \h </w:instrText>
        </w:r>
        <w:r>
          <w:rPr>
            <w:webHidden/>
          </w:rPr>
        </w:r>
        <w:r>
          <w:rPr>
            <w:webHidden/>
          </w:rPr>
          <w:fldChar w:fldCharType="separate"/>
        </w:r>
        <w:r>
          <w:rPr>
            <w:webHidden/>
          </w:rPr>
          <w:t>63</w:t>
        </w:r>
        <w:r>
          <w:rPr>
            <w:webHidden/>
          </w:rPr>
          <w:fldChar w:fldCharType="end"/>
        </w:r>
      </w:hyperlink>
    </w:p>
    <w:p w:rsidR="00F64E4F" w:rsidRDefault="00F64E4F">
      <w:pPr>
        <w:pStyle w:val="TOC3"/>
        <w:rPr>
          <w:rFonts w:asciiTheme="minorHAnsi" w:eastAsiaTheme="minorEastAsia" w:hAnsiTheme="minorHAnsi" w:cstheme="minorBidi"/>
          <w:sz w:val="22"/>
          <w:szCs w:val="22"/>
        </w:rPr>
      </w:pPr>
      <w:hyperlink w:anchor="_Toc383758231" w:history="1">
        <w:r w:rsidRPr="00D2310D">
          <w:rPr>
            <w:rStyle w:val="Hyperlink"/>
          </w:rPr>
          <w:t>Dynamic Reservoir Simulations</w:t>
        </w:r>
        <w:r>
          <w:rPr>
            <w:webHidden/>
          </w:rPr>
          <w:tab/>
        </w:r>
        <w:r>
          <w:rPr>
            <w:webHidden/>
          </w:rPr>
          <w:fldChar w:fldCharType="begin"/>
        </w:r>
        <w:r>
          <w:rPr>
            <w:webHidden/>
          </w:rPr>
          <w:instrText xml:space="preserve"> PAGEREF _Toc383758231 \h </w:instrText>
        </w:r>
        <w:r>
          <w:rPr>
            <w:webHidden/>
          </w:rPr>
        </w:r>
        <w:r>
          <w:rPr>
            <w:webHidden/>
          </w:rPr>
          <w:fldChar w:fldCharType="separate"/>
        </w:r>
        <w:r>
          <w:rPr>
            <w:webHidden/>
          </w:rPr>
          <w:t>64</w:t>
        </w:r>
        <w:r>
          <w:rPr>
            <w:webHidden/>
          </w:rPr>
          <w:fldChar w:fldCharType="end"/>
        </w:r>
      </w:hyperlink>
    </w:p>
    <w:p w:rsidR="00F64E4F" w:rsidRDefault="00F64E4F">
      <w:pPr>
        <w:pStyle w:val="TOC1"/>
        <w:rPr>
          <w:rFonts w:asciiTheme="minorHAnsi" w:eastAsiaTheme="minorEastAsia" w:hAnsiTheme="minorHAnsi" w:cstheme="minorBidi"/>
          <w:sz w:val="22"/>
          <w:szCs w:val="22"/>
        </w:rPr>
      </w:pPr>
      <w:hyperlink w:anchor="_Toc383758232" w:history="1">
        <w:r w:rsidRPr="00D2310D">
          <w:rPr>
            <w:rStyle w:val="Hyperlink"/>
          </w:rPr>
          <w:t>7 Capacity</w:t>
        </w:r>
        <w:r>
          <w:rPr>
            <w:webHidden/>
          </w:rPr>
          <w:tab/>
        </w:r>
        <w:r>
          <w:rPr>
            <w:webHidden/>
          </w:rPr>
          <w:fldChar w:fldCharType="begin"/>
        </w:r>
        <w:r>
          <w:rPr>
            <w:webHidden/>
          </w:rPr>
          <w:instrText xml:space="preserve"> PAGEREF _Toc383758232 \h </w:instrText>
        </w:r>
        <w:r>
          <w:rPr>
            <w:webHidden/>
          </w:rPr>
        </w:r>
        <w:r>
          <w:rPr>
            <w:webHidden/>
          </w:rPr>
          <w:fldChar w:fldCharType="separate"/>
        </w:r>
        <w:r>
          <w:rPr>
            <w:webHidden/>
          </w:rPr>
          <w:t>68</w:t>
        </w:r>
        <w:r>
          <w:rPr>
            <w:webHidden/>
          </w:rPr>
          <w:fldChar w:fldCharType="end"/>
        </w:r>
      </w:hyperlink>
    </w:p>
    <w:p w:rsidR="00F64E4F" w:rsidRDefault="00F64E4F">
      <w:pPr>
        <w:pStyle w:val="TOC1"/>
        <w:rPr>
          <w:rFonts w:asciiTheme="minorHAnsi" w:eastAsiaTheme="minorEastAsia" w:hAnsiTheme="minorHAnsi" w:cstheme="minorBidi"/>
          <w:sz w:val="22"/>
          <w:szCs w:val="22"/>
        </w:rPr>
      </w:pPr>
      <w:hyperlink w:anchor="_Toc383758233" w:history="1">
        <w:r w:rsidRPr="00D2310D">
          <w:rPr>
            <w:rStyle w:val="Hyperlink"/>
          </w:rPr>
          <w:t>8 CO</w:t>
        </w:r>
        <w:r w:rsidRPr="00D2310D">
          <w:rPr>
            <w:rStyle w:val="Hyperlink"/>
            <w:position w:val="-4"/>
            <w:vertAlign w:val="subscript"/>
          </w:rPr>
          <w:t>2</w:t>
        </w:r>
        <w:r w:rsidRPr="00D2310D">
          <w:rPr>
            <w:rStyle w:val="Hyperlink"/>
          </w:rPr>
          <w:t xml:space="preserve"> Geological Storage Potential of the Petrel Sub-basin</w:t>
        </w:r>
        <w:r>
          <w:rPr>
            <w:webHidden/>
          </w:rPr>
          <w:tab/>
        </w:r>
        <w:r>
          <w:rPr>
            <w:webHidden/>
          </w:rPr>
          <w:fldChar w:fldCharType="begin"/>
        </w:r>
        <w:r>
          <w:rPr>
            <w:webHidden/>
          </w:rPr>
          <w:instrText xml:space="preserve"> PAGEREF _Toc383758233 \h </w:instrText>
        </w:r>
        <w:r>
          <w:rPr>
            <w:webHidden/>
          </w:rPr>
        </w:r>
        <w:r>
          <w:rPr>
            <w:webHidden/>
          </w:rPr>
          <w:fldChar w:fldCharType="separate"/>
        </w:r>
        <w:r>
          <w:rPr>
            <w:webHidden/>
          </w:rPr>
          <w:t>72</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34" w:history="1">
        <w:r w:rsidRPr="00D2310D">
          <w:rPr>
            <w:rStyle w:val="Hyperlink"/>
          </w:rPr>
          <w:t>8.1 Highly Suitable</w:t>
        </w:r>
        <w:r>
          <w:rPr>
            <w:webHidden/>
          </w:rPr>
          <w:tab/>
        </w:r>
        <w:r>
          <w:rPr>
            <w:webHidden/>
          </w:rPr>
          <w:fldChar w:fldCharType="begin"/>
        </w:r>
        <w:r>
          <w:rPr>
            <w:webHidden/>
          </w:rPr>
          <w:instrText xml:space="preserve"> PAGEREF _Toc383758234 \h </w:instrText>
        </w:r>
        <w:r>
          <w:rPr>
            <w:webHidden/>
          </w:rPr>
        </w:r>
        <w:r>
          <w:rPr>
            <w:webHidden/>
          </w:rPr>
          <w:fldChar w:fldCharType="separate"/>
        </w:r>
        <w:r>
          <w:rPr>
            <w:webHidden/>
          </w:rPr>
          <w:t>72</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35" w:history="1">
        <w:r w:rsidRPr="00D2310D">
          <w:rPr>
            <w:rStyle w:val="Hyperlink"/>
          </w:rPr>
          <w:t>8.2 Suitable</w:t>
        </w:r>
        <w:r>
          <w:rPr>
            <w:webHidden/>
          </w:rPr>
          <w:tab/>
        </w:r>
        <w:r>
          <w:rPr>
            <w:webHidden/>
          </w:rPr>
          <w:fldChar w:fldCharType="begin"/>
        </w:r>
        <w:r>
          <w:rPr>
            <w:webHidden/>
          </w:rPr>
          <w:instrText xml:space="preserve"> PAGEREF _Toc383758235 \h </w:instrText>
        </w:r>
        <w:r>
          <w:rPr>
            <w:webHidden/>
          </w:rPr>
        </w:r>
        <w:r>
          <w:rPr>
            <w:webHidden/>
          </w:rPr>
          <w:fldChar w:fldCharType="separate"/>
        </w:r>
        <w:r>
          <w:rPr>
            <w:webHidden/>
          </w:rPr>
          <w:t>74</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36" w:history="1">
        <w:r w:rsidRPr="00D2310D">
          <w:rPr>
            <w:rStyle w:val="Hyperlink"/>
          </w:rPr>
          <w:t>8.3 Possible</w:t>
        </w:r>
        <w:r>
          <w:rPr>
            <w:webHidden/>
          </w:rPr>
          <w:tab/>
        </w:r>
        <w:r>
          <w:rPr>
            <w:webHidden/>
          </w:rPr>
          <w:fldChar w:fldCharType="begin"/>
        </w:r>
        <w:r>
          <w:rPr>
            <w:webHidden/>
          </w:rPr>
          <w:instrText xml:space="preserve"> PAGEREF _Toc383758236 \h </w:instrText>
        </w:r>
        <w:r>
          <w:rPr>
            <w:webHidden/>
          </w:rPr>
        </w:r>
        <w:r>
          <w:rPr>
            <w:webHidden/>
          </w:rPr>
          <w:fldChar w:fldCharType="separate"/>
        </w:r>
        <w:r>
          <w:rPr>
            <w:webHidden/>
          </w:rPr>
          <w:t>74</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37" w:history="1">
        <w:r w:rsidRPr="00D2310D">
          <w:rPr>
            <w:rStyle w:val="Hyperlink"/>
          </w:rPr>
          <w:t>8.4 Unlikely</w:t>
        </w:r>
        <w:r>
          <w:rPr>
            <w:webHidden/>
          </w:rPr>
          <w:tab/>
        </w:r>
        <w:r>
          <w:rPr>
            <w:webHidden/>
          </w:rPr>
          <w:fldChar w:fldCharType="begin"/>
        </w:r>
        <w:r>
          <w:rPr>
            <w:webHidden/>
          </w:rPr>
          <w:instrText xml:space="preserve"> PAGEREF _Toc383758237 \h </w:instrText>
        </w:r>
        <w:r>
          <w:rPr>
            <w:webHidden/>
          </w:rPr>
        </w:r>
        <w:r>
          <w:rPr>
            <w:webHidden/>
          </w:rPr>
          <w:fldChar w:fldCharType="separate"/>
        </w:r>
        <w:r>
          <w:rPr>
            <w:webHidden/>
          </w:rPr>
          <w:t>74</w:t>
        </w:r>
        <w:r>
          <w:rPr>
            <w:webHidden/>
          </w:rPr>
          <w:fldChar w:fldCharType="end"/>
        </w:r>
      </w:hyperlink>
    </w:p>
    <w:p w:rsidR="00F64E4F" w:rsidRDefault="00F64E4F">
      <w:pPr>
        <w:pStyle w:val="TOC2"/>
        <w:rPr>
          <w:rFonts w:asciiTheme="minorHAnsi" w:eastAsiaTheme="minorEastAsia" w:hAnsiTheme="minorHAnsi" w:cstheme="minorBidi"/>
          <w:sz w:val="22"/>
          <w:szCs w:val="22"/>
        </w:rPr>
      </w:pPr>
      <w:hyperlink w:anchor="_Toc383758238" w:history="1">
        <w:r w:rsidRPr="00D2310D">
          <w:rPr>
            <w:rStyle w:val="Hyperlink"/>
          </w:rPr>
          <w:t>8.5 Remaining Uncertainty</w:t>
        </w:r>
        <w:r>
          <w:rPr>
            <w:webHidden/>
          </w:rPr>
          <w:tab/>
        </w:r>
        <w:r>
          <w:rPr>
            <w:webHidden/>
          </w:rPr>
          <w:fldChar w:fldCharType="begin"/>
        </w:r>
        <w:r>
          <w:rPr>
            <w:webHidden/>
          </w:rPr>
          <w:instrText xml:space="preserve"> PAGEREF _Toc383758238 \h </w:instrText>
        </w:r>
        <w:r>
          <w:rPr>
            <w:webHidden/>
          </w:rPr>
        </w:r>
        <w:r>
          <w:rPr>
            <w:webHidden/>
          </w:rPr>
          <w:fldChar w:fldCharType="separate"/>
        </w:r>
        <w:r>
          <w:rPr>
            <w:webHidden/>
          </w:rPr>
          <w:t>75</w:t>
        </w:r>
        <w:r>
          <w:rPr>
            <w:webHidden/>
          </w:rPr>
          <w:fldChar w:fldCharType="end"/>
        </w:r>
      </w:hyperlink>
    </w:p>
    <w:p w:rsidR="00F64E4F" w:rsidRDefault="00F64E4F">
      <w:pPr>
        <w:pStyle w:val="TOC1"/>
        <w:rPr>
          <w:rFonts w:asciiTheme="minorHAnsi" w:eastAsiaTheme="minorEastAsia" w:hAnsiTheme="minorHAnsi" w:cstheme="minorBidi"/>
          <w:sz w:val="22"/>
          <w:szCs w:val="22"/>
        </w:rPr>
      </w:pPr>
      <w:hyperlink w:anchor="_Toc383758239" w:history="1">
        <w:r w:rsidRPr="00D2310D">
          <w:rPr>
            <w:rStyle w:val="Hyperlink"/>
          </w:rPr>
          <w:t>9 Conclusions</w:t>
        </w:r>
        <w:r>
          <w:rPr>
            <w:webHidden/>
          </w:rPr>
          <w:tab/>
        </w:r>
        <w:r>
          <w:rPr>
            <w:webHidden/>
          </w:rPr>
          <w:fldChar w:fldCharType="begin"/>
        </w:r>
        <w:r>
          <w:rPr>
            <w:webHidden/>
          </w:rPr>
          <w:instrText xml:space="preserve"> PAGEREF _Toc383758239 \h </w:instrText>
        </w:r>
        <w:r>
          <w:rPr>
            <w:webHidden/>
          </w:rPr>
        </w:r>
        <w:r>
          <w:rPr>
            <w:webHidden/>
          </w:rPr>
          <w:fldChar w:fldCharType="separate"/>
        </w:r>
        <w:r>
          <w:rPr>
            <w:webHidden/>
          </w:rPr>
          <w:t>76</w:t>
        </w:r>
        <w:r>
          <w:rPr>
            <w:webHidden/>
          </w:rPr>
          <w:fldChar w:fldCharType="end"/>
        </w:r>
      </w:hyperlink>
    </w:p>
    <w:p w:rsidR="00F64E4F" w:rsidRDefault="00F64E4F">
      <w:pPr>
        <w:pStyle w:val="TOC1"/>
        <w:rPr>
          <w:rFonts w:asciiTheme="minorHAnsi" w:eastAsiaTheme="minorEastAsia" w:hAnsiTheme="minorHAnsi" w:cstheme="minorBidi"/>
          <w:sz w:val="22"/>
          <w:szCs w:val="22"/>
        </w:rPr>
      </w:pPr>
      <w:hyperlink w:anchor="_Toc383758240" w:history="1">
        <w:r w:rsidRPr="00D2310D">
          <w:rPr>
            <w:rStyle w:val="Hyperlink"/>
          </w:rPr>
          <w:t>10 Acknowledgements</w:t>
        </w:r>
        <w:r>
          <w:rPr>
            <w:webHidden/>
          </w:rPr>
          <w:tab/>
        </w:r>
        <w:r>
          <w:rPr>
            <w:webHidden/>
          </w:rPr>
          <w:fldChar w:fldCharType="begin"/>
        </w:r>
        <w:r>
          <w:rPr>
            <w:webHidden/>
          </w:rPr>
          <w:instrText xml:space="preserve"> PAGEREF _Toc383758240 \h </w:instrText>
        </w:r>
        <w:r>
          <w:rPr>
            <w:webHidden/>
          </w:rPr>
        </w:r>
        <w:r>
          <w:rPr>
            <w:webHidden/>
          </w:rPr>
          <w:fldChar w:fldCharType="separate"/>
        </w:r>
        <w:r>
          <w:rPr>
            <w:webHidden/>
          </w:rPr>
          <w:t>77</w:t>
        </w:r>
        <w:r>
          <w:rPr>
            <w:webHidden/>
          </w:rPr>
          <w:fldChar w:fldCharType="end"/>
        </w:r>
      </w:hyperlink>
    </w:p>
    <w:p w:rsidR="00F64E4F" w:rsidRDefault="00F64E4F">
      <w:pPr>
        <w:pStyle w:val="TOC1"/>
        <w:rPr>
          <w:rFonts w:asciiTheme="minorHAnsi" w:eastAsiaTheme="minorEastAsia" w:hAnsiTheme="minorHAnsi" w:cstheme="minorBidi"/>
          <w:sz w:val="22"/>
          <w:szCs w:val="22"/>
        </w:rPr>
      </w:pPr>
      <w:hyperlink w:anchor="_Toc383758241" w:history="1">
        <w:r w:rsidRPr="00D2310D">
          <w:rPr>
            <w:rStyle w:val="Hyperlink"/>
          </w:rPr>
          <w:t>11 References</w:t>
        </w:r>
        <w:r>
          <w:rPr>
            <w:webHidden/>
          </w:rPr>
          <w:tab/>
        </w:r>
        <w:r>
          <w:rPr>
            <w:webHidden/>
          </w:rPr>
          <w:fldChar w:fldCharType="begin"/>
        </w:r>
        <w:r>
          <w:rPr>
            <w:webHidden/>
          </w:rPr>
          <w:instrText xml:space="preserve"> PAGEREF _Toc383758241 \h </w:instrText>
        </w:r>
        <w:r>
          <w:rPr>
            <w:webHidden/>
          </w:rPr>
        </w:r>
        <w:r>
          <w:rPr>
            <w:webHidden/>
          </w:rPr>
          <w:fldChar w:fldCharType="separate"/>
        </w:r>
        <w:r>
          <w:rPr>
            <w:webHidden/>
          </w:rPr>
          <w:t>78</w:t>
        </w:r>
        <w:r>
          <w:rPr>
            <w:webHidden/>
          </w:rPr>
          <w:fldChar w:fldCharType="end"/>
        </w:r>
      </w:hyperlink>
    </w:p>
    <w:p w:rsidR="00490940" w:rsidRPr="00D17B8F" w:rsidRDefault="00BC13E3" w:rsidP="003543F5">
      <w:pPr>
        <w:pStyle w:val="TOC1"/>
      </w:pPr>
      <w:r>
        <w:fldChar w:fldCharType="end"/>
      </w:r>
    </w:p>
    <w:p w:rsidR="00AE0B1A" w:rsidRDefault="00AE0B1A" w:rsidP="00AE5C2D">
      <w:pPr>
        <w:pStyle w:val="BodyText"/>
        <w:sectPr w:rsidR="00AE0B1A" w:rsidSect="003543F5">
          <w:footerReference w:type="even" r:id="rId15"/>
          <w:footerReference w:type="first" r:id="rId16"/>
          <w:pgSz w:w="11907" w:h="16840" w:code="9"/>
          <w:pgMar w:top="1985" w:right="1418" w:bottom="1985" w:left="1418" w:header="720" w:footer="397" w:gutter="0"/>
          <w:pgNumType w:fmt="lowerRoman" w:start="3"/>
          <w:cols w:space="720"/>
          <w:titlePg/>
          <w:docGrid w:linePitch="272"/>
        </w:sectPr>
      </w:pPr>
    </w:p>
    <w:p w:rsidR="00AE0B1A" w:rsidRPr="00C94C2F" w:rsidRDefault="00AE0B1A" w:rsidP="009A01C9">
      <w:pPr>
        <w:pStyle w:val="Head1nonumbers"/>
      </w:pPr>
      <w:bookmarkStart w:id="0" w:name="_Toc372790293"/>
      <w:bookmarkStart w:id="1" w:name="_Toc378252876"/>
      <w:bookmarkStart w:id="2" w:name="_Toc378253200"/>
      <w:bookmarkStart w:id="3" w:name="_Toc378253524"/>
      <w:bookmarkStart w:id="4" w:name="_Toc378253848"/>
      <w:bookmarkStart w:id="5" w:name="_Toc378254172"/>
      <w:bookmarkStart w:id="6" w:name="_Toc378254496"/>
      <w:bookmarkStart w:id="7" w:name="_Toc378254820"/>
      <w:bookmarkStart w:id="8" w:name="_Toc378255144"/>
      <w:bookmarkStart w:id="9" w:name="_Toc383758202"/>
      <w:r w:rsidRPr="009A01C9">
        <w:lastRenderedPageBreak/>
        <w:t>Summary</w:t>
      </w:r>
      <w:bookmarkEnd w:id="0"/>
      <w:bookmarkEnd w:id="1"/>
      <w:bookmarkEnd w:id="2"/>
      <w:bookmarkEnd w:id="3"/>
      <w:bookmarkEnd w:id="4"/>
      <w:bookmarkEnd w:id="5"/>
      <w:bookmarkEnd w:id="6"/>
      <w:bookmarkEnd w:id="7"/>
      <w:bookmarkEnd w:id="8"/>
      <w:bookmarkEnd w:id="9"/>
    </w:p>
    <w:p w:rsidR="00AE0B1A" w:rsidRPr="00C94C2F" w:rsidRDefault="00AE0B1A" w:rsidP="00AE0B1A">
      <w:pPr>
        <w:pStyle w:val="BodyText"/>
      </w:pPr>
      <w:r w:rsidRPr="00C94C2F">
        <w:t xml:space="preserve">The Petrel Sub-basin </w:t>
      </w:r>
      <w:r>
        <w:t>is</w:t>
      </w:r>
      <w:r w:rsidRPr="00C94C2F">
        <w:t xml:space="preserve"> suitable for </w:t>
      </w:r>
      <w:r>
        <w:t>the geological storage of carbon dioxide (</w:t>
      </w:r>
      <w:r w:rsidRPr="00C94C2F">
        <w:t>CO</w:t>
      </w:r>
      <w:r w:rsidRPr="009D5B2E">
        <w:rPr>
          <w:rStyle w:val="Subscript"/>
        </w:rPr>
        <w:t>2</w:t>
      </w:r>
      <w:r>
        <w:t>). Acquisition of pre-competitive data and a comprehensive analysis of the sub-basin geology identified t</w:t>
      </w:r>
      <w:r w:rsidRPr="00C94C2F">
        <w:t>wo</w:t>
      </w:r>
      <w:r>
        <w:t xml:space="preserve"> Mesozoic</w:t>
      </w:r>
      <w:r w:rsidRPr="00C94C2F">
        <w:t xml:space="preserve"> </w:t>
      </w:r>
      <w:r>
        <w:t>r</w:t>
      </w:r>
      <w:r w:rsidRPr="00C94C2F">
        <w:t xml:space="preserve">eservoir-seal </w:t>
      </w:r>
      <w:r>
        <w:t>pairs over the central axis and eastern flank of the s</w:t>
      </w:r>
      <w:r w:rsidRPr="00C94C2F">
        <w:t>ub-basin</w:t>
      </w:r>
      <w:r>
        <w:t xml:space="preserve"> suitable for CO</w:t>
      </w:r>
      <w:r w:rsidRPr="009D5B2E">
        <w:rPr>
          <w:rStyle w:val="Subscript"/>
        </w:rPr>
        <w:t>2</w:t>
      </w:r>
      <w:r>
        <w:t xml:space="preserve"> storage</w:t>
      </w:r>
      <w:r w:rsidRPr="00C94C2F">
        <w:t>.</w:t>
      </w:r>
    </w:p>
    <w:p w:rsidR="00AE0B1A" w:rsidRPr="006B5A62" w:rsidRDefault="00AE0B1A" w:rsidP="00AE0B1A">
      <w:pPr>
        <w:pStyle w:val="BodyText"/>
      </w:pPr>
      <w:r>
        <w:t>The oldest reservoir-seal pair includes t</w:t>
      </w:r>
      <w:r w:rsidRPr="00C94C2F">
        <w:t xml:space="preserve">he </w:t>
      </w:r>
      <w:r>
        <w:t xml:space="preserve">Jurassic reservoir, comprising the </w:t>
      </w:r>
      <w:r w:rsidRPr="00C94C2F">
        <w:t>Plover</w:t>
      </w:r>
      <w:r>
        <w:t xml:space="preserve"> and</w:t>
      </w:r>
      <w:r w:rsidRPr="00C94C2F">
        <w:t xml:space="preserve"> </w:t>
      </w:r>
      <w:proofErr w:type="spellStart"/>
      <w:r w:rsidRPr="00C94C2F">
        <w:t>Elang</w:t>
      </w:r>
      <w:proofErr w:type="spellEnd"/>
      <w:r>
        <w:t xml:space="preserve"> formations and</w:t>
      </w:r>
      <w:r w:rsidRPr="00C94C2F">
        <w:t xml:space="preserve"> </w:t>
      </w:r>
      <w:r>
        <w:t xml:space="preserve">the lower </w:t>
      </w:r>
      <w:r w:rsidRPr="006B5A62">
        <w:t>Frigate Shale, sealed by the Jurassic upper Frigate Shale. The youngest reservoir-seal pair comprises the Cretaceous Sandpiper Sandstone reservoir and the Cretaceous Bathurst Island Group regional seal.</w:t>
      </w:r>
    </w:p>
    <w:p w:rsidR="00AE0B1A" w:rsidRPr="006B5A62" w:rsidRDefault="00AE0B1A" w:rsidP="00AE0B1A">
      <w:pPr>
        <w:pStyle w:val="BodyText"/>
      </w:pPr>
      <w:proofErr w:type="spellStart"/>
      <w:r w:rsidRPr="006B5A62">
        <w:t>Geomechanical</w:t>
      </w:r>
      <w:proofErr w:type="spellEnd"/>
      <w:r w:rsidRPr="006B5A62">
        <w:t xml:space="preserve"> analysis revealed that fault reactivation in the reservoir-seal pairs could result from cha</w:t>
      </w:r>
      <w:r>
        <w:t>nges in reservoir pore pressure,</w:t>
      </w:r>
      <w:r w:rsidRPr="006B5A62">
        <w:t xml:space="preserve"> however the risk of failure along identified faults within the areas of highest potential for CO</w:t>
      </w:r>
      <w:r w:rsidRPr="009D5B2E">
        <w:rPr>
          <w:rStyle w:val="Subscript"/>
        </w:rPr>
        <w:t>2</w:t>
      </w:r>
      <w:r w:rsidRPr="006B5A62">
        <w:t xml:space="preserve"> injection and storage is low. Outside this area, fault reactivation risk is increased for high angle faults orient</w:t>
      </w:r>
      <w:r>
        <w:t>at</w:t>
      </w:r>
      <w:r w:rsidRPr="006B5A62">
        <w:t>ed E-W and for shallow faults on the margins of the sub-basin.</w:t>
      </w:r>
    </w:p>
    <w:p w:rsidR="00AE0B1A" w:rsidRPr="006B5A62" w:rsidRDefault="00AE0B1A" w:rsidP="00AE0B1A">
      <w:pPr>
        <w:pStyle w:val="BodyText"/>
      </w:pPr>
      <w:r w:rsidRPr="006B5A62">
        <w:t>Dynamic reservoir simulations indicate that predicted CO</w:t>
      </w:r>
      <w:r w:rsidRPr="009D5B2E">
        <w:rPr>
          <w:rStyle w:val="Subscript"/>
        </w:rPr>
        <w:t>2</w:t>
      </w:r>
      <w:r w:rsidRPr="006B5A62">
        <w:t xml:space="preserve"> emissions from</w:t>
      </w:r>
      <w:bookmarkStart w:id="10" w:name="_GoBack"/>
      <w:bookmarkEnd w:id="10"/>
      <w:r w:rsidRPr="006B5A62">
        <w:t xml:space="preserve"> the region of 14 million tonnes per year by 2020 can be injected into the main Jurassic reservoir. During 30 years of injection the simulated plume migrated only 5 km and after the cessation of injection, migration slowed to around 12 m per year. After 100 years, over 50% of the CO</w:t>
      </w:r>
      <w:r w:rsidRPr="009D5B2E">
        <w:rPr>
          <w:rStyle w:val="Subscript"/>
        </w:rPr>
        <w:t>2</w:t>
      </w:r>
      <w:r w:rsidRPr="006B5A62">
        <w:t xml:space="preserve"> was permanently stored through residual and dissolution trapping.</w:t>
      </w:r>
      <w:r>
        <w:t xml:space="preserve"> </w:t>
      </w:r>
      <w:r w:rsidRPr="006B5A62">
        <w:t>CO</w:t>
      </w:r>
      <w:r w:rsidRPr="009D5B2E">
        <w:rPr>
          <w:rStyle w:val="Subscript"/>
        </w:rPr>
        <w:t>2</w:t>
      </w:r>
      <w:r w:rsidRPr="006B5A62">
        <w:t xml:space="preserve"> injection scenarios rely on migration-assisted storage, with long migration paths (50-70 km) in the two reservoirs.</w:t>
      </w:r>
      <w:r>
        <w:t xml:space="preserve"> </w:t>
      </w:r>
      <w:r w:rsidRPr="006B5A62">
        <w:t>The two reservoirs have a large total effective CO</w:t>
      </w:r>
      <w:r w:rsidRPr="009D5B2E">
        <w:rPr>
          <w:rStyle w:val="Subscript"/>
        </w:rPr>
        <w:t>2</w:t>
      </w:r>
      <w:r w:rsidRPr="006B5A62">
        <w:t xml:space="preserve"> storage capacity of 15.9 </w:t>
      </w:r>
      <w:proofErr w:type="spellStart"/>
      <w:r w:rsidRPr="006B5A62">
        <w:t>gigatonnes</w:t>
      </w:r>
      <w:proofErr w:type="spellEnd"/>
      <w:r w:rsidRPr="006B5A62">
        <w:t xml:space="preserve"> (300 trillion cubic feet; P50).</w:t>
      </w:r>
    </w:p>
    <w:p w:rsidR="00AE0B1A" w:rsidRPr="006B5A62" w:rsidRDefault="00AE0B1A" w:rsidP="00AE0B1A">
      <w:pPr>
        <w:pStyle w:val="BodyText"/>
      </w:pPr>
      <w:r w:rsidRPr="006B5A62">
        <w:t>The combined results of this study</w:t>
      </w:r>
      <w:r>
        <w:t xml:space="preserve"> were used to identify an area h</w:t>
      </w:r>
      <w:r w:rsidRPr="006B5A62">
        <w:t xml:space="preserve">ighly </w:t>
      </w:r>
      <w:r>
        <w:t>s</w:t>
      </w:r>
      <w:r w:rsidRPr="006B5A62">
        <w:t>uitable for CO</w:t>
      </w:r>
      <w:r w:rsidRPr="002E2122">
        <w:rPr>
          <w:rStyle w:val="Subscript"/>
        </w:rPr>
        <w:t>2</w:t>
      </w:r>
      <w:r w:rsidRPr="006B5A62">
        <w:t xml:space="preserve"> storage in the centre of the sub-basin,</w:t>
      </w:r>
      <w:r>
        <w:t xml:space="preserve"> making up 27% of the total study area and</w:t>
      </w:r>
      <w:r w:rsidRPr="006B5A62">
        <w:t xml:space="preserve"> extending between 50-70 km to the north, east and south of the Petrel gas field. </w:t>
      </w:r>
    </w:p>
    <w:p w:rsidR="00AE0B1A" w:rsidRPr="006B5A62" w:rsidRDefault="00AE0B1A" w:rsidP="00AE0B1A">
      <w:pPr>
        <w:pStyle w:val="BodyText"/>
      </w:pPr>
      <w:r w:rsidRPr="006B5A62">
        <w:t>Key datasets from the study include:</w:t>
      </w:r>
    </w:p>
    <w:p w:rsidR="00AE0B1A" w:rsidRPr="00C94C2F" w:rsidRDefault="00AE0B1A" w:rsidP="00AE0B1A">
      <w:pPr>
        <w:pStyle w:val="Listbulletlevel1"/>
      </w:pPr>
      <w:r w:rsidRPr="00C94C2F">
        <w:t>4091 line kilometres of 2D seismic reflection data</w:t>
      </w:r>
      <w:r>
        <w:t xml:space="preserve"> </w:t>
      </w:r>
      <w:r w:rsidRPr="00C94C2F">
        <w:t>(</w:t>
      </w:r>
      <w:r>
        <w:t xml:space="preserve">seismic </w:t>
      </w:r>
      <w:r w:rsidRPr="00C94C2F">
        <w:t>survey GA336)</w:t>
      </w:r>
      <w:r>
        <w:t>. These data were</w:t>
      </w:r>
      <w:r w:rsidRPr="00C94C2F">
        <w:t xml:space="preserve"> </w:t>
      </w:r>
      <w:r>
        <w:t>acquired</w:t>
      </w:r>
      <w:r w:rsidRPr="00C94C2F">
        <w:t xml:space="preserve"> </w:t>
      </w:r>
      <w:r>
        <w:t xml:space="preserve">over a data poor area in the southeast, a </w:t>
      </w:r>
      <w:r w:rsidRPr="00C94C2F">
        <w:t xml:space="preserve">critical </w:t>
      </w:r>
      <w:r>
        <w:t>location for</w:t>
      </w:r>
      <w:r w:rsidRPr="00C94C2F">
        <w:t xml:space="preserve"> understanding the CO</w:t>
      </w:r>
      <w:r w:rsidRPr="00255748">
        <w:rPr>
          <w:rStyle w:val="Subscript"/>
        </w:rPr>
        <w:t>2</w:t>
      </w:r>
      <w:r>
        <w:t xml:space="preserve"> storage.</w:t>
      </w:r>
    </w:p>
    <w:p w:rsidR="00AE0B1A" w:rsidRDefault="00AE0B1A" w:rsidP="00AE0B1A">
      <w:pPr>
        <w:pStyle w:val="Listbulletlevel1"/>
      </w:pPr>
      <w:r>
        <w:t xml:space="preserve">Comprehensive suite of </w:t>
      </w:r>
      <w:proofErr w:type="spellStart"/>
      <w:r>
        <w:t>multibeam</w:t>
      </w:r>
      <w:proofErr w:type="spellEnd"/>
      <w:r>
        <w:t xml:space="preserve"> sonar, sub-bottom profiler, seabed samples, and seabed video and stills for targeted environments. These data were collected in two areas during a</w:t>
      </w:r>
      <w:r w:rsidRPr="00C94C2F">
        <w:t xml:space="preserve"> marine </w:t>
      </w:r>
      <w:r>
        <w:t xml:space="preserve">reconnaissance </w:t>
      </w:r>
      <w:r w:rsidRPr="00C94C2F">
        <w:t>survey</w:t>
      </w:r>
      <w:r>
        <w:t xml:space="preserve"> (SOL5463/GA335) undertaken to investigate evidence for</w:t>
      </w:r>
      <w:r w:rsidRPr="00C94C2F">
        <w:t xml:space="preserve"> potential leakage </w:t>
      </w:r>
      <w:r>
        <w:t>from the deep basin to the seabed to asses seal quality. No evidence of deep fluid leakage was found.</w:t>
      </w:r>
      <w:r w:rsidRPr="00C94C2F">
        <w:t xml:space="preserve"> </w:t>
      </w:r>
      <w:r>
        <w:t>The data also provided</w:t>
      </w:r>
      <w:r w:rsidRPr="00C94C2F">
        <w:t xml:space="preserve"> an environmental baseline </w:t>
      </w:r>
      <w:r>
        <w:t>for</w:t>
      </w:r>
      <w:r w:rsidRPr="00C94C2F">
        <w:t xml:space="preserve"> </w:t>
      </w:r>
      <w:r>
        <w:t>this part of Joseph Bonaparte Gulf.</w:t>
      </w:r>
    </w:p>
    <w:p w:rsidR="00AE0B1A" w:rsidRPr="00ED421F" w:rsidRDefault="00AE0B1A" w:rsidP="00ED421F">
      <w:pPr>
        <w:pStyle w:val="BodyText"/>
      </w:pPr>
      <w:r w:rsidRPr="00ED421F">
        <w:t xml:space="preserve">All datasets collected as part of this study are publicly available and can be obtained from Geoscience Australia </w:t>
      </w:r>
      <w:r w:rsidR="002F4AE8" w:rsidRPr="00ED421F">
        <w:t>(</w:t>
      </w:r>
      <w:hyperlink r:id="rId17" w:tooltip="Geoscience Australia website" w:history="1">
        <w:r w:rsidR="00F64E4F" w:rsidRPr="00605092">
          <w:rPr>
            <w:rStyle w:val="Hyperlink"/>
          </w:rPr>
          <w:t>www.ga.</w:t>
        </w:r>
        <w:r w:rsidR="00F64E4F" w:rsidRPr="00605092">
          <w:rPr>
            <w:rStyle w:val="Hyperlink"/>
          </w:rPr>
          <w:t>g</w:t>
        </w:r>
        <w:r w:rsidR="00F64E4F" w:rsidRPr="00605092">
          <w:rPr>
            <w:rStyle w:val="Hyperlink"/>
          </w:rPr>
          <w:t>ov.au</w:t>
        </w:r>
      </w:hyperlink>
      <w:r w:rsidR="002F4AE8" w:rsidRPr="00ED421F">
        <w:t>).</w:t>
      </w:r>
    </w:p>
    <w:p w:rsidR="00AE0B1A" w:rsidRPr="00C94C2F" w:rsidRDefault="00AE0B1A" w:rsidP="00AE0B1A">
      <w:pPr>
        <w:pStyle w:val="Heading1"/>
      </w:pPr>
      <w:bookmarkStart w:id="11" w:name="_Toc372790294"/>
      <w:bookmarkStart w:id="12" w:name="_Toc378252877"/>
      <w:bookmarkStart w:id="13" w:name="_Toc378253201"/>
      <w:bookmarkStart w:id="14" w:name="_Toc378253525"/>
      <w:bookmarkStart w:id="15" w:name="_Toc378253849"/>
      <w:bookmarkStart w:id="16" w:name="_Toc378254173"/>
      <w:bookmarkStart w:id="17" w:name="_Toc378254497"/>
      <w:bookmarkStart w:id="18" w:name="_Toc378254821"/>
      <w:bookmarkStart w:id="19" w:name="_Toc378255145"/>
      <w:bookmarkStart w:id="20" w:name="_Toc383758203"/>
      <w:r w:rsidRPr="00C94C2F">
        <w:lastRenderedPageBreak/>
        <w:t>Introduction</w:t>
      </w:r>
      <w:bookmarkEnd w:id="11"/>
      <w:bookmarkEnd w:id="12"/>
      <w:bookmarkEnd w:id="13"/>
      <w:bookmarkEnd w:id="14"/>
      <w:bookmarkEnd w:id="15"/>
      <w:bookmarkEnd w:id="16"/>
      <w:bookmarkEnd w:id="17"/>
      <w:bookmarkEnd w:id="18"/>
      <w:bookmarkEnd w:id="19"/>
      <w:bookmarkEnd w:id="20"/>
    </w:p>
    <w:p w:rsidR="00AE0B1A" w:rsidRPr="00C94C2F" w:rsidRDefault="00AE0B1A" w:rsidP="00AE0B1A">
      <w:pPr>
        <w:pStyle w:val="BodyText"/>
      </w:pPr>
      <w:r w:rsidRPr="00C94C2F">
        <w:t>The capture and geological storage of carbon dioxide (CO</w:t>
      </w:r>
      <w:r w:rsidRPr="009D5B2E">
        <w:rPr>
          <w:rStyle w:val="Subscript"/>
        </w:rPr>
        <w:t>2</w:t>
      </w:r>
      <w:r w:rsidRPr="00C94C2F">
        <w:t>) is one of a suite of technologies the Australian Government has identified to assist in reducing</w:t>
      </w:r>
      <w:r>
        <w:t xml:space="preserve"> Australia’s</w:t>
      </w:r>
      <w:r w:rsidRPr="00C94C2F">
        <w:t xml:space="preserve"> greenhouse gas emissions. Defining the national </w:t>
      </w:r>
      <w:r>
        <w:t xml:space="preserve">geological </w:t>
      </w:r>
      <w:r w:rsidRPr="00C94C2F">
        <w:t>storage potential requires a</w:t>
      </w:r>
      <w:r>
        <w:t xml:space="preserve"> detailed</w:t>
      </w:r>
      <w:r w:rsidRPr="00C94C2F">
        <w:t xml:space="preserve"> understanding of Australia’s sedimentary basins and their pore space. Furthermore, suitable storage sites are a prerequisite to the deployment of large-scale commercial carbon capture and storage (CCS) technologies. This report </w:t>
      </w:r>
      <w:r>
        <w:t xml:space="preserve">provides a summary of the comprehensive analyses undertaken as part of a Petrel Sub-basin </w:t>
      </w:r>
      <w:r w:rsidRPr="003E7003">
        <w:t>CO</w:t>
      </w:r>
      <w:r w:rsidRPr="009D5B2E">
        <w:rPr>
          <w:rStyle w:val="Subscript"/>
        </w:rPr>
        <w:t>2</w:t>
      </w:r>
      <w:r>
        <w:t xml:space="preserve"> storage study. It also provides an evaluation of the CO</w:t>
      </w:r>
      <w:r w:rsidRPr="009D5B2E">
        <w:rPr>
          <w:rStyle w:val="Subscript"/>
        </w:rPr>
        <w:t>2</w:t>
      </w:r>
      <w:r>
        <w:t xml:space="preserve"> geological storage potential of the sub-basin.</w:t>
      </w:r>
    </w:p>
    <w:p w:rsidR="00AE0B1A" w:rsidRPr="00C94C2F" w:rsidRDefault="00AE0B1A" w:rsidP="00AE0B1A">
      <w:pPr>
        <w:pStyle w:val="Heading2"/>
      </w:pPr>
      <w:bookmarkStart w:id="21" w:name="_Toc372790295"/>
      <w:bookmarkStart w:id="22" w:name="_Toc378252878"/>
      <w:bookmarkStart w:id="23" w:name="_Toc378253202"/>
      <w:bookmarkStart w:id="24" w:name="_Toc378253526"/>
      <w:bookmarkStart w:id="25" w:name="_Toc378253850"/>
      <w:bookmarkStart w:id="26" w:name="_Toc378254174"/>
      <w:bookmarkStart w:id="27" w:name="_Toc378254498"/>
      <w:bookmarkStart w:id="28" w:name="_Toc378254822"/>
      <w:bookmarkStart w:id="29" w:name="_Toc378255146"/>
      <w:bookmarkStart w:id="30" w:name="_Toc383758204"/>
      <w:r w:rsidRPr="00C94C2F">
        <w:t xml:space="preserve">Project </w:t>
      </w:r>
      <w:r w:rsidRPr="006B5A62">
        <w:t>Details</w:t>
      </w:r>
      <w:bookmarkEnd w:id="21"/>
      <w:bookmarkEnd w:id="22"/>
      <w:bookmarkEnd w:id="23"/>
      <w:bookmarkEnd w:id="24"/>
      <w:bookmarkEnd w:id="25"/>
      <w:bookmarkEnd w:id="26"/>
      <w:bookmarkEnd w:id="27"/>
      <w:bookmarkEnd w:id="28"/>
      <w:bookmarkEnd w:id="29"/>
      <w:bookmarkEnd w:id="30"/>
    </w:p>
    <w:p w:rsidR="00AE0B1A" w:rsidRDefault="00AE0B1A" w:rsidP="00AE0B1A">
      <w:pPr>
        <w:pStyle w:val="BodyText"/>
      </w:pPr>
      <w:r w:rsidRPr="00513E72">
        <w:t>The Australian Government, through the Department of Industry, has supported Geoscience Australia in undertaking a series of regional-scale, geological studies to assess the CO</w:t>
      </w:r>
      <w:r w:rsidRPr="009D5B2E">
        <w:rPr>
          <w:rStyle w:val="Subscript"/>
        </w:rPr>
        <w:t>2</w:t>
      </w:r>
      <w:r w:rsidRPr="00513E72">
        <w:t xml:space="preserve"> storage potential of sedimentary basins, including the Petrel Sub-basin, northern Australia (</w:t>
      </w:r>
      <w:r>
        <w:fldChar w:fldCharType="begin"/>
      </w:r>
      <w:r>
        <w:instrText xml:space="preserve"> REF _Ref372287876 \h </w:instrText>
      </w:r>
      <w:r>
        <w:fldChar w:fldCharType="separate"/>
      </w:r>
      <w:r w:rsidR="00F64E4F">
        <w:t xml:space="preserve">Figure </w:t>
      </w:r>
      <w:r w:rsidR="00F64E4F">
        <w:rPr>
          <w:noProof/>
        </w:rPr>
        <w:t>1</w:t>
      </w:r>
      <w:r w:rsidR="00F64E4F">
        <w:t>.</w:t>
      </w:r>
      <w:r w:rsidR="00F64E4F">
        <w:rPr>
          <w:noProof/>
        </w:rPr>
        <w:t>1</w:t>
      </w:r>
      <w:r>
        <w:fldChar w:fldCharType="end"/>
      </w:r>
      <w:r w:rsidRPr="00513E72">
        <w:t>). The studies form part of the National Low Emissions Coal Initiative designed to accelerate the development of CO</w:t>
      </w:r>
      <w:r w:rsidRPr="009D5B2E">
        <w:rPr>
          <w:rStyle w:val="Subscript"/>
        </w:rPr>
        <w:t>2</w:t>
      </w:r>
      <w:r w:rsidRPr="00513E72">
        <w:t xml:space="preserve"> transport and storage infrastructure near the sources of major energy and industrial emissions. The Petrel Sub-basin was identified as a high-priority region for a future pre-competitive work program by the Carbon Storage Taskforce, who published the National Carbon Mapping and Infrastructure Plan in 2009 </w:t>
      </w:r>
      <w:r w:rsidRPr="00513E72">
        <w:rPr>
          <w:noProof/>
        </w:rPr>
        <w:t>(Carbon Storage Taskforce, 2009)</w:t>
      </w:r>
      <w:r w:rsidRPr="00513E72">
        <w:t xml:space="preserve">. The </w:t>
      </w:r>
      <w:r w:rsidRPr="00513E72">
        <w:rPr>
          <w:noProof/>
        </w:rPr>
        <w:t xml:space="preserve">Carbon Storage Taskforce also recommended release of </w:t>
      </w:r>
      <w:r w:rsidRPr="00513E72">
        <w:t>greenhouse gas assessment permits. Two permits were released over the Petrel Sub-basin in 2009 (</w:t>
      </w:r>
      <w:r>
        <w:fldChar w:fldCharType="begin"/>
      </w:r>
      <w:r>
        <w:instrText xml:space="preserve"> REF _Ref372287876 \h </w:instrText>
      </w:r>
      <w:r>
        <w:fldChar w:fldCharType="separate"/>
      </w:r>
      <w:r w:rsidR="00F64E4F">
        <w:t xml:space="preserve">Figure </w:t>
      </w:r>
      <w:r w:rsidR="00F64E4F">
        <w:rPr>
          <w:noProof/>
        </w:rPr>
        <w:t>1</w:t>
      </w:r>
      <w:r w:rsidR="00F64E4F">
        <w:t>.</w:t>
      </w:r>
      <w:r w:rsidR="00F64E4F">
        <w:rPr>
          <w:noProof/>
        </w:rPr>
        <w:t>1</w:t>
      </w:r>
      <w:r>
        <w:fldChar w:fldCharType="end"/>
      </w:r>
      <w:r w:rsidRPr="00513E72">
        <w:t xml:space="preserve">). </w:t>
      </w:r>
      <w:r w:rsidRPr="009D5B2E">
        <w:t>This study provides pre-competitive data and an assessment of the Petrel Sub-basin for CO</w:t>
      </w:r>
      <w:r w:rsidRPr="009D5B2E">
        <w:rPr>
          <w:rStyle w:val="Subscript"/>
        </w:rPr>
        <w:t>2</w:t>
      </w:r>
      <w:r w:rsidRPr="009D5B2E">
        <w:t xml:space="preserve"> geological storage to support the decision making process of the Australian Government. It also assists both government and industry to ultimately assess the geological storage potential of Australia’s offshore basins.</w:t>
      </w:r>
    </w:p>
    <w:p w:rsidR="00DC5731" w:rsidRDefault="00DC5731" w:rsidP="00DC5731">
      <w:pPr>
        <w:pStyle w:val="Figuresandimagescentred"/>
      </w:pPr>
      <w:r>
        <w:rPr>
          <w:noProof/>
        </w:rPr>
        <w:lastRenderedPageBreak/>
        <w:drawing>
          <wp:inline distT="0" distB="0" distL="0" distR="0" wp14:anchorId="5E2A6243" wp14:editId="1B08957C">
            <wp:extent cx="5760720" cy="4906421"/>
            <wp:effectExtent l="0" t="0" r="0" b="8890"/>
            <wp:docPr id="17" name="Picture 17" descr="Due to the complexity of this document and the niche scientific target audience, no alternative description has been provided. Please email Geoscience Australia at clientservices@ga.gov.au for an alternative description."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6finaldocs\0.REVIEW GA Record Summary + Appendices Internal  Review\Reviewed Draft\Figures\13-7199-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0720" cy="4906421"/>
                    </a:xfrm>
                    <a:prstGeom prst="rect">
                      <a:avLst/>
                    </a:prstGeom>
                    <a:noFill/>
                    <a:ln>
                      <a:noFill/>
                    </a:ln>
                  </pic:spPr>
                </pic:pic>
              </a:graphicData>
            </a:graphic>
          </wp:inline>
        </w:drawing>
      </w:r>
    </w:p>
    <w:p w:rsidR="00DC5731" w:rsidRDefault="00DC5731" w:rsidP="00DC5731">
      <w:pPr>
        <w:pStyle w:val="Caption"/>
      </w:pPr>
      <w:bookmarkStart w:id="31" w:name="_Ref372287876"/>
      <w:bookmarkStart w:id="32" w:name="_Toc373094988"/>
      <w:bookmarkStart w:id="33" w:name="_Toc378252718"/>
      <w:bookmarkStart w:id="34" w:name="_Toc378253042"/>
      <w:bookmarkStart w:id="35" w:name="_Toc378253366"/>
      <w:bookmarkStart w:id="36" w:name="_Toc378253690"/>
      <w:bookmarkStart w:id="37" w:name="_Toc378254014"/>
      <w:bookmarkStart w:id="38" w:name="_Toc378254338"/>
      <w:bookmarkStart w:id="39" w:name="_Toc378254662"/>
      <w:bookmarkStart w:id="40" w:name="_Toc378254986"/>
      <w:bookmarkStart w:id="41" w:name="_Toc378255335"/>
      <w:r>
        <w:t xml:space="preserve">Figure </w:t>
      </w:r>
      <w:fldSimple w:instr=" STYLEREF 1 \s ">
        <w:r w:rsidR="00F64E4F">
          <w:rPr>
            <w:noProof/>
          </w:rPr>
          <w:t>1</w:t>
        </w:r>
      </w:fldSimple>
      <w:r w:rsidR="00AE5C2D">
        <w:t>.</w:t>
      </w:r>
      <w:fldSimple w:instr=" SEQ Figure \* ARABIC \s 1 ">
        <w:r w:rsidR="00F64E4F">
          <w:rPr>
            <w:noProof/>
          </w:rPr>
          <w:t>1</w:t>
        </w:r>
      </w:fldSimple>
      <w:bookmarkEnd w:id="31"/>
      <w:r>
        <w:t xml:space="preserve"> </w:t>
      </w:r>
      <w:r w:rsidRPr="008B5D8B">
        <w:t>Location map showing study region. PTRL-01 and PTRL-02 refer to the two exploration blocks released in 2009 under the Offshore Petroleum and Greenhouse Gas Storage Act, 2006 (now closed).</w:t>
      </w:r>
      <w:bookmarkEnd w:id="32"/>
      <w:bookmarkEnd w:id="33"/>
      <w:bookmarkEnd w:id="34"/>
      <w:bookmarkEnd w:id="35"/>
      <w:bookmarkEnd w:id="36"/>
      <w:bookmarkEnd w:id="37"/>
      <w:bookmarkEnd w:id="38"/>
      <w:bookmarkEnd w:id="39"/>
      <w:bookmarkEnd w:id="40"/>
      <w:bookmarkEnd w:id="41"/>
    </w:p>
    <w:p w:rsidR="00AE0B1A" w:rsidRPr="00C94C2F" w:rsidRDefault="00AE0B1A" w:rsidP="00AE0B1A">
      <w:pPr>
        <w:pStyle w:val="Heading2"/>
      </w:pPr>
      <w:bookmarkStart w:id="42" w:name="_Toc372790296"/>
      <w:bookmarkStart w:id="43" w:name="_Toc378252879"/>
      <w:bookmarkStart w:id="44" w:name="_Toc378253203"/>
      <w:bookmarkStart w:id="45" w:name="_Toc378253527"/>
      <w:bookmarkStart w:id="46" w:name="_Toc378253851"/>
      <w:bookmarkStart w:id="47" w:name="_Toc378254175"/>
      <w:bookmarkStart w:id="48" w:name="_Toc378254499"/>
      <w:bookmarkStart w:id="49" w:name="_Toc378254823"/>
      <w:bookmarkStart w:id="50" w:name="_Toc378255147"/>
      <w:bookmarkStart w:id="51" w:name="_Toc383758205"/>
      <w:r w:rsidRPr="00C94C2F">
        <w:t xml:space="preserve">Carbon </w:t>
      </w:r>
      <w:r w:rsidRPr="006B5A62">
        <w:t>Capture</w:t>
      </w:r>
      <w:r w:rsidRPr="00C94C2F">
        <w:t xml:space="preserve"> and Storage</w:t>
      </w:r>
      <w:bookmarkEnd w:id="42"/>
      <w:bookmarkEnd w:id="43"/>
      <w:bookmarkEnd w:id="44"/>
      <w:bookmarkEnd w:id="45"/>
      <w:bookmarkEnd w:id="46"/>
      <w:bookmarkEnd w:id="47"/>
      <w:bookmarkEnd w:id="48"/>
      <w:bookmarkEnd w:id="49"/>
      <w:bookmarkEnd w:id="50"/>
      <w:bookmarkEnd w:id="51"/>
    </w:p>
    <w:p w:rsidR="00AE0B1A" w:rsidRDefault="00AE0B1A" w:rsidP="00AE0B1A">
      <w:pPr>
        <w:pStyle w:val="BodyText"/>
      </w:pPr>
      <w:r w:rsidRPr="00C94C2F">
        <w:t>This</w:t>
      </w:r>
      <w:r>
        <w:t xml:space="preserve"> section</w:t>
      </w:r>
      <w:r w:rsidRPr="00C94C2F">
        <w:t xml:space="preserve"> </w:t>
      </w:r>
      <w:r>
        <w:t>provides</w:t>
      </w:r>
      <w:r w:rsidRPr="00C94C2F">
        <w:t xml:space="preserve"> a brief outline of CCS technologies</w:t>
      </w:r>
      <w:r>
        <w:t>. M</w:t>
      </w:r>
      <w:r w:rsidRPr="00C94C2F">
        <w:t xml:space="preserve">ore </w:t>
      </w:r>
      <w:r>
        <w:t>detailed information can be found in Cook (2012). In the CCS technology chain,</w:t>
      </w:r>
      <w:r w:rsidRPr="00C94C2F">
        <w:t xml:space="preserve"> CO</w:t>
      </w:r>
      <w:r w:rsidRPr="009D5B2E">
        <w:rPr>
          <w:rStyle w:val="Subscript"/>
        </w:rPr>
        <w:t>2</w:t>
      </w:r>
      <w:r>
        <w:t xml:space="preserve"> emissions are </w:t>
      </w:r>
      <w:r w:rsidRPr="00C94C2F">
        <w:t>captured as part of a CO</w:t>
      </w:r>
      <w:r w:rsidRPr="009D5B2E">
        <w:rPr>
          <w:rStyle w:val="Subscript"/>
        </w:rPr>
        <w:t>2</w:t>
      </w:r>
      <w:r w:rsidRPr="00C94C2F">
        <w:t xml:space="preserve"> separation process associated with the production of</w:t>
      </w:r>
      <w:r>
        <w:t xml:space="preserve"> </w:t>
      </w:r>
      <w:r w:rsidRPr="00C94C2F">
        <w:t>energy for power, or other products</w:t>
      </w:r>
      <w:r>
        <w:t>, including</w:t>
      </w:r>
      <w:r w:rsidRPr="00C94C2F">
        <w:t xml:space="preserve"> cement and steel. The technology behind CO</w:t>
      </w:r>
      <w:r w:rsidRPr="009D5B2E">
        <w:rPr>
          <w:rStyle w:val="Subscript"/>
        </w:rPr>
        <w:t>2</w:t>
      </w:r>
      <w:r w:rsidRPr="00C94C2F">
        <w:t xml:space="preserve"> capture is widely used today during the production of sales gas</w:t>
      </w:r>
      <w:r>
        <w:t>,</w:t>
      </w:r>
      <w:r w:rsidRPr="00C94C2F">
        <w:t xml:space="preserve"> which require</w:t>
      </w:r>
      <w:r>
        <w:t xml:space="preserve">s </w:t>
      </w:r>
      <w:r w:rsidRPr="00C94C2F">
        <w:t>CO</w:t>
      </w:r>
      <w:r w:rsidRPr="009D5B2E">
        <w:rPr>
          <w:rStyle w:val="Subscript"/>
        </w:rPr>
        <w:t xml:space="preserve">2 </w:t>
      </w:r>
      <w:r>
        <w:t>to be removed</w:t>
      </w:r>
      <w:r w:rsidRPr="00C94C2F">
        <w:t>. The next step in the CCS process is transportation of compressed or uncompressed CO</w:t>
      </w:r>
      <w:r w:rsidRPr="009D5B2E">
        <w:rPr>
          <w:rStyle w:val="Subscript"/>
        </w:rPr>
        <w:t>2</w:t>
      </w:r>
      <w:r w:rsidRPr="00C94C2F">
        <w:t xml:space="preserve"> </w:t>
      </w:r>
      <w:r>
        <w:t xml:space="preserve">via pipeline, </w:t>
      </w:r>
      <w:r w:rsidRPr="00C94C2F">
        <w:t xml:space="preserve">ship or </w:t>
      </w:r>
      <w:r>
        <w:t xml:space="preserve">road / rail </w:t>
      </w:r>
      <w:r w:rsidRPr="00C94C2F">
        <w:t xml:space="preserve">tanker. </w:t>
      </w:r>
      <w:r>
        <w:t>G</w:t>
      </w:r>
      <w:r w:rsidRPr="00C94C2F">
        <w:t>eological storage of CO</w:t>
      </w:r>
      <w:r w:rsidRPr="009D5B2E">
        <w:rPr>
          <w:rStyle w:val="Subscript"/>
        </w:rPr>
        <w:t>2</w:t>
      </w:r>
      <w:r w:rsidRPr="00C94C2F">
        <w:t xml:space="preserve"> in the subsurface is the final stage of the CCS chain. </w:t>
      </w:r>
      <w:r>
        <w:t>Storage</w:t>
      </w:r>
      <w:r w:rsidRPr="00C94C2F">
        <w:t xml:space="preserve"> sites </w:t>
      </w:r>
      <w:r>
        <w:t xml:space="preserve">are </w:t>
      </w:r>
      <w:r w:rsidRPr="00C94C2F">
        <w:t xml:space="preserve">typically </w:t>
      </w:r>
      <w:r>
        <w:t>composed of</w:t>
      </w:r>
      <w:r w:rsidRPr="00C94C2F">
        <w:t xml:space="preserve"> reservoirs with good porosity and permeability and an impermeable trap</w:t>
      </w:r>
      <w:r>
        <w:t>/seal</w:t>
      </w:r>
      <w:r w:rsidRPr="00C94C2F">
        <w:t xml:space="preserve">. Major targets for large-scale commercial CCS projects include depleted oil or gas fields </w:t>
      </w:r>
      <w:r>
        <w:t>and</w:t>
      </w:r>
      <w:r w:rsidRPr="00C94C2F">
        <w:t xml:space="preserve"> formations containing non-potable saline water. </w:t>
      </w:r>
    </w:p>
    <w:p w:rsidR="00AE0B1A" w:rsidRDefault="00AE0B1A" w:rsidP="00AE0B1A">
      <w:pPr>
        <w:pStyle w:val="BodyText"/>
      </w:pPr>
      <w:r w:rsidRPr="00C94C2F">
        <w:t xml:space="preserve">Operational CCS projects and the </w:t>
      </w:r>
      <w:r>
        <w:t xml:space="preserve">use of </w:t>
      </w:r>
      <w:r w:rsidRPr="003E7003">
        <w:t>CO</w:t>
      </w:r>
      <w:r w:rsidRPr="009D5B2E">
        <w:rPr>
          <w:rStyle w:val="Subscript"/>
        </w:rPr>
        <w:t>2</w:t>
      </w:r>
      <w:r>
        <w:t xml:space="preserve"> for </w:t>
      </w:r>
      <w:r w:rsidRPr="00C94C2F">
        <w:t xml:space="preserve">enhanced oil and gas </w:t>
      </w:r>
      <w:r>
        <w:t>recovery demonstrate</w:t>
      </w:r>
      <w:r w:rsidRPr="00C94C2F">
        <w:t xml:space="preserve"> that the geological storage of CO</w:t>
      </w:r>
      <w:r w:rsidRPr="009D5B2E">
        <w:rPr>
          <w:rStyle w:val="Subscript"/>
        </w:rPr>
        <w:t>2</w:t>
      </w:r>
      <w:r w:rsidRPr="00C94C2F">
        <w:t xml:space="preserve"> is a</w:t>
      </w:r>
      <w:r>
        <w:t>n established,</w:t>
      </w:r>
      <w:r w:rsidRPr="00C94C2F">
        <w:t xml:space="preserve"> technologically achievable process.</w:t>
      </w:r>
      <w:r>
        <w:t xml:space="preserve"> An important component of an operational CCS storage site involves m</w:t>
      </w:r>
      <w:r w:rsidRPr="00B01EC2">
        <w:t xml:space="preserve">easurement, </w:t>
      </w:r>
      <w:r>
        <w:t>m</w:t>
      </w:r>
      <w:r w:rsidRPr="00B01EC2">
        <w:t xml:space="preserve">onitoring and </w:t>
      </w:r>
      <w:r>
        <w:t>v</w:t>
      </w:r>
      <w:r w:rsidRPr="00B01EC2">
        <w:t>erification</w:t>
      </w:r>
      <w:r>
        <w:t xml:space="preserve"> (MMV) that includes quantifying the amount of </w:t>
      </w:r>
      <w:r w:rsidRPr="003E7003">
        <w:t>CO</w:t>
      </w:r>
      <w:r w:rsidRPr="009D5B2E">
        <w:rPr>
          <w:rStyle w:val="Subscript"/>
        </w:rPr>
        <w:t>2</w:t>
      </w:r>
      <w:r>
        <w:t xml:space="preserve"> sequestered and verifying that the movement of </w:t>
      </w:r>
    </w:p>
    <w:p w:rsidR="00AE0B1A" w:rsidRDefault="00AE0B1A" w:rsidP="00AE0B1A">
      <w:pPr>
        <w:pStyle w:val="BodyText"/>
      </w:pPr>
      <w:r w:rsidRPr="003E7003">
        <w:lastRenderedPageBreak/>
        <w:t>CO</w:t>
      </w:r>
      <w:r w:rsidRPr="009D5B2E">
        <w:rPr>
          <w:rStyle w:val="Subscript"/>
        </w:rPr>
        <w:t>2</w:t>
      </w:r>
      <w:r>
        <w:t xml:space="preserve"> sequestered and verifying that the movement of </w:t>
      </w:r>
      <w:r w:rsidRPr="003E7003">
        <w:t>CO</w:t>
      </w:r>
      <w:r w:rsidRPr="009D5B2E">
        <w:rPr>
          <w:rStyle w:val="Subscript"/>
        </w:rPr>
        <w:t>2</w:t>
      </w:r>
      <w:r>
        <w:t xml:space="preserve"> is within pre-injection predictions. MMV is crucial for accounting, safety and community assurance and can include geophysical techniques, as well as direct fluid and pressure measurements. </w:t>
      </w:r>
    </w:p>
    <w:p w:rsidR="00AE0B1A" w:rsidRPr="009D5B2E" w:rsidRDefault="00AE0B1A" w:rsidP="00AE0B1A">
      <w:pPr>
        <w:pStyle w:val="BodyText"/>
      </w:pPr>
      <w:r w:rsidRPr="00C94C2F">
        <w:t xml:space="preserve">As with all emerging technologies, the development of large scale CCS into a commercial reality has major </w:t>
      </w:r>
      <w:r w:rsidRPr="009D5B2E">
        <w:t xml:space="preserve">hurdles, predominantly surrounding the up-scaling of each of the technologies and a lack of economic incentives. Nevertheless, worldwide CCS projects have been operational since the mid-1990s, with eight large-scale integrated projects in operation and </w:t>
      </w:r>
      <w:r>
        <w:t xml:space="preserve">another </w:t>
      </w:r>
      <w:r w:rsidRPr="009D5B2E">
        <w:t>eight under construction (Global CCS Institute, 2013).</w:t>
      </w:r>
    </w:p>
    <w:p w:rsidR="00AE0B1A" w:rsidRPr="00C94C2F" w:rsidRDefault="00AE0B1A" w:rsidP="00AE0B1A">
      <w:pPr>
        <w:pStyle w:val="Heading2"/>
      </w:pPr>
      <w:bookmarkStart w:id="52" w:name="_Toc372790297"/>
      <w:bookmarkStart w:id="53" w:name="_Toc378252880"/>
      <w:bookmarkStart w:id="54" w:name="_Toc378253204"/>
      <w:bookmarkStart w:id="55" w:name="_Toc378253528"/>
      <w:bookmarkStart w:id="56" w:name="_Toc378253852"/>
      <w:bookmarkStart w:id="57" w:name="_Toc378254176"/>
      <w:bookmarkStart w:id="58" w:name="_Toc378254500"/>
      <w:bookmarkStart w:id="59" w:name="_Toc378254824"/>
      <w:bookmarkStart w:id="60" w:name="_Toc378255148"/>
      <w:bookmarkStart w:id="61" w:name="_Toc383758206"/>
      <w:r w:rsidRPr="00C94C2F">
        <w:t>CO</w:t>
      </w:r>
      <w:r w:rsidRPr="00255748">
        <w:rPr>
          <w:rStyle w:val="Subscript"/>
        </w:rPr>
        <w:t>2</w:t>
      </w:r>
      <w:r w:rsidRPr="00C94C2F">
        <w:t xml:space="preserve"> </w:t>
      </w:r>
      <w:r w:rsidRPr="006B5A62">
        <w:t>Properties</w:t>
      </w:r>
      <w:r w:rsidRPr="00C94C2F">
        <w:t xml:space="preserve"> and Subsurface Behaviour</w:t>
      </w:r>
      <w:bookmarkEnd w:id="52"/>
      <w:bookmarkEnd w:id="53"/>
      <w:bookmarkEnd w:id="54"/>
      <w:bookmarkEnd w:id="55"/>
      <w:bookmarkEnd w:id="56"/>
      <w:bookmarkEnd w:id="57"/>
      <w:bookmarkEnd w:id="58"/>
      <w:bookmarkEnd w:id="59"/>
      <w:bookmarkEnd w:id="60"/>
      <w:bookmarkEnd w:id="61"/>
    </w:p>
    <w:p w:rsidR="00F64E4F" w:rsidRDefault="00AE0B1A" w:rsidP="00F64E4F">
      <w:pPr>
        <w:pStyle w:val="BodyText"/>
      </w:pPr>
      <w:r w:rsidRPr="00C94C2F">
        <w:t>CO</w:t>
      </w:r>
      <w:r w:rsidRPr="009D5B2E">
        <w:rPr>
          <w:rStyle w:val="Subscript"/>
        </w:rPr>
        <w:t>2</w:t>
      </w:r>
      <w:r w:rsidRPr="00C94C2F">
        <w:t xml:space="preserve"> exists as a gas at ambient pressure and temperature on the </w:t>
      </w:r>
      <w:r>
        <w:t xml:space="preserve">Earth’s </w:t>
      </w:r>
      <w:r w:rsidRPr="00C94C2F">
        <w:t>surface</w:t>
      </w:r>
      <w:r>
        <w:t xml:space="preserve">. In the subsurface, </w:t>
      </w:r>
      <w:r w:rsidRPr="00C94C2F">
        <w:t>CO</w:t>
      </w:r>
      <w:r w:rsidRPr="009D5B2E">
        <w:rPr>
          <w:rStyle w:val="Subscript"/>
        </w:rPr>
        <w:t>2</w:t>
      </w:r>
      <w:r>
        <w:t xml:space="preserve"> becomes a supercritical gas due to an increase in temperature (above 31.1</w:t>
      </w:r>
      <w:r>
        <w:rPr>
          <w:rStyle w:val="Superscript"/>
        </w:rPr>
        <w:t xml:space="preserve"> </w:t>
      </w:r>
      <w:r>
        <w:t xml:space="preserve">°C) and </w:t>
      </w:r>
      <w:r w:rsidR="008F69F7">
        <w:t xml:space="preserve">pressure (above 7.39 </w:t>
      </w:r>
      <w:proofErr w:type="spellStart"/>
      <w:r w:rsidR="00C36CFA">
        <w:t>megap</w:t>
      </w:r>
      <w:r w:rsidR="008F69F7">
        <w:t>ascal</w:t>
      </w:r>
      <w:proofErr w:type="spellEnd"/>
      <w:r w:rsidR="006869D4">
        <w:t xml:space="preserve">, </w:t>
      </w:r>
      <w:proofErr w:type="spellStart"/>
      <w:r>
        <w:t>MPa</w:t>
      </w:r>
      <w:proofErr w:type="spellEnd"/>
      <w:r>
        <w:t xml:space="preserve">; </w:t>
      </w:r>
      <w:r>
        <w:fldChar w:fldCharType="begin"/>
      </w:r>
      <w:r>
        <w:instrText xml:space="preserve"> REF _Ref372287909 \h </w:instrText>
      </w:r>
      <w:r w:rsidR="00DC5731">
        <w:instrText xml:space="preserve"> \* MERGEFORMAT </w:instrText>
      </w:r>
      <w:r>
        <w:fldChar w:fldCharType="separate"/>
      </w:r>
    </w:p>
    <w:p w:rsidR="00DC5731" w:rsidRDefault="00F64E4F" w:rsidP="00DC5731">
      <w:pPr>
        <w:pStyle w:val="BodyText"/>
      </w:pPr>
      <w:r>
        <w:t>Figure 1.2</w:t>
      </w:r>
      <w:r w:rsidR="00AE0B1A">
        <w:fldChar w:fldCharType="end"/>
      </w:r>
      <w:r w:rsidR="00AE0B1A" w:rsidRPr="00DE0603">
        <w:t>). The</w:t>
      </w:r>
      <w:r w:rsidR="00AE0B1A" w:rsidRPr="00C94C2F">
        <w:t xml:space="preserve"> depth of transition from one state to another can vary between 600 </w:t>
      </w:r>
      <w:r w:rsidR="00AE0B1A">
        <w:t>and</w:t>
      </w:r>
      <w:r w:rsidR="00AE0B1A" w:rsidRPr="00C94C2F">
        <w:t xml:space="preserve"> 1000 km, depending on the geothermal gradient and </w:t>
      </w:r>
      <w:r w:rsidR="00AE0B1A">
        <w:t xml:space="preserve">reservoir </w:t>
      </w:r>
      <w:r w:rsidR="00AE0B1A" w:rsidRPr="00C94C2F">
        <w:t xml:space="preserve">pressure, but is commonly considered to be around 800 m </w:t>
      </w:r>
      <w:r w:rsidR="00AE0B1A">
        <w:rPr>
          <w:noProof/>
        </w:rPr>
        <w:t>(Holloway, 2007;</w:t>
      </w:r>
      <w:r w:rsidR="003838AC">
        <w:rPr>
          <w:noProof/>
        </w:rPr>
        <w:t xml:space="preserve"> </w:t>
      </w:r>
      <w:r w:rsidR="003838AC">
        <w:rPr>
          <w:noProof/>
        </w:rPr>
        <w:fldChar w:fldCharType="begin"/>
      </w:r>
      <w:r w:rsidR="003838AC">
        <w:rPr>
          <w:noProof/>
        </w:rPr>
        <w:instrText xml:space="preserve"> REF _Ref383517980 \h </w:instrText>
      </w:r>
      <w:r w:rsidR="003838AC">
        <w:rPr>
          <w:noProof/>
        </w:rPr>
      </w:r>
      <w:r w:rsidR="003838AC">
        <w:rPr>
          <w:noProof/>
        </w:rPr>
        <w:fldChar w:fldCharType="separate"/>
      </w:r>
      <w:r>
        <w:t xml:space="preserve">Figure </w:t>
      </w:r>
      <w:r>
        <w:rPr>
          <w:noProof/>
        </w:rPr>
        <w:t>1</w:t>
      </w:r>
      <w:r>
        <w:t>.</w:t>
      </w:r>
      <w:r>
        <w:rPr>
          <w:noProof/>
        </w:rPr>
        <w:t>2</w:t>
      </w:r>
      <w:r w:rsidR="003838AC">
        <w:rPr>
          <w:noProof/>
        </w:rPr>
        <w:fldChar w:fldCharType="end"/>
      </w:r>
      <w:r w:rsidR="00AE0B1A" w:rsidRPr="00367911">
        <w:t>). For</w:t>
      </w:r>
      <w:r w:rsidR="00AE0B1A" w:rsidRPr="00C94C2F">
        <w:t xml:space="preserve"> example, in the Petrel Sub-basin, the geothermal gradient is relatively high</w:t>
      </w:r>
      <w:r w:rsidR="00AE0B1A">
        <w:t xml:space="preserve"> (</w:t>
      </w:r>
      <w:r w:rsidR="00AE0B1A" w:rsidRPr="00645F42">
        <w:t>30.5</w:t>
      </w:r>
      <w:r w:rsidR="00AE0B1A">
        <w:t xml:space="preserve"> °</w:t>
      </w:r>
      <w:r w:rsidR="00AE0B1A" w:rsidRPr="00645F42">
        <w:t>C/km and 25</w:t>
      </w:r>
      <w:r w:rsidR="00AE0B1A">
        <w:rPr>
          <w:rStyle w:val="Superscript"/>
        </w:rPr>
        <w:t xml:space="preserve"> </w:t>
      </w:r>
      <w:r w:rsidR="00AE0B1A">
        <w:t>°</w:t>
      </w:r>
      <w:r w:rsidR="00AE0B1A" w:rsidRPr="00645F42">
        <w:t>C at the surface</w:t>
      </w:r>
      <w:r w:rsidR="00AE0B1A">
        <w:t>)</w:t>
      </w:r>
      <w:r w:rsidR="00AE0B1A" w:rsidRPr="00C94C2F">
        <w:t xml:space="preserve"> and therefore the CO</w:t>
      </w:r>
      <w:r w:rsidR="00AE0B1A" w:rsidRPr="009D5B2E">
        <w:rPr>
          <w:rStyle w:val="Subscript"/>
        </w:rPr>
        <w:t>2</w:t>
      </w:r>
      <w:r w:rsidR="00AE0B1A" w:rsidRPr="00C94C2F">
        <w:t xml:space="preserve"> critical point </w:t>
      </w:r>
      <w:r w:rsidR="00AE0B1A">
        <w:t xml:space="preserve">is likely to be </w:t>
      </w:r>
      <w:r w:rsidR="00AE0B1A" w:rsidRPr="00C94C2F">
        <w:t>at around 750 m. Supercritical CO</w:t>
      </w:r>
      <w:r w:rsidR="00AE0B1A" w:rsidRPr="009D5B2E">
        <w:rPr>
          <w:rStyle w:val="Subscript"/>
        </w:rPr>
        <w:t>2</w:t>
      </w:r>
      <w:r w:rsidR="00AE0B1A" w:rsidRPr="00C94C2F">
        <w:t xml:space="preserve"> has a</w:t>
      </w:r>
      <w:r w:rsidR="00AE0B1A">
        <w:t xml:space="preserve"> </w:t>
      </w:r>
      <w:r w:rsidR="00AE0B1A" w:rsidRPr="00C94C2F">
        <w:t xml:space="preserve">higher density and decreased volume </w:t>
      </w:r>
      <w:r w:rsidR="00AE0B1A">
        <w:t>relative to</w:t>
      </w:r>
      <w:r w:rsidR="00AE0B1A" w:rsidRPr="00C94C2F">
        <w:t xml:space="preserve"> the gas phase</w:t>
      </w:r>
      <w:r w:rsidR="00AE0B1A">
        <w:t>,</w:t>
      </w:r>
      <w:r w:rsidR="00AE0B1A" w:rsidRPr="00C94C2F">
        <w:t xml:space="preserve"> and during </w:t>
      </w:r>
      <w:r w:rsidR="00AE0B1A">
        <w:t>geological storage</w:t>
      </w:r>
      <w:r w:rsidR="00AE0B1A" w:rsidRPr="00C94C2F">
        <w:t xml:space="preserve"> has higher </w:t>
      </w:r>
      <w:r w:rsidR="00AE0B1A">
        <w:t xml:space="preserve">injection and </w:t>
      </w:r>
      <w:r w:rsidR="00AE0B1A" w:rsidRPr="00C94C2F">
        <w:t>storage efficienc</w:t>
      </w:r>
      <w:r w:rsidR="00AE0B1A">
        <w:t>ies</w:t>
      </w:r>
      <w:r w:rsidR="00AE0B1A" w:rsidRPr="00C94C2F">
        <w:t xml:space="preserve"> in the reservoir. Since supercritical CO</w:t>
      </w:r>
      <w:r w:rsidR="00AE0B1A" w:rsidRPr="009D5B2E">
        <w:rPr>
          <w:rStyle w:val="Subscript"/>
        </w:rPr>
        <w:t>2</w:t>
      </w:r>
      <w:r w:rsidR="00AE0B1A" w:rsidRPr="00C94C2F">
        <w:t xml:space="preserve"> is less dense than water or brine, and only slightly miscible with water, it</w:t>
      </w:r>
      <w:r w:rsidR="00AE0B1A">
        <w:t xml:space="preserve"> is</w:t>
      </w:r>
      <w:r w:rsidR="00AE0B1A" w:rsidRPr="00C94C2F">
        <w:t xml:space="preserve"> </w:t>
      </w:r>
      <w:r w:rsidR="00AE0B1A">
        <w:t xml:space="preserve">relatively </w:t>
      </w:r>
      <w:r w:rsidR="00AE0B1A" w:rsidRPr="00C94C2F">
        <w:t>buoyant.</w:t>
      </w:r>
    </w:p>
    <w:p w:rsidR="00DC5731" w:rsidRDefault="00DC5731" w:rsidP="00B95C7A">
      <w:pPr>
        <w:pStyle w:val="Figuresandimagescentred"/>
      </w:pPr>
      <w:r>
        <w:rPr>
          <w:noProof/>
        </w:rPr>
        <w:drawing>
          <wp:inline distT="0" distB="0" distL="0" distR="0" wp14:anchorId="5E0DE59F" wp14:editId="562EFC59">
            <wp:extent cx="3286800" cy="2977200"/>
            <wp:effectExtent l="0" t="0" r="8890" b="0"/>
            <wp:docPr id="8" name="Picture 8" descr="Due to the complexity of this document and the niche scientific target audience, no alternative description has been provided. Please email Geoscience Australia at clientservices@ga.gov.au for an alternative description."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For_Consoli\13-7199-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86800" cy="2977200"/>
                    </a:xfrm>
                    <a:prstGeom prst="rect">
                      <a:avLst/>
                    </a:prstGeom>
                    <a:noFill/>
                    <a:ln>
                      <a:noFill/>
                    </a:ln>
                  </pic:spPr>
                </pic:pic>
              </a:graphicData>
            </a:graphic>
          </wp:inline>
        </w:drawing>
      </w:r>
      <w:bookmarkStart w:id="62" w:name="_Ref372287909"/>
      <w:bookmarkStart w:id="63" w:name="_Toc373094989"/>
      <w:bookmarkStart w:id="64" w:name="_Toc378252719"/>
      <w:bookmarkStart w:id="65" w:name="_Toc378253043"/>
      <w:bookmarkStart w:id="66" w:name="_Toc378253367"/>
      <w:bookmarkStart w:id="67" w:name="_Toc378253691"/>
      <w:bookmarkStart w:id="68" w:name="_Toc378254015"/>
      <w:bookmarkStart w:id="69" w:name="_Toc378254339"/>
      <w:bookmarkStart w:id="70" w:name="_Toc378254663"/>
      <w:bookmarkStart w:id="71" w:name="_Toc378254987"/>
      <w:bookmarkStart w:id="72" w:name="_Toc378255336"/>
    </w:p>
    <w:p w:rsidR="00DC5731" w:rsidRDefault="00DC5731" w:rsidP="00DC5731">
      <w:pPr>
        <w:pStyle w:val="Caption"/>
      </w:pPr>
      <w:bookmarkStart w:id="73" w:name="_Ref383517980"/>
      <w:r>
        <w:t xml:space="preserve">Figure </w:t>
      </w:r>
      <w:fldSimple w:instr=" STYLEREF 1 \s ">
        <w:r w:rsidR="00F64E4F">
          <w:rPr>
            <w:noProof/>
          </w:rPr>
          <w:t>1</w:t>
        </w:r>
      </w:fldSimple>
      <w:r w:rsidR="00AE5C2D">
        <w:t>.</w:t>
      </w:r>
      <w:fldSimple w:instr=" SEQ Figure \* ARABIC \s 1 ">
        <w:r w:rsidR="00F64E4F">
          <w:rPr>
            <w:noProof/>
          </w:rPr>
          <w:t>2</w:t>
        </w:r>
      </w:fldSimple>
      <w:bookmarkEnd w:id="62"/>
      <w:bookmarkEnd w:id="73"/>
      <w:r>
        <w:t xml:space="preserve"> </w:t>
      </w:r>
      <w:r w:rsidRPr="005A61B1">
        <w:t>CO</w:t>
      </w:r>
      <w:r w:rsidRPr="00255748">
        <w:rPr>
          <w:rStyle w:val="Subscript"/>
        </w:rPr>
        <w:t>2</w:t>
      </w:r>
      <w:r w:rsidRPr="005A61B1">
        <w:t xml:space="preserve"> phase diagram.</w:t>
      </w:r>
      <w:bookmarkEnd w:id="63"/>
      <w:bookmarkEnd w:id="64"/>
      <w:bookmarkEnd w:id="65"/>
      <w:bookmarkEnd w:id="66"/>
      <w:bookmarkEnd w:id="67"/>
      <w:bookmarkEnd w:id="68"/>
      <w:bookmarkEnd w:id="69"/>
      <w:bookmarkEnd w:id="70"/>
      <w:bookmarkEnd w:id="71"/>
      <w:bookmarkEnd w:id="72"/>
    </w:p>
    <w:p w:rsidR="00AE0B1A" w:rsidRPr="00C94C2F" w:rsidRDefault="00AE0B1A" w:rsidP="00AE0B1A">
      <w:pPr>
        <w:pStyle w:val="BodyText"/>
      </w:pPr>
      <w:r w:rsidRPr="00C94C2F">
        <w:lastRenderedPageBreak/>
        <w:t>The trapping of CO</w:t>
      </w:r>
      <w:r w:rsidRPr="009D5B2E">
        <w:rPr>
          <w:rStyle w:val="Subscript"/>
        </w:rPr>
        <w:t>2</w:t>
      </w:r>
      <w:r w:rsidRPr="00C94C2F">
        <w:t xml:space="preserve"> in a saline formation is a complex interplay of capillary, viscous, and buoyancy forces that evolve over time (</w:t>
      </w:r>
      <w:r>
        <w:fldChar w:fldCharType="begin"/>
      </w:r>
      <w:r>
        <w:instrText xml:space="preserve"> REF _Ref372287992 \h </w:instrText>
      </w:r>
      <w:r>
        <w:fldChar w:fldCharType="separate"/>
      </w:r>
      <w:r w:rsidR="00F64E4F">
        <w:t xml:space="preserve">Figure </w:t>
      </w:r>
      <w:r w:rsidR="00F64E4F">
        <w:rPr>
          <w:noProof/>
        </w:rPr>
        <w:t>1</w:t>
      </w:r>
      <w:r w:rsidR="00F64E4F">
        <w:t>.</w:t>
      </w:r>
      <w:r w:rsidR="00F64E4F">
        <w:rPr>
          <w:noProof/>
        </w:rPr>
        <w:t>3</w:t>
      </w:r>
      <w:r>
        <w:fldChar w:fldCharType="end"/>
      </w:r>
      <w:r w:rsidRPr="00C94C2F">
        <w:t xml:space="preserve">). </w:t>
      </w:r>
      <w:r>
        <w:t>There are f</w:t>
      </w:r>
      <w:r w:rsidRPr="00C94C2F">
        <w:t xml:space="preserve">our main </w:t>
      </w:r>
      <w:r>
        <w:t>trapping mechanisms and all</w:t>
      </w:r>
      <w:r w:rsidRPr="00C94C2F">
        <w:t xml:space="preserve"> four occur in a typical reservoir injection scenario</w:t>
      </w:r>
      <w:r>
        <w:t>, as follows:</w:t>
      </w:r>
    </w:p>
    <w:p w:rsidR="00AE0B1A" w:rsidRPr="00C94C2F" w:rsidRDefault="00AE0B1A" w:rsidP="00AE0B1A">
      <w:pPr>
        <w:pStyle w:val="Listbulletlevel1numbered"/>
      </w:pPr>
      <w:r w:rsidRPr="00255748">
        <w:rPr>
          <w:rStyle w:val="Italic"/>
        </w:rPr>
        <w:t>Structural or stratigraphic trapping</w:t>
      </w:r>
      <w:r>
        <w:t>.</w:t>
      </w:r>
      <w:r w:rsidRPr="00C94C2F">
        <w:t xml:space="preserve"> Initially on injection</w:t>
      </w:r>
      <w:r>
        <w:t xml:space="preserve"> into the storage reservoir</w:t>
      </w:r>
      <w:r w:rsidRPr="00C94C2F">
        <w:t xml:space="preserve"> the CO</w:t>
      </w:r>
      <w:r w:rsidRPr="00255748">
        <w:rPr>
          <w:rStyle w:val="Subscript"/>
        </w:rPr>
        <w:t>2</w:t>
      </w:r>
      <w:r w:rsidRPr="00C94C2F">
        <w:t xml:space="preserve"> rises due to buoyancy until it reaches an impermeable barrier</w:t>
      </w:r>
      <w:r>
        <w:t xml:space="preserve"> (i.e., a seal)</w:t>
      </w:r>
      <w:r w:rsidRPr="00C94C2F">
        <w:t xml:space="preserve">, it then moves laterally </w:t>
      </w:r>
      <w:r>
        <w:t>up dip</w:t>
      </w:r>
      <w:r w:rsidRPr="00C94C2F">
        <w:t xml:space="preserve"> </w:t>
      </w:r>
      <w:r>
        <w:t>until it is trapped by either</w:t>
      </w:r>
      <w:r w:rsidRPr="00C94C2F">
        <w:t xml:space="preserve"> structural or stratigraphic closure</w:t>
      </w:r>
      <w:r>
        <w:t>s.</w:t>
      </w:r>
    </w:p>
    <w:p w:rsidR="00AE0B1A" w:rsidRPr="00C94C2F" w:rsidRDefault="00AE0B1A" w:rsidP="00AE0B1A">
      <w:pPr>
        <w:pStyle w:val="Listbulletlevel1numbered"/>
      </w:pPr>
      <w:r w:rsidRPr="00255748">
        <w:rPr>
          <w:rStyle w:val="Italic"/>
        </w:rPr>
        <w:t>Dissolution trapping</w:t>
      </w:r>
      <w:r>
        <w:t>.</w:t>
      </w:r>
      <w:r w:rsidRPr="00C94C2F">
        <w:t xml:space="preserve"> </w:t>
      </w:r>
      <w:r>
        <w:t xml:space="preserve">In saline aquifers, </w:t>
      </w:r>
      <w:r w:rsidRPr="00C94C2F">
        <w:t>CO</w:t>
      </w:r>
      <w:r w:rsidRPr="00255748">
        <w:rPr>
          <w:rStyle w:val="Subscript"/>
        </w:rPr>
        <w:t>2</w:t>
      </w:r>
      <w:r w:rsidRPr="00C94C2F">
        <w:t xml:space="preserve"> dissolves into the </w:t>
      </w:r>
      <w:r>
        <w:t>saline water (brine)</w:t>
      </w:r>
      <w:r w:rsidRPr="00C94C2F">
        <w:t xml:space="preserve"> causing </w:t>
      </w:r>
      <w:r>
        <w:t>it</w:t>
      </w:r>
      <w:r w:rsidRPr="00C94C2F">
        <w:t xml:space="preserve"> to become denser and sink</w:t>
      </w:r>
      <w:r>
        <w:t>,</w:t>
      </w:r>
      <w:r w:rsidRPr="00C94C2F">
        <w:t xml:space="preserve"> exposing the supercritical CO</w:t>
      </w:r>
      <w:r w:rsidRPr="00255748">
        <w:rPr>
          <w:rStyle w:val="Subscript"/>
        </w:rPr>
        <w:t>2</w:t>
      </w:r>
      <w:r>
        <w:t xml:space="preserve"> to additional brine</w:t>
      </w:r>
      <w:r w:rsidRPr="00C94C2F">
        <w:t>.</w:t>
      </w:r>
    </w:p>
    <w:p w:rsidR="00AE0B1A" w:rsidRPr="00C94C2F" w:rsidRDefault="00AE0B1A" w:rsidP="00AE0B1A">
      <w:pPr>
        <w:pStyle w:val="Listbulletlevel1numbered"/>
      </w:pPr>
      <w:r w:rsidRPr="00255748">
        <w:rPr>
          <w:rStyle w:val="Italic"/>
        </w:rPr>
        <w:t>Residual or dissolution trapping</w:t>
      </w:r>
      <w:r>
        <w:t xml:space="preserve">. </w:t>
      </w:r>
      <w:r w:rsidRPr="00C94C2F">
        <w:t>As the CO</w:t>
      </w:r>
      <w:r w:rsidRPr="00255748">
        <w:rPr>
          <w:rStyle w:val="Subscript"/>
        </w:rPr>
        <w:t>2</w:t>
      </w:r>
      <w:r w:rsidRPr="00C94C2F">
        <w:t xml:space="preserve"> plume moves through the formation, residual trapping occurs in the </w:t>
      </w:r>
      <w:r>
        <w:t xml:space="preserve">saline formation </w:t>
      </w:r>
      <w:r w:rsidRPr="00C94C2F">
        <w:t>pores due to capillary forces</w:t>
      </w:r>
      <w:r>
        <w:t xml:space="preserve"> (</w:t>
      </w:r>
      <w:r w:rsidRPr="00C94C2F">
        <w:t>hysteresis</w:t>
      </w:r>
      <w:r>
        <w:t>)</w:t>
      </w:r>
      <w:r w:rsidRPr="00C94C2F">
        <w:t xml:space="preserve">. Residual and dissolution trapping </w:t>
      </w:r>
      <w:r>
        <w:t>are</w:t>
      </w:r>
      <w:r w:rsidRPr="00C94C2F">
        <w:t xml:space="preserve"> the most </w:t>
      </w:r>
      <w:r>
        <w:t>important</w:t>
      </w:r>
      <w:r w:rsidRPr="00C94C2F">
        <w:t xml:space="preserve"> trapping mechanisms in CO</w:t>
      </w:r>
      <w:r w:rsidRPr="00255748">
        <w:rPr>
          <w:rStyle w:val="Subscript"/>
        </w:rPr>
        <w:t>2</w:t>
      </w:r>
      <w:r w:rsidRPr="00C94C2F">
        <w:t xml:space="preserve"> storage in saline aquifers </w:t>
      </w:r>
      <w:r>
        <w:rPr>
          <w:noProof/>
        </w:rPr>
        <w:t>(Szulczewski et al., 2012)</w:t>
      </w:r>
      <w:r w:rsidRPr="00C94C2F">
        <w:t>.</w:t>
      </w:r>
    </w:p>
    <w:p w:rsidR="00AE0B1A" w:rsidRDefault="00AE0B1A" w:rsidP="00AE0B1A">
      <w:pPr>
        <w:pStyle w:val="Listbulletlevel1numbered"/>
      </w:pPr>
      <w:r w:rsidRPr="00255748">
        <w:rPr>
          <w:rStyle w:val="Italic"/>
        </w:rPr>
        <w:t>Mineral trapping</w:t>
      </w:r>
      <w:r>
        <w:t>.</w:t>
      </w:r>
      <w:r w:rsidRPr="00C94C2F">
        <w:t xml:space="preserve"> </w:t>
      </w:r>
      <w:r>
        <w:t xml:space="preserve">Over very long </w:t>
      </w:r>
      <w:r w:rsidRPr="00746A22">
        <w:t>timeframes (thousands</w:t>
      </w:r>
      <w:r>
        <w:t xml:space="preserve"> of years)</w:t>
      </w:r>
      <w:r w:rsidRPr="008E3127">
        <w:t>,</w:t>
      </w:r>
      <w:r w:rsidRPr="00C94C2F">
        <w:t xml:space="preserve"> geochemical reactions between the CO</w:t>
      </w:r>
      <w:r w:rsidRPr="00255748">
        <w:rPr>
          <w:rStyle w:val="Subscript"/>
        </w:rPr>
        <w:t>2</w:t>
      </w:r>
      <w:r w:rsidRPr="00C94C2F">
        <w:t xml:space="preserve">, brine and reservoir minerals result in the precipitation of minerals through </w:t>
      </w:r>
      <w:r>
        <w:t>interaction with the rock matrix.</w:t>
      </w:r>
    </w:p>
    <w:p w:rsidR="00AE0B1A" w:rsidRDefault="00AE0B1A" w:rsidP="00AE0B1A">
      <w:pPr>
        <w:pStyle w:val="BodyText"/>
      </w:pPr>
      <w:r>
        <w:t>T</w:t>
      </w:r>
      <w:r w:rsidRPr="00C94C2F">
        <w:t xml:space="preserve">here are three types of </w:t>
      </w:r>
      <w:r>
        <w:t xml:space="preserve">geological </w:t>
      </w:r>
      <w:r w:rsidRPr="00C94C2F">
        <w:t>storage</w:t>
      </w:r>
      <w:r>
        <w:t xml:space="preserve"> plays</w:t>
      </w:r>
      <w:r w:rsidRPr="00C94C2F">
        <w:t xml:space="preserve"> </w:t>
      </w:r>
      <w:r>
        <w:t>that</w:t>
      </w:r>
      <w:r w:rsidRPr="00C94C2F">
        <w:t xml:space="preserve"> rely on a porous medium (reservoir) paired wit</w:t>
      </w:r>
      <w:r>
        <w:t>h a non-porous medium (seal</w:t>
      </w:r>
      <w:r w:rsidRPr="00C94C2F">
        <w:t>). These include structural, stratigraphic and migration-assisted storage (MAS</w:t>
      </w:r>
      <w:r>
        <w:t xml:space="preserve">; </w:t>
      </w:r>
      <w:r>
        <w:fldChar w:fldCharType="begin"/>
      </w:r>
      <w:r>
        <w:instrText xml:space="preserve"> REF _Ref372287992 \h  \* MERGEFORMAT </w:instrText>
      </w:r>
      <w:r>
        <w:fldChar w:fldCharType="separate"/>
      </w:r>
      <w:r w:rsidR="00F64E4F">
        <w:t xml:space="preserve">Figure </w:t>
      </w:r>
      <w:r w:rsidR="00F64E4F">
        <w:rPr>
          <w:noProof/>
        </w:rPr>
        <w:t>1.3</w:t>
      </w:r>
      <w:r>
        <w:fldChar w:fldCharType="end"/>
      </w:r>
      <w:r>
        <w:t>b)</w:t>
      </w:r>
      <w:r w:rsidRPr="00C94C2F">
        <w:t xml:space="preserve">. In structural storage, </w:t>
      </w:r>
      <w:r>
        <w:t xml:space="preserve">the reservoir is within a </w:t>
      </w:r>
      <w:r w:rsidRPr="00C94C2F">
        <w:t xml:space="preserve">geological feature such as a sealed anticline, </w:t>
      </w:r>
      <w:r>
        <w:t xml:space="preserve">or adjacent to an </w:t>
      </w:r>
      <w:r w:rsidRPr="00C94C2F">
        <w:t xml:space="preserve">impermeable fault or impermeable </w:t>
      </w:r>
      <w:proofErr w:type="spellStart"/>
      <w:r w:rsidRPr="00C94C2F">
        <w:t>geobody</w:t>
      </w:r>
      <w:proofErr w:type="spellEnd"/>
      <w:r w:rsidRPr="00C94C2F">
        <w:t xml:space="preserve"> (e.g. salt </w:t>
      </w:r>
      <w:proofErr w:type="spellStart"/>
      <w:r w:rsidRPr="00C94C2F">
        <w:t>diapir</w:t>
      </w:r>
      <w:proofErr w:type="spellEnd"/>
      <w:r w:rsidRPr="00C94C2F">
        <w:t>)</w:t>
      </w:r>
      <w:r>
        <w:t xml:space="preserve"> that provides the storage site</w:t>
      </w:r>
      <w:r w:rsidRPr="00C94C2F">
        <w:t>. Stratigraphic storage occurs when there is reservoir pinch-out between two impermeable layers. In MAS, the res</w:t>
      </w:r>
      <w:r>
        <w:t>ervoir is an open system where</w:t>
      </w:r>
      <w:r w:rsidRPr="00C94C2F">
        <w:t xml:space="preserve"> an extensive, competent sealing unit overlies the reservoir and the processes of residual gas saturation and dissolution </w:t>
      </w:r>
      <w:r>
        <w:t>result in</w:t>
      </w:r>
      <w:r w:rsidRPr="00C94C2F">
        <w:t xml:space="preserve"> permanent storage. </w:t>
      </w:r>
      <w:r>
        <w:t xml:space="preserve">Due to the longevity of the trapping mechanisms and the large-scale </w:t>
      </w:r>
      <w:r w:rsidRPr="003E7003">
        <w:t>CO</w:t>
      </w:r>
      <w:r w:rsidRPr="009D5B2E">
        <w:rPr>
          <w:rStyle w:val="Subscript"/>
        </w:rPr>
        <w:t>2</w:t>
      </w:r>
      <w:r>
        <w:t xml:space="preserve"> footprint, a robust </w:t>
      </w:r>
      <w:r w:rsidRPr="003E7003">
        <w:t>CO</w:t>
      </w:r>
      <w:r w:rsidRPr="009D5B2E">
        <w:rPr>
          <w:rStyle w:val="Subscript"/>
        </w:rPr>
        <w:t>2</w:t>
      </w:r>
      <w:r>
        <w:t xml:space="preserve"> geological storage </w:t>
      </w:r>
      <w:proofErr w:type="spellStart"/>
      <w:r>
        <w:t>prospectivity</w:t>
      </w:r>
      <w:proofErr w:type="spellEnd"/>
      <w:r>
        <w:t xml:space="preserve"> assessment should include a detailed understanding of the reservoirs and seals in a prospective basin at a regional scale.</w:t>
      </w:r>
    </w:p>
    <w:p w:rsidR="00400897" w:rsidRDefault="00400897" w:rsidP="00400897">
      <w:pPr>
        <w:pStyle w:val="Figuresandimagescentred"/>
      </w:pPr>
      <w:r>
        <w:rPr>
          <w:noProof/>
        </w:rPr>
        <w:drawing>
          <wp:inline distT="0" distB="0" distL="0" distR="0" wp14:anchorId="3A6424EA" wp14:editId="2EE8EE84">
            <wp:extent cx="5760720" cy="2580422"/>
            <wp:effectExtent l="0" t="0" r="0" b="0"/>
            <wp:docPr id="3" name="Picture 3" descr="Due to the complexity of this document and the niche scientific target audience, no alternative description has been provided. Please email Geoscience Australia at clientservices@ga.gov.au for an alternative description." title="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6finaldocs\9GA Record Concise Figures Final (GAV approved)\GAV Completed\13-7199-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2580422"/>
                    </a:xfrm>
                    <a:prstGeom prst="rect">
                      <a:avLst/>
                    </a:prstGeom>
                    <a:noFill/>
                    <a:ln>
                      <a:noFill/>
                    </a:ln>
                  </pic:spPr>
                </pic:pic>
              </a:graphicData>
            </a:graphic>
          </wp:inline>
        </w:drawing>
      </w:r>
    </w:p>
    <w:p w:rsidR="00400897" w:rsidRPr="00C94C2F" w:rsidRDefault="00400897" w:rsidP="00400897">
      <w:pPr>
        <w:pStyle w:val="Caption"/>
      </w:pPr>
      <w:bookmarkStart w:id="74" w:name="_Ref372287992"/>
      <w:bookmarkStart w:id="75" w:name="_Toc373094990"/>
      <w:bookmarkStart w:id="76" w:name="_Toc378252720"/>
      <w:bookmarkStart w:id="77" w:name="_Toc378253044"/>
      <w:bookmarkStart w:id="78" w:name="_Toc378253368"/>
      <w:bookmarkStart w:id="79" w:name="_Toc378253692"/>
      <w:bookmarkStart w:id="80" w:name="_Toc378254016"/>
      <w:bookmarkStart w:id="81" w:name="_Toc378254340"/>
      <w:bookmarkStart w:id="82" w:name="_Toc378254664"/>
      <w:bookmarkStart w:id="83" w:name="_Toc378254988"/>
      <w:bookmarkStart w:id="84" w:name="_Toc378255337"/>
      <w:r>
        <w:t xml:space="preserve">Figure </w:t>
      </w:r>
      <w:fldSimple w:instr=" STYLEREF 1 \s ">
        <w:r w:rsidR="00F64E4F">
          <w:rPr>
            <w:noProof/>
          </w:rPr>
          <w:t>1</w:t>
        </w:r>
      </w:fldSimple>
      <w:r w:rsidR="00AE5C2D">
        <w:t>.</w:t>
      </w:r>
      <w:fldSimple w:instr=" SEQ Figure \* ARABIC \s 1 ">
        <w:r w:rsidR="00F64E4F">
          <w:rPr>
            <w:noProof/>
          </w:rPr>
          <w:t>3</w:t>
        </w:r>
      </w:fldSimple>
      <w:bookmarkEnd w:id="74"/>
      <w:r>
        <w:t xml:space="preserve"> </w:t>
      </w:r>
      <w:r w:rsidRPr="00867058">
        <w:t>Time dependency of processes involved in CO</w:t>
      </w:r>
      <w:r w:rsidRPr="003838AC">
        <w:rPr>
          <w:rStyle w:val="Subscript"/>
        </w:rPr>
        <w:t>2</w:t>
      </w:r>
      <w:r w:rsidRPr="00B353D1">
        <w:t xml:space="preserve"> </w:t>
      </w:r>
      <w:r w:rsidRPr="00867058">
        <w:t>geological storage (a) operating time frame; and (b) storage security (modified from IPCC, 2005 and Bradshaw et al., 2009).</w:t>
      </w:r>
      <w:bookmarkEnd w:id="75"/>
      <w:bookmarkEnd w:id="76"/>
      <w:bookmarkEnd w:id="77"/>
      <w:bookmarkEnd w:id="78"/>
      <w:bookmarkEnd w:id="79"/>
      <w:bookmarkEnd w:id="80"/>
      <w:bookmarkEnd w:id="81"/>
      <w:bookmarkEnd w:id="82"/>
      <w:bookmarkEnd w:id="83"/>
      <w:bookmarkEnd w:id="84"/>
    </w:p>
    <w:p w:rsidR="00AE0B1A" w:rsidRPr="00C94C2F" w:rsidRDefault="00AE0B1A" w:rsidP="00AE0B1A">
      <w:pPr>
        <w:pStyle w:val="Heading2"/>
      </w:pPr>
      <w:bookmarkStart w:id="85" w:name="_Toc372790298"/>
      <w:bookmarkStart w:id="86" w:name="_Ref373144291"/>
      <w:bookmarkStart w:id="87" w:name="_Toc378252881"/>
      <w:bookmarkStart w:id="88" w:name="_Toc378253205"/>
      <w:bookmarkStart w:id="89" w:name="_Toc378253529"/>
      <w:bookmarkStart w:id="90" w:name="_Toc378253853"/>
      <w:bookmarkStart w:id="91" w:name="_Toc378254177"/>
      <w:bookmarkStart w:id="92" w:name="_Toc378254501"/>
      <w:bookmarkStart w:id="93" w:name="_Toc378254825"/>
      <w:bookmarkStart w:id="94" w:name="_Toc378255149"/>
      <w:bookmarkStart w:id="95" w:name="_Toc383758207"/>
      <w:r w:rsidRPr="006B5A62">
        <w:lastRenderedPageBreak/>
        <w:t>Aim</w:t>
      </w:r>
      <w:bookmarkEnd w:id="85"/>
      <w:bookmarkEnd w:id="86"/>
      <w:bookmarkEnd w:id="87"/>
      <w:bookmarkEnd w:id="88"/>
      <w:bookmarkEnd w:id="89"/>
      <w:bookmarkEnd w:id="90"/>
      <w:bookmarkEnd w:id="91"/>
      <w:bookmarkEnd w:id="92"/>
      <w:bookmarkEnd w:id="93"/>
      <w:bookmarkEnd w:id="94"/>
      <w:bookmarkEnd w:id="95"/>
    </w:p>
    <w:p w:rsidR="00AE0B1A" w:rsidRPr="00DE0603" w:rsidRDefault="00AE0B1A" w:rsidP="00AE0B1A">
      <w:pPr>
        <w:pStyle w:val="BodyText"/>
      </w:pPr>
      <w:r w:rsidRPr="00C94C2F">
        <w:t xml:space="preserve">The </w:t>
      </w:r>
      <w:r>
        <w:t xml:space="preserve">principal </w:t>
      </w:r>
      <w:r w:rsidRPr="00C94C2F">
        <w:t xml:space="preserve">aim of this study </w:t>
      </w:r>
      <w:r>
        <w:t>is to assess</w:t>
      </w:r>
      <w:r w:rsidRPr="00C94C2F">
        <w:t xml:space="preserve"> the CO</w:t>
      </w:r>
      <w:r w:rsidRPr="009D5B2E">
        <w:rPr>
          <w:rStyle w:val="Subscript"/>
        </w:rPr>
        <w:t>2</w:t>
      </w:r>
      <w:r w:rsidRPr="00C94C2F">
        <w:t xml:space="preserve"> </w:t>
      </w:r>
      <w:r>
        <w:t xml:space="preserve">geological </w:t>
      </w:r>
      <w:r w:rsidRPr="00C94C2F">
        <w:t xml:space="preserve">storage </w:t>
      </w:r>
      <w:r>
        <w:t>potential</w:t>
      </w:r>
      <w:r w:rsidRPr="00C94C2F">
        <w:t xml:space="preserve"> of the Petrel Sub-</w:t>
      </w:r>
      <w:r w:rsidRPr="00DE0603">
        <w:t>basin (</w:t>
      </w:r>
      <w:r>
        <w:fldChar w:fldCharType="begin"/>
      </w:r>
      <w:r>
        <w:instrText xml:space="preserve"> REF _Ref372288044 \h </w:instrText>
      </w:r>
      <w:r>
        <w:fldChar w:fldCharType="separate"/>
      </w:r>
      <w:r w:rsidR="00F64E4F">
        <w:t>Figure </w:t>
      </w:r>
      <w:r w:rsidR="00F64E4F">
        <w:rPr>
          <w:noProof/>
        </w:rPr>
        <w:t>1</w:t>
      </w:r>
      <w:r w:rsidR="00F64E4F">
        <w:t>.</w:t>
      </w:r>
      <w:r w:rsidR="00F64E4F">
        <w:rPr>
          <w:noProof/>
        </w:rPr>
        <w:t>4</w:t>
      </w:r>
      <w:r>
        <w:fldChar w:fldCharType="end"/>
      </w:r>
      <w:r w:rsidRPr="00DE0603">
        <w:t xml:space="preserve">). This was achieved through the completion of four major </w:t>
      </w:r>
      <w:r>
        <w:t>activities</w:t>
      </w:r>
      <w:r w:rsidRPr="00DE0603">
        <w:t>:</w:t>
      </w:r>
    </w:p>
    <w:p w:rsidR="00AE0B1A" w:rsidRPr="00C94C2F" w:rsidRDefault="00AE0B1A" w:rsidP="00AE0B1A">
      <w:pPr>
        <w:pStyle w:val="Listbulletlevel1numbered"/>
        <w:numPr>
          <w:ilvl w:val="0"/>
          <w:numId w:val="27"/>
        </w:numPr>
      </w:pPr>
      <w:r w:rsidRPr="00C94C2F">
        <w:t>Acquisition and analysis of new pre-competitive data</w:t>
      </w:r>
      <w:r>
        <w:t>,</w:t>
      </w:r>
      <w:r w:rsidRPr="00C94C2F">
        <w:t xml:space="preserve"> including 2D seismic </w:t>
      </w:r>
      <w:r>
        <w:t xml:space="preserve">data </w:t>
      </w:r>
      <w:r w:rsidRPr="00C94C2F">
        <w:t>and seabed information.</w:t>
      </w:r>
    </w:p>
    <w:p w:rsidR="00AE0B1A" w:rsidRPr="00C94C2F" w:rsidRDefault="00AE0B1A" w:rsidP="00AE0B1A">
      <w:pPr>
        <w:pStyle w:val="Listbulletlevel1numbered"/>
        <w:numPr>
          <w:ilvl w:val="0"/>
          <w:numId w:val="27"/>
        </w:numPr>
      </w:pPr>
      <w:r>
        <w:t>Key formation mapping and characterisation.</w:t>
      </w:r>
    </w:p>
    <w:p w:rsidR="00AE0B1A" w:rsidRPr="00C94C2F" w:rsidRDefault="00AE0B1A" w:rsidP="00AE0B1A">
      <w:pPr>
        <w:pStyle w:val="Listbulletlevel1numbered"/>
        <w:numPr>
          <w:ilvl w:val="0"/>
          <w:numId w:val="27"/>
        </w:numPr>
      </w:pPr>
      <w:r w:rsidRPr="00C94C2F">
        <w:t xml:space="preserve">Assessment of </w:t>
      </w:r>
      <w:r>
        <w:t>potential seal</w:t>
      </w:r>
      <w:r w:rsidRPr="00C94C2F">
        <w:t xml:space="preserve"> containment.</w:t>
      </w:r>
    </w:p>
    <w:p w:rsidR="00AE0B1A" w:rsidRPr="00C94C2F" w:rsidRDefault="00AE0B1A" w:rsidP="00AE0B1A">
      <w:pPr>
        <w:pStyle w:val="Listbulletlevel1numbered"/>
        <w:numPr>
          <w:ilvl w:val="0"/>
          <w:numId w:val="27"/>
        </w:numPr>
      </w:pPr>
      <w:r w:rsidRPr="00C94C2F">
        <w:t xml:space="preserve">Assessment of </w:t>
      </w:r>
      <w:r>
        <w:t>reservoir</w:t>
      </w:r>
      <w:r w:rsidRPr="00C94C2F">
        <w:t xml:space="preserve"> </w:t>
      </w:r>
      <w:proofErr w:type="spellStart"/>
      <w:r w:rsidRPr="00C94C2F">
        <w:t>injectivity</w:t>
      </w:r>
      <w:proofErr w:type="spellEnd"/>
      <w:r w:rsidRPr="00C94C2F">
        <w:t xml:space="preserve"> and capacity.</w:t>
      </w:r>
    </w:p>
    <w:p w:rsidR="00AE0B1A" w:rsidRPr="009D5B2E" w:rsidRDefault="00AE0B1A" w:rsidP="00AE0B1A">
      <w:pPr>
        <w:pStyle w:val="BodyText"/>
        <w:rPr>
          <w:rStyle w:val="Italic"/>
        </w:rPr>
      </w:pPr>
      <w:r w:rsidRPr="004867CF">
        <w:t xml:space="preserve">An initial assessment and literature review identified the Mesozoic strata comprising the </w:t>
      </w:r>
      <w:proofErr w:type="spellStart"/>
      <w:r>
        <w:t>Malita</w:t>
      </w:r>
      <w:proofErr w:type="spellEnd"/>
      <w:r>
        <w:t xml:space="preserve"> and Plover Formations (</w:t>
      </w:r>
      <w:proofErr w:type="spellStart"/>
      <w:r>
        <w:t>Troughton</w:t>
      </w:r>
      <w:proofErr w:type="spellEnd"/>
      <w:r>
        <w:t xml:space="preserve"> Group); the </w:t>
      </w:r>
      <w:proofErr w:type="spellStart"/>
      <w:r>
        <w:t>Elang</w:t>
      </w:r>
      <w:proofErr w:type="spellEnd"/>
      <w:r>
        <w:t xml:space="preserve"> Formation, the Frigate Shale and the Sandpiper Sandstone (Flamingo Group)</w:t>
      </w:r>
      <w:r w:rsidRPr="004867CF">
        <w:t xml:space="preserve"> and </w:t>
      </w:r>
      <w:r>
        <w:t xml:space="preserve">the Echuca, Darwin and </w:t>
      </w:r>
      <w:proofErr w:type="spellStart"/>
      <w:r>
        <w:t>Wangarlu</w:t>
      </w:r>
      <w:proofErr w:type="spellEnd"/>
      <w:r>
        <w:t xml:space="preserve"> formations (</w:t>
      </w:r>
      <w:r w:rsidRPr="004867CF">
        <w:t xml:space="preserve">Bathurst Island </w:t>
      </w:r>
      <w:r>
        <w:t>Group)</w:t>
      </w:r>
      <w:r w:rsidRPr="004867CF">
        <w:t xml:space="preserve"> as the focus of this study (</w:t>
      </w:r>
      <w:r>
        <w:fldChar w:fldCharType="begin"/>
      </w:r>
      <w:r>
        <w:instrText xml:space="preserve"> REF _Ref372288054 \h </w:instrText>
      </w:r>
      <w:r>
        <w:fldChar w:fldCharType="separate"/>
      </w:r>
      <w:r w:rsidR="00F64E4F">
        <w:t xml:space="preserve">Figure </w:t>
      </w:r>
      <w:r w:rsidR="00F64E4F">
        <w:rPr>
          <w:noProof/>
        </w:rPr>
        <w:t>1</w:t>
      </w:r>
      <w:r w:rsidR="00F64E4F">
        <w:t>.</w:t>
      </w:r>
      <w:r w:rsidR="00F64E4F">
        <w:rPr>
          <w:noProof/>
        </w:rPr>
        <w:t>5</w:t>
      </w:r>
      <w:r>
        <w:fldChar w:fldCharType="end"/>
      </w:r>
      <w:r w:rsidRPr="004867CF">
        <w:t xml:space="preserve">). These Mesozoic strata were selected as there were no current </w:t>
      </w:r>
      <w:r>
        <w:t>overlaps</w:t>
      </w:r>
      <w:r w:rsidRPr="004867CF">
        <w:t xml:space="preserve"> with </w:t>
      </w:r>
      <w:r>
        <w:t xml:space="preserve">hydrocarbon </w:t>
      </w:r>
      <w:r w:rsidRPr="004867CF">
        <w:t>resources and</w:t>
      </w:r>
      <w:r>
        <w:t xml:space="preserve"> they comprise </w:t>
      </w:r>
      <w:r w:rsidRPr="004867CF">
        <w:t>a serie</w:t>
      </w:r>
      <w:bookmarkStart w:id="96" w:name="_Toc356229425"/>
      <w:r>
        <w:t>s of good reservoirs and seals, as defined by the Carbon Storage Taskforce (2009).</w:t>
      </w:r>
    </w:p>
    <w:bookmarkEnd w:id="96"/>
    <w:p w:rsidR="00AE0B1A" w:rsidRDefault="00AE0B1A" w:rsidP="00AE0B1A">
      <w:pPr>
        <w:pStyle w:val="Figuresandimagescentred"/>
      </w:pPr>
      <w:r>
        <w:rPr>
          <w:noProof/>
        </w:rPr>
        <w:lastRenderedPageBreak/>
        <w:drawing>
          <wp:inline distT="0" distB="0" distL="0" distR="0" wp14:anchorId="3912F8B3" wp14:editId="27DBAE17">
            <wp:extent cx="5760000" cy="5918400"/>
            <wp:effectExtent l="0" t="0" r="0" b="6350"/>
            <wp:docPr id="31" name="Picture 31" descr="Due to the complexity of this document and the niche scientific target audience, no alternative description has been provided. Please email Geoscience Australia at clientservices@ga.gov.au for an alternative description." title="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6finaldocs\0.REVIEW GA Record Summary + Appendices Internal  Review\Reviewed Draft\Figures\13-7199-6.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378" t="26645" r="11220" b="16991"/>
                    <a:stretch/>
                  </pic:blipFill>
                  <pic:spPr bwMode="auto">
                    <a:xfrm>
                      <a:off x="0" y="0"/>
                      <a:ext cx="5760000" cy="5918400"/>
                    </a:xfrm>
                    <a:prstGeom prst="rect">
                      <a:avLst/>
                    </a:prstGeom>
                    <a:noFill/>
                    <a:ln>
                      <a:noFill/>
                    </a:ln>
                    <a:extLst>
                      <a:ext uri="{53640926-AAD7-44D8-BBD7-CCE9431645EC}">
                        <a14:shadowObscured xmlns:a14="http://schemas.microsoft.com/office/drawing/2010/main"/>
                      </a:ext>
                    </a:extLst>
                  </pic:spPr>
                </pic:pic>
              </a:graphicData>
            </a:graphic>
          </wp:inline>
        </w:drawing>
      </w:r>
    </w:p>
    <w:p w:rsidR="00AE0B1A" w:rsidRPr="00C94C2F" w:rsidRDefault="00AE0B1A" w:rsidP="00AE0B1A">
      <w:pPr>
        <w:pStyle w:val="Caption"/>
      </w:pPr>
      <w:bookmarkStart w:id="97" w:name="_Ref372288044"/>
      <w:bookmarkStart w:id="98" w:name="_Toc373094991"/>
      <w:bookmarkStart w:id="99" w:name="_Toc378252721"/>
      <w:bookmarkStart w:id="100" w:name="_Toc378253045"/>
      <w:bookmarkStart w:id="101" w:name="_Toc378253369"/>
      <w:bookmarkStart w:id="102" w:name="_Toc378253693"/>
      <w:bookmarkStart w:id="103" w:name="_Toc378254017"/>
      <w:bookmarkStart w:id="104" w:name="_Toc378254341"/>
      <w:bookmarkStart w:id="105" w:name="_Toc378254665"/>
      <w:bookmarkStart w:id="106" w:name="_Toc378254989"/>
      <w:bookmarkStart w:id="107" w:name="_Toc378255338"/>
      <w:r>
        <w:t>Figure</w:t>
      </w:r>
      <w:r w:rsidR="00016FA4">
        <w:t> </w:t>
      </w:r>
      <w:fldSimple w:instr=" STYLEREF 1 \s ">
        <w:r w:rsidR="00F64E4F">
          <w:rPr>
            <w:noProof/>
          </w:rPr>
          <w:t>1</w:t>
        </w:r>
      </w:fldSimple>
      <w:r w:rsidR="00AE5C2D">
        <w:t>.</w:t>
      </w:r>
      <w:fldSimple w:instr=" SEQ Figure \* ARABIC \s 1 ">
        <w:r w:rsidR="00F64E4F">
          <w:rPr>
            <w:noProof/>
          </w:rPr>
          <w:t>4</w:t>
        </w:r>
      </w:fldSimple>
      <w:bookmarkEnd w:id="97"/>
      <w:r>
        <w:t xml:space="preserve"> </w:t>
      </w:r>
      <w:r w:rsidRPr="006F1B71">
        <w:t>Location of the study area, including the focus area which roughly equates to the extent of the geological model. It also shows the reservoir simulation model area, key wells and major pre-competitive data acquired as part of this study.</w:t>
      </w:r>
      <w:bookmarkEnd w:id="98"/>
      <w:bookmarkEnd w:id="99"/>
      <w:bookmarkEnd w:id="100"/>
      <w:bookmarkEnd w:id="101"/>
      <w:bookmarkEnd w:id="102"/>
      <w:bookmarkEnd w:id="103"/>
      <w:bookmarkEnd w:id="104"/>
      <w:bookmarkEnd w:id="105"/>
      <w:bookmarkEnd w:id="106"/>
      <w:bookmarkEnd w:id="107"/>
    </w:p>
    <w:p w:rsidR="00AE0B1A" w:rsidRDefault="00AE0B1A" w:rsidP="00AE0B1A">
      <w:pPr>
        <w:pStyle w:val="Figuresandimagescentred"/>
      </w:pPr>
      <w:r>
        <w:rPr>
          <w:noProof/>
        </w:rPr>
        <w:lastRenderedPageBreak/>
        <w:drawing>
          <wp:inline distT="0" distB="0" distL="0" distR="0" wp14:anchorId="31B271A3" wp14:editId="25BE466B">
            <wp:extent cx="5036400" cy="7588800"/>
            <wp:effectExtent l="0" t="0" r="0" b="0"/>
            <wp:docPr id="23" name="Picture 23" descr="Due to the complexity of this document and the niche scientific target audience, no alternative description has been provided. Please email Geoscience Australia at clientservices@ga.gov.au for an alternative description." title="Fig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6finaldocs\0.REVIEW GA Record Summary + Appendices Internal  Review\Reviewed Draft\Figures\13-7199-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36400" cy="7588800"/>
                    </a:xfrm>
                    <a:prstGeom prst="rect">
                      <a:avLst/>
                    </a:prstGeom>
                    <a:noFill/>
                    <a:ln>
                      <a:noFill/>
                    </a:ln>
                  </pic:spPr>
                </pic:pic>
              </a:graphicData>
            </a:graphic>
          </wp:inline>
        </w:drawing>
      </w:r>
    </w:p>
    <w:p w:rsidR="00AE0B1A" w:rsidRPr="00255748" w:rsidRDefault="00AE0B1A" w:rsidP="00AE0B1A">
      <w:pPr>
        <w:pStyle w:val="Caption"/>
      </w:pPr>
      <w:bookmarkStart w:id="108" w:name="_Ref372288054"/>
      <w:bookmarkStart w:id="109" w:name="_Toc373094992"/>
      <w:bookmarkStart w:id="110" w:name="_Toc378252722"/>
      <w:bookmarkStart w:id="111" w:name="_Toc378253046"/>
      <w:bookmarkStart w:id="112" w:name="_Toc378253370"/>
      <w:bookmarkStart w:id="113" w:name="_Toc378253694"/>
      <w:bookmarkStart w:id="114" w:name="_Toc378254018"/>
      <w:bookmarkStart w:id="115" w:name="_Toc378254342"/>
      <w:bookmarkStart w:id="116" w:name="_Toc378254666"/>
      <w:bookmarkStart w:id="117" w:name="_Toc378254990"/>
      <w:bookmarkStart w:id="118" w:name="_Toc378255339"/>
      <w:r>
        <w:t xml:space="preserve">Figure </w:t>
      </w:r>
      <w:fldSimple w:instr=" STYLEREF 1 \s ">
        <w:r w:rsidR="00F64E4F">
          <w:rPr>
            <w:noProof/>
          </w:rPr>
          <w:t>1</w:t>
        </w:r>
      </w:fldSimple>
      <w:r w:rsidR="00AE5C2D">
        <w:t>.</w:t>
      </w:r>
      <w:fldSimple w:instr=" SEQ Figure \* ARABIC \s 1 ">
        <w:r w:rsidR="00F64E4F">
          <w:rPr>
            <w:noProof/>
          </w:rPr>
          <w:t>5</w:t>
        </w:r>
      </w:fldSimple>
      <w:bookmarkEnd w:id="108"/>
      <w:r>
        <w:t xml:space="preserve"> </w:t>
      </w:r>
      <w:r w:rsidRPr="00D10D0F">
        <w:t xml:space="preserve">Mesozoic and </w:t>
      </w:r>
      <w:proofErr w:type="spellStart"/>
      <w:r w:rsidRPr="00D10D0F">
        <w:t>Cenozoic</w:t>
      </w:r>
      <w:proofErr w:type="spellEnd"/>
      <w:r w:rsidRPr="00D10D0F">
        <w:t xml:space="preserve"> stratigraphy of the offshore Petrel Sub-basin based on the Bonaparte Basin </w:t>
      </w:r>
      <w:proofErr w:type="spellStart"/>
      <w:r w:rsidRPr="00D10D0F">
        <w:t>Biozonation</w:t>
      </w:r>
      <w:proofErr w:type="spellEnd"/>
      <w:r w:rsidRPr="00D10D0F">
        <w:t xml:space="preserve"> and Stratigraphy Chart 33 (</w:t>
      </w:r>
      <w:proofErr w:type="spellStart"/>
      <w:r w:rsidRPr="00D10D0F">
        <w:t>Nicoll</w:t>
      </w:r>
      <w:proofErr w:type="spellEnd"/>
      <w:r w:rsidRPr="00D10D0F">
        <w:t xml:space="preserve"> et al., 2009). Geologic Time Scale after Gradstein et al. (2012). Basin phases specific to the Petrel Sub-</w:t>
      </w:r>
      <w:r w:rsidRPr="00D06525">
        <w:t xml:space="preserve"> </w:t>
      </w:r>
      <w:r w:rsidRPr="00C94C2F">
        <w:t xml:space="preserve">basin after </w:t>
      </w:r>
      <w:r>
        <w:rPr>
          <w:noProof/>
        </w:rPr>
        <w:t xml:space="preserve">Colwell and Kennard (1996). </w:t>
      </w:r>
      <w:r w:rsidRPr="00C94C2F">
        <w:t xml:space="preserve">The seismic horizons and reservoir and seal characteristics were completed in this study. Note: the formally defined Frigate Shale </w:t>
      </w:r>
      <w:r>
        <w:t>is divided</w:t>
      </w:r>
      <w:r w:rsidRPr="00C94C2F">
        <w:t xml:space="preserve"> informally</w:t>
      </w:r>
      <w:r>
        <w:t xml:space="preserve"> into the upper</w:t>
      </w:r>
      <w:r w:rsidRPr="00C94C2F">
        <w:t xml:space="preserve"> Frigate Shale</w:t>
      </w:r>
      <w:r>
        <w:t xml:space="preserve"> and lower Frigate Shale in this study.</w:t>
      </w:r>
      <w:bookmarkEnd w:id="109"/>
      <w:bookmarkEnd w:id="110"/>
      <w:bookmarkEnd w:id="111"/>
      <w:bookmarkEnd w:id="112"/>
      <w:bookmarkEnd w:id="113"/>
      <w:bookmarkEnd w:id="114"/>
      <w:bookmarkEnd w:id="115"/>
      <w:bookmarkEnd w:id="116"/>
      <w:bookmarkEnd w:id="117"/>
      <w:bookmarkEnd w:id="118"/>
    </w:p>
    <w:p w:rsidR="00AE0B1A" w:rsidRDefault="00AE0B1A" w:rsidP="00AE0B1A">
      <w:pPr>
        <w:pStyle w:val="Heading1"/>
      </w:pPr>
      <w:bookmarkStart w:id="119" w:name="_Toc372790299"/>
      <w:bookmarkStart w:id="120" w:name="_Toc378252882"/>
      <w:bookmarkStart w:id="121" w:name="_Toc378253206"/>
      <w:bookmarkStart w:id="122" w:name="_Toc378253530"/>
      <w:bookmarkStart w:id="123" w:name="_Toc378253854"/>
      <w:bookmarkStart w:id="124" w:name="_Toc378254178"/>
      <w:bookmarkStart w:id="125" w:name="_Toc378254502"/>
      <w:bookmarkStart w:id="126" w:name="_Toc378254826"/>
      <w:bookmarkStart w:id="127" w:name="_Toc378255150"/>
      <w:bookmarkStart w:id="128" w:name="_Toc383758208"/>
      <w:r w:rsidRPr="00C94C2F">
        <w:lastRenderedPageBreak/>
        <w:t>Regional Geology</w:t>
      </w:r>
      <w:bookmarkEnd w:id="119"/>
      <w:bookmarkEnd w:id="120"/>
      <w:bookmarkEnd w:id="121"/>
      <w:bookmarkEnd w:id="122"/>
      <w:bookmarkEnd w:id="123"/>
      <w:bookmarkEnd w:id="124"/>
      <w:bookmarkEnd w:id="125"/>
      <w:bookmarkEnd w:id="126"/>
      <w:bookmarkEnd w:id="127"/>
      <w:bookmarkEnd w:id="128"/>
    </w:p>
    <w:p w:rsidR="00AE0B1A" w:rsidRDefault="00AE0B1A" w:rsidP="00AE0B1A">
      <w:pPr>
        <w:pStyle w:val="BodyText"/>
      </w:pPr>
      <w:r>
        <w:t xml:space="preserve">The Petrel Sub-basin forms the southern part of the </w:t>
      </w:r>
      <w:r w:rsidRPr="00C94C2F">
        <w:t>Bonaparte Basin</w:t>
      </w:r>
      <w:r>
        <w:t xml:space="preserve">. The Bonaparte Basin </w:t>
      </w:r>
      <w:r w:rsidRPr="00C94C2F">
        <w:t xml:space="preserve">is the northernmost </w:t>
      </w:r>
      <w:proofErr w:type="spellStart"/>
      <w:r w:rsidRPr="00C94C2F">
        <w:t>depocentre</w:t>
      </w:r>
      <w:proofErr w:type="spellEnd"/>
      <w:r w:rsidRPr="00C94C2F">
        <w:t xml:space="preserve"> of the Westralian </w:t>
      </w:r>
      <w:proofErr w:type="spellStart"/>
      <w:r w:rsidRPr="00C94C2F">
        <w:t>Superbasin</w:t>
      </w:r>
      <w:proofErr w:type="spellEnd"/>
      <w:r w:rsidRPr="00C94C2F">
        <w:t xml:space="preserve"> on the North West Shelf that also includes the Browse, Roebuck and Carnarvon basins </w:t>
      </w:r>
      <w:r>
        <w:rPr>
          <w:noProof/>
        </w:rPr>
        <w:t xml:space="preserve">(Bradshaw </w:t>
      </w:r>
      <w:r w:rsidRPr="00DE0603">
        <w:rPr>
          <w:noProof/>
        </w:rPr>
        <w:t>et al.,</w:t>
      </w:r>
      <w:r>
        <w:rPr>
          <w:noProof/>
        </w:rPr>
        <w:t xml:space="preserve"> 1998;</w:t>
      </w:r>
      <w:r w:rsidRPr="00DE0603">
        <w:rPr>
          <w:noProof/>
        </w:rPr>
        <w:t xml:space="preserve"> Longley et al., 2002).</w:t>
      </w:r>
      <w:r w:rsidRPr="00DE0603">
        <w:t xml:space="preserve"> The Bonaparte Basin is </w:t>
      </w:r>
      <w:r>
        <w:t xml:space="preserve">located </w:t>
      </w:r>
      <w:r w:rsidRPr="00DE0603">
        <w:t xml:space="preserve">mainly offshore </w:t>
      </w:r>
      <w:r w:rsidRPr="00447A1F">
        <w:t>covering</w:t>
      </w:r>
      <w:r w:rsidRPr="00DE0603">
        <w:t xml:space="preserve"> 270,000 km</w:t>
      </w:r>
      <w:r w:rsidRPr="009D5B2E">
        <w:rPr>
          <w:rStyle w:val="Superscript"/>
        </w:rPr>
        <w:t xml:space="preserve">2 </w:t>
      </w:r>
      <w:r w:rsidRPr="00DE0603">
        <w:t>(</w:t>
      </w:r>
      <w:r>
        <w:fldChar w:fldCharType="begin"/>
      </w:r>
      <w:r>
        <w:instrText xml:space="preserve"> REF _Ref372288074 \h </w:instrText>
      </w:r>
      <w:r>
        <w:fldChar w:fldCharType="separate"/>
      </w:r>
      <w:r w:rsidR="00F64E4F">
        <w:t xml:space="preserve">Figure </w:t>
      </w:r>
      <w:r w:rsidR="00F64E4F">
        <w:rPr>
          <w:noProof/>
        </w:rPr>
        <w:t>2</w:t>
      </w:r>
      <w:r w:rsidR="00F64E4F">
        <w:t>.</w:t>
      </w:r>
      <w:r w:rsidR="00F64E4F">
        <w:rPr>
          <w:noProof/>
        </w:rPr>
        <w:t>1</w:t>
      </w:r>
      <w:r>
        <w:fldChar w:fldCharType="end"/>
      </w:r>
      <w:r w:rsidRPr="00DE0603">
        <w:t>). It is partly</w:t>
      </w:r>
      <w:r>
        <w:t xml:space="preserve"> located in</w:t>
      </w:r>
      <w:r w:rsidRPr="00C94C2F">
        <w:t xml:space="preserve"> the Joseph Bonaparte Gulf, </w:t>
      </w:r>
      <w:r>
        <w:t xml:space="preserve">west </w:t>
      </w:r>
      <w:r w:rsidRPr="00C94C2F">
        <w:t>of</w:t>
      </w:r>
      <w:r>
        <w:t xml:space="preserve"> the city of</w:t>
      </w:r>
      <w:r w:rsidRPr="00C94C2F">
        <w:t xml:space="preserve"> Darwin, and straddles both the </w:t>
      </w:r>
      <w:r>
        <w:t xml:space="preserve">jurisdictions of the </w:t>
      </w:r>
      <w:r w:rsidRPr="00C94C2F">
        <w:t xml:space="preserve">Northern </w:t>
      </w:r>
      <w:r>
        <w:t>Territory and Western Australia, extending north to Australia’s territorial border with Indonesia and Timor-Leste</w:t>
      </w:r>
      <w:r w:rsidRPr="00C94C2F">
        <w:t>. The basin merges with the Money Shoal Basin to the northeast and joins with the Browse Ba</w:t>
      </w:r>
      <w:r>
        <w:t>sin along the southwest margin.</w:t>
      </w:r>
    </w:p>
    <w:p w:rsidR="00AE0B1A" w:rsidRPr="00C94C2F" w:rsidRDefault="00AE0B1A" w:rsidP="00AE0B1A">
      <w:pPr>
        <w:pStyle w:val="BodyText"/>
      </w:pPr>
      <w:r w:rsidRPr="00C94C2F">
        <w:t>The Bonaparte Basin</w:t>
      </w:r>
      <w:r>
        <w:t xml:space="preserve"> </w:t>
      </w:r>
      <w:r w:rsidRPr="00C94C2F">
        <w:t xml:space="preserve">has been the focus of </w:t>
      </w:r>
      <w:r>
        <w:t>numerous</w:t>
      </w:r>
      <w:r w:rsidRPr="00C94C2F">
        <w:t xml:space="preserve"> </w:t>
      </w:r>
      <w:proofErr w:type="spellStart"/>
      <w:r w:rsidRPr="00C94C2F">
        <w:t>tectonostratigraphic</w:t>
      </w:r>
      <w:proofErr w:type="spellEnd"/>
      <w:r w:rsidRPr="00C94C2F">
        <w:t xml:space="preserve"> studies</w:t>
      </w:r>
      <w:r>
        <w:t xml:space="preserve"> (</w:t>
      </w:r>
      <w:r>
        <w:rPr>
          <w:noProof/>
        </w:rPr>
        <w:t>Gunn, 1988;</w:t>
      </w:r>
      <w:r w:rsidRPr="00C94C2F">
        <w:t xml:space="preserve"> </w:t>
      </w:r>
      <w:r>
        <w:rPr>
          <w:noProof/>
        </w:rPr>
        <w:t>Lee and Gunn, 1988; Veevers, 1988;</w:t>
      </w:r>
      <w:r>
        <w:t xml:space="preserve"> </w:t>
      </w:r>
      <w:r>
        <w:rPr>
          <w:noProof/>
        </w:rPr>
        <w:t>Pattilo and Nicholls, 1990;</w:t>
      </w:r>
      <w:r w:rsidRPr="00C94C2F">
        <w:t xml:space="preserve"> </w:t>
      </w:r>
      <w:r>
        <w:rPr>
          <w:noProof/>
        </w:rPr>
        <w:t>O'Brien, 1993;</w:t>
      </w:r>
      <w:r w:rsidRPr="00C94C2F">
        <w:t xml:space="preserve"> </w:t>
      </w:r>
      <w:r>
        <w:rPr>
          <w:noProof/>
        </w:rPr>
        <w:t>AGSO, 1994; Ballie et al., 1994;</w:t>
      </w:r>
      <w:r w:rsidRPr="00C94C2F">
        <w:t xml:space="preserve"> </w:t>
      </w:r>
      <w:r>
        <w:t xml:space="preserve">Colwell and Kennard, 1996; </w:t>
      </w:r>
      <w:r>
        <w:rPr>
          <w:noProof/>
        </w:rPr>
        <w:t>Whittam et al., 1996; Borel and Stampfli, 2002;</w:t>
      </w:r>
      <w:r w:rsidRPr="00C94C2F">
        <w:t xml:space="preserve"> </w:t>
      </w:r>
      <w:r>
        <w:rPr>
          <w:noProof/>
        </w:rPr>
        <w:t>Kennard et al., 2002;</w:t>
      </w:r>
      <w:r>
        <w:t xml:space="preserve"> and</w:t>
      </w:r>
      <w:r>
        <w:rPr>
          <w:noProof/>
        </w:rPr>
        <w:t xml:space="preserve"> Longley et al., 2002). It </w:t>
      </w:r>
      <w:r w:rsidRPr="00447A1F">
        <w:t>is</w:t>
      </w:r>
      <w:r>
        <w:rPr>
          <w:noProof/>
        </w:rPr>
        <w:t xml:space="preserve"> outside the scope of this report to provide a detailed summary of them all. Instead we focus on a detailed </w:t>
      </w:r>
      <w:r>
        <w:t>summary of the tectonic and stratigraphic evolution of the Petrel Sub-</w:t>
      </w:r>
      <w:r w:rsidRPr="00DE0603">
        <w:t>basin (</w:t>
      </w:r>
      <w:r>
        <w:fldChar w:fldCharType="begin"/>
      </w:r>
      <w:r>
        <w:instrText xml:space="preserve"> REF _Ref372289056 \h </w:instrText>
      </w:r>
      <w:r>
        <w:fldChar w:fldCharType="separate"/>
      </w:r>
      <w:r w:rsidR="00F64E4F">
        <w:t xml:space="preserve">Figure </w:t>
      </w:r>
      <w:r w:rsidR="00F64E4F">
        <w:rPr>
          <w:noProof/>
        </w:rPr>
        <w:t>2</w:t>
      </w:r>
      <w:r w:rsidR="00F64E4F">
        <w:t>.</w:t>
      </w:r>
      <w:r w:rsidR="00F64E4F">
        <w:rPr>
          <w:noProof/>
        </w:rPr>
        <w:t>2</w:t>
      </w:r>
      <w:r>
        <w:fldChar w:fldCharType="end"/>
      </w:r>
      <w:r w:rsidRPr="00DE0603">
        <w:t>).</w:t>
      </w:r>
    </w:p>
    <w:p w:rsidR="00AE0B1A" w:rsidRDefault="00AE0B1A" w:rsidP="00AE0B1A">
      <w:pPr>
        <w:pStyle w:val="Figuresandimagescentred"/>
      </w:pPr>
      <w:r>
        <w:rPr>
          <w:noProof/>
        </w:rPr>
        <w:drawing>
          <wp:inline distT="0" distB="0" distL="0" distR="0" wp14:anchorId="0FA0464C" wp14:editId="12B599C5">
            <wp:extent cx="4457700" cy="3931920"/>
            <wp:effectExtent l="0" t="0" r="0" b="0"/>
            <wp:docPr id="18" name="Picture 18" descr="Due to the complexity of this document and the niche scientific target audience, no alternative description has been provided. Please email Geoscience Australia at clientservices@ga.gov.au for an alternative description."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6finaldocs\0.REVIEW GA Record Summary + Appendices Internal  Review\Reviewed Draft\Figures\13-7199-4.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244" t="24406" r="11369" b="27296"/>
                    <a:stretch/>
                  </pic:blipFill>
                  <pic:spPr bwMode="auto">
                    <a:xfrm>
                      <a:off x="0" y="0"/>
                      <a:ext cx="4458045" cy="3932224"/>
                    </a:xfrm>
                    <a:prstGeom prst="rect">
                      <a:avLst/>
                    </a:prstGeom>
                    <a:noFill/>
                    <a:ln>
                      <a:noFill/>
                    </a:ln>
                    <a:extLst>
                      <a:ext uri="{53640926-AAD7-44D8-BBD7-CCE9431645EC}">
                        <a14:shadowObscured xmlns:a14="http://schemas.microsoft.com/office/drawing/2010/main"/>
                      </a:ext>
                    </a:extLst>
                  </pic:spPr>
                </pic:pic>
              </a:graphicData>
            </a:graphic>
          </wp:inline>
        </w:drawing>
      </w:r>
    </w:p>
    <w:p w:rsidR="00AE0B1A" w:rsidRDefault="00AE0B1A" w:rsidP="00AE0B1A">
      <w:pPr>
        <w:pStyle w:val="Caption"/>
      </w:pPr>
      <w:bookmarkStart w:id="129" w:name="_Ref372288074"/>
      <w:bookmarkStart w:id="130" w:name="_Toc373094993"/>
      <w:bookmarkStart w:id="131" w:name="_Toc378252723"/>
      <w:bookmarkStart w:id="132" w:name="_Toc378253047"/>
      <w:bookmarkStart w:id="133" w:name="_Toc378253371"/>
      <w:bookmarkStart w:id="134" w:name="_Toc378253695"/>
      <w:bookmarkStart w:id="135" w:name="_Toc378254019"/>
      <w:bookmarkStart w:id="136" w:name="_Toc378254343"/>
      <w:bookmarkStart w:id="137" w:name="_Toc378254667"/>
      <w:bookmarkStart w:id="138" w:name="_Toc378254991"/>
      <w:bookmarkStart w:id="139" w:name="_Toc378255340"/>
      <w:r>
        <w:t xml:space="preserve">Figure </w:t>
      </w:r>
      <w:fldSimple w:instr=" STYLEREF 1 \s ">
        <w:r w:rsidR="00F64E4F">
          <w:rPr>
            <w:noProof/>
          </w:rPr>
          <w:t>2</w:t>
        </w:r>
      </w:fldSimple>
      <w:r w:rsidR="00AE5C2D">
        <w:t>.</w:t>
      </w:r>
      <w:fldSimple w:instr=" SEQ Figure \* ARABIC \s 1 ">
        <w:r w:rsidR="00F64E4F">
          <w:rPr>
            <w:noProof/>
          </w:rPr>
          <w:t>1</w:t>
        </w:r>
      </w:fldSimple>
      <w:bookmarkEnd w:id="129"/>
      <w:r>
        <w:t xml:space="preserve"> </w:t>
      </w:r>
      <w:r w:rsidRPr="00A61B70">
        <w:t>Map of the Bonaparte Basin, including the major tectonic components and adjoining offshore sedimentary basins.</w:t>
      </w:r>
      <w:bookmarkEnd w:id="130"/>
      <w:bookmarkEnd w:id="131"/>
      <w:bookmarkEnd w:id="132"/>
      <w:bookmarkEnd w:id="133"/>
      <w:bookmarkEnd w:id="134"/>
      <w:bookmarkEnd w:id="135"/>
      <w:bookmarkEnd w:id="136"/>
      <w:bookmarkEnd w:id="137"/>
      <w:bookmarkEnd w:id="138"/>
      <w:bookmarkEnd w:id="139"/>
    </w:p>
    <w:p w:rsidR="00AE0B1A" w:rsidRDefault="00AE0B1A" w:rsidP="00AE0B1A">
      <w:pPr>
        <w:pStyle w:val="BodyText"/>
        <w:sectPr w:rsidR="00AE0B1A" w:rsidSect="009A01C9">
          <w:pgSz w:w="11907" w:h="16840" w:code="9"/>
          <w:pgMar w:top="1985" w:right="1418" w:bottom="1418" w:left="1418" w:header="720" w:footer="397" w:gutter="0"/>
          <w:pgNumType w:start="1"/>
          <w:cols w:space="720"/>
          <w:docGrid w:linePitch="272"/>
        </w:sectPr>
      </w:pPr>
    </w:p>
    <w:p w:rsidR="00AE0B1A" w:rsidRDefault="00AE0B1A" w:rsidP="00AE0B1A">
      <w:pPr>
        <w:pStyle w:val="Figuresandimagescentred"/>
      </w:pPr>
      <w:r>
        <w:rPr>
          <w:noProof/>
        </w:rPr>
        <w:lastRenderedPageBreak/>
        <w:drawing>
          <wp:inline distT="0" distB="0" distL="0" distR="0" wp14:anchorId="5BD8CAF8" wp14:editId="26EF72F9">
            <wp:extent cx="6350400" cy="12110400"/>
            <wp:effectExtent l="0" t="0" r="0" b="5715"/>
            <wp:docPr id="12" name="Picture 12" descr="Due to the complexity of this document and the niche scientific target audience, no alternative description has been provided. Please email Geoscience Australia at clientservices@ga.gov.au for an alternative description."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199-5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50400" cy="12110400"/>
                    </a:xfrm>
                    <a:prstGeom prst="rect">
                      <a:avLst/>
                    </a:prstGeom>
                  </pic:spPr>
                </pic:pic>
              </a:graphicData>
            </a:graphic>
          </wp:inline>
        </w:drawing>
      </w:r>
    </w:p>
    <w:p w:rsidR="00AE0B1A" w:rsidRDefault="00AE0B1A" w:rsidP="00AE0B1A">
      <w:pPr>
        <w:pStyle w:val="Caption"/>
      </w:pPr>
      <w:bookmarkStart w:id="140" w:name="_Ref372289056"/>
      <w:bookmarkStart w:id="141" w:name="_Toc373094994"/>
      <w:bookmarkStart w:id="142" w:name="_Toc378252724"/>
      <w:bookmarkStart w:id="143" w:name="_Toc378253048"/>
      <w:bookmarkStart w:id="144" w:name="_Toc378253372"/>
      <w:bookmarkStart w:id="145" w:name="_Toc378253696"/>
      <w:bookmarkStart w:id="146" w:name="_Toc378254020"/>
      <w:bookmarkStart w:id="147" w:name="_Toc378254344"/>
      <w:bookmarkStart w:id="148" w:name="_Toc378254668"/>
      <w:bookmarkStart w:id="149" w:name="_Toc378254992"/>
      <w:bookmarkStart w:id="150" w:name="_Toc378255341"/>
      <w:r>
        <w:t xml:space="preserve">Figure </w:t>
      </w:r>
      <w:fldSimple w:instr=" STYLEREF 1 \s ">
        <w:r w:rsidR="00F64E4F">
          <w:rPr>
            <w:noProof/>
          </w:rPr>
          <w:t>2</w:t>
        </w:r>
      </w:fldSimple>
      <w:r w:rsidR="00AE5C2D">
        <w:t>.</w:t>
      </w:r>
      <w:fldSimple w:instr=" SEQ Figure \* ARABIC \s 1 ">
        <w:r w:rsidR="00F64E4F">
          <w:rPr>
            <w:noProof/>
          </w:rPr>
          <w:t>2</w:t>
        </w:r>
      </w:fldSimple>
      <w:bookmarkEnd w:id="140"/>
      <w:r>
        <w:t xml:space="preserve"> </w:t>
      </w:r>
      <w:r w:rsidRPr="005D5B14">
        <w:t xml:space="preserve">Stratigraphy of the southern Bonaparte Basin (Petrel Sub-basin) based on the Bonaparte Basin </w:t>
      </w:r>
      <w:proofErr w:type="spellStart"/>
      <w:r w:rsidRPr="005D5B14">
        <w:t>Biozonation</w:t>
      </w:r>
      <w:proofErr w:type="spellEnd"/>
      <w:r w:rsidRPr="005D5B14">
        <w:t xml:space="preserve"> and Stratigraphy Chart 33 (</w:t>
      </w:r>
      <w:proofErr w:type="spellStart"/>
      <w:r w:rsidRPr="005D5B14">
        <w:t>Nicoll</w:t>
      </w:r>
      <w:proofErr w:type="spellEnd"/>
      <w:r w:rsidRPr="005D5B14">
        <w:t xml:space="preserve"> et al., 2009). Geologic Time Scale after Gradstein et al. (2012). Basin phases specific to the Petrel Sub-basin after O'Brien (1993), Colwell and Kennard (1996), </w:t>
      </w:r>
      <w:proofErr w:type="spellStart"/>
      <w:r w:rsidRPr="005D5B14">
        <w:t>Borel</w:t>
      </w:r>
      <w:proofErr w:type="spellEnd"/>
      <w:r w:rsidRPr="005D5B14">
        <w:t xml:space="preserve"> and </w:t>
      </w:r>
      <w:proofErr w:type="spellStart"/>
      <w:r w:rsidRPr="005D5B14">
        <w:t>Stampfli</w:t>
      </w:r>
      <w:proofErr w:type="spellEnd"/>
      <w:r w:rsidRPr="005D5B14">
        <w:t xml:space="preserve"> (2002) and </w:t>
      </w:r>
      <w:proofErr w:type="spellStart"/>
      <w:r w:rsidRPr="005D5B14">
        <w:t>Frankowicz</w:t>
      </w:r>
      <w:proofErr w:type="spellEnd"/>
      <w:r w:rsidRPr="005D5B14">
        <w:t xml:space="preserve"> and </w:t>
      </w:r>
      <w:proofErr w:type="spellStart"/>
      <w:r w:rsidRPr="005D5B14">
        <w:t>McClay</w:t>
      </w:r>
      <w:proofErr w:type="spellEnd"/>
      <w:r w:rsidRPr="005D5B14">
        <w:t xml:space="preserve"> (2010)</w:t>
      </w:r>
      <w:r>
        <w:t>.</w:t>
      </w:r>
      <w:bookmarkEnd w:id="141"/>
      <w:bookmarkEnd w:id="142"/>
      <w:bookmarkEnd w:id="143"/>
      <w:bookmarkEnd w:id="144"/>
      <w:bookmarkEnd w:id="145"/>
      <w:bookmarkEnd w:id="146"/>
      <w:bookmarkEnd w:id="147"/>
      <w:bookmarkEnd w:id="148"/>
      <w:bookmarkEnd w:id="149"/>
      <w:bookmarkEnd w:id="150"/>
    </w:p>
    <w:p w:rsidR="00AE0B1A" w:rsidRDefault="00AE0B1A" w:rsidP="00AE0B1A">
      <w:pPr>
        <w:pStyle w:val="BodyText"/>
      </w:pPr>
      <w:r w:rsidRPr="00D17B8F">
        <w:lastRenderedPageBreak/>
        <w:t xml:space="preserve">This page </w:t>
      </w:r>
      <w:r>
        <w:t>has intentionally been left blank</w:t>
      </w:r>
      <w:r w:rsidRPr="00D17B8F">
        <w:t>.</w:t>
      </w:r>
    </w:p>
    <w:p w:rsidR="00AE0B1A" w:rsidRPr="00186E04" w:rsidRDefault="00AE0B1A" w:rsidP="00186E04">
      <w:pPr>
        <w:pStyle w:val="BodyText"/>
        <w:sectPr w:rsidR="00AE0B1A" w:rsidRPr="00186E04" w:rsidSect="009A01C9">
          <w:footerReference w:type="even" r:id="rId25"/>
          <w:footerReference w:type="default" r:id="rId26"/>
          <w:pgSz w:w="16839" w:h="23814" w:code="8"/>
          <w:pgMar w:top="1985" w:right="1418" w:bottom="1418" w:left="1418" w:header="720" w:footer="397" w:gutter="0"/>
          <w:cols w:space="720"/>
          <w:docGrid w:linePitch="272"/>
        </w:sectPr>
      </w:pPr>
    </w:p>
    <w:p w:rsidR="00AE0B1A" w:rsidRPr="00C94C2F" w:rsidRDefault="00AE0B1A" w:rsidP="00AE0B1A">
      <w:pPr>
        <w:pStyle w:val="Heading2"/>
      </w:pPr>
      <w:bookmarkStart w:id="151" w:name="_Toc372790300"/>
      <w:bookmarkStart w:id="152" w:name="_Toc378252883"/>
      <w:bookmarkStart w:id="153" w:name="_Toc378253207"/>
      <w:bookmarkStart w:id="154" w:name="_Toc378253531"/>
      <w:bookmarkStart w:id="155" w:name="_Toc378253855"/>
      <w:bookmarkStart w:id="156" w:name="_Toc378254179"/>
      <w:bookmarkStart w:id="157" w:name="_Toc378254503"/>
      <w:bookmarkStart w:id="158" w:name="_Toc378254827"/>
      <w:bookmarkStart w:id="159" w:name="_Toc378255151"/>
      <w:bookmarkStart w:id="160" w:name="_Toc383758209"/>
      <w:r w:rsidRPr="006B5A62">
        <w:lastRenderedPageBreak/>
        <w:t>Tectonic</w:t>
      </w:r>
      <w:r>
        <w:t xml:space="preserve"> </w:t>
      </w:r>
      <w:r w:rsidRPr="006B5A62">
        <w:t>Evolution</w:t>
      </w:r>
      <w:bookmarkEnd w:id="151"/>
      <w:bookmarkEnd w:id="152"/>
      <w:bookmarkEnd w:id="153"/>
      <w:bookmarkEnd w:id="154"/>
      <w:bookmarkEnd w:id="155"/>
      <w:bookmarkEnd w:id="156"/>
      <w:bookmarkEnd w:id="157"/>
      <w:bookmarkEnd w:id="158"/>
      <w:bookmarkEnd w:id="159"/>
      <w:bookmarkEnd w:id="160"/>
    </w:p>
    <w:p w:rsidR="00AE0B1A" w:rsidRDefault="00AE0B1A" w:rsidP="00AE0B1A">
      <w:pPr>
        <w:pStyle w:val="BodyText"/>
      </w:pPr>
      <w:r w:rsidRPr="00C94C2F">
        <w:t xml:space="preserve">The Petrel Sub-basin dominates the southern part of the Bonaparte Basin, extending from onshore to offshore in water depths </w:t>
      </w:r>
      <w:r w:rsidRPr="005B3237">
        <w:t>up to 100 m (</w:t>
      </w:r>
      <w:r>
        <w:fldChar w:fldCharType="begin"/>
      </w:r>
      <w:r>
        <w:instrText xml:space="preserve"> REF _Ref372287876 \h </w:instrText>
      </w:r>
      <w:r>
        <w:fldChar w:fldCharType="separate"/>
      </w:r>
      <w:r w:rsidR="00F64E4F">
        <w:t xml:space="preserve">Figure </w:t>
      </w:r>
      <w:r w:rsidR="00F64E4F">
        <w:rPr>
          <w:noProof/>
        </w:rPr>
        <w:t>1</w:t>
      </w:r>
      <w:r w:rsidR="00F64E4F">
        <w:t>.</w:t>
      </w:r>
      <w:r w:rsidR="00F64E4F">
        <w:rPr>
          <w:noProof/>
        </w:rPr>
        <w:t>1</w:t>
      </w:r>
      <w:r>
        <w:fldChar w:fldCharType="end"/>
      </w:r>
      <w:r w:rsidRPr="005B3237">
        <w:t>). The sub-basin is bounded by the Lond</w:t>
      </w:r>
      <w:r w:rsidRPr="00B774AE">
        <w:t>onderry High</w:t>
      </w:r>
      <w:r>
        <w:t xml:space="preserve"> </w:t>
      </w:r>
      <w:r w:rsidRPr="00B774AE">
        <w:t>/</w:t>
      </w:r>
      <w:r>
        <w:t xml:space="preserve"> </w:t>
      </w:r>
      <w:r w:rsidRPr="00B774AE">
        <w:t>Berkl</w:t>
      </w:r>
      <w:r>
        <w:t xml:space="preserve">ey Platform in the </w:t>
      </w:r>
      <w:r w:rsidRPr="00DC3959">
        <w:t>we</w:t>
      </w:r>
      <w:r w:rsidRPr="007D64B0">
        <w:t xml:space="preserve">st, the </w:t>
      </w:r>
      <w:proofErr w:type="spellStart"/>
      <w:r>
        <w:t>Malita</w:t>
      </w:r>
      <w:proofErr w:type="spellEnd"/>
      <w:r>
        <w:t xml:space="preserve"> </w:t>
      </w:r>
      <w:proofErr w:type="spellStart"/>
      <w:r>
        <w:t>Graben</w:t>
      </w:r>
      <w:proofErr w:type="spellEnd"/>
      <w:r>
        <w:t xml:space="preserve"> to the north,</w:t>
      </w:r>
      <w:r w:rsidRPr="00342062">
        <w:t xml:space="preserve"> and the Darw</w:t>
      </w:r>
      <w:r>
        <w:t>in Shelf / Moyle Platform to the east (</w:t>
      </w:r>
      <w:r>
        <w:fldChar w:fldCharType="begin"/>
      </w:r>
      <w:r>
        <w:instrText xml:space="preserve"> REF _Ref372289098 \h </w:instrText>
      </w:r>
      <w:r>
        <w:fldChar w:fldCharType="separate"/>
      </w:r>
      <w:r w:rsidR="00F64E4F">
        <w:t xml:space="preserve">Figure </w:t>
      </w:r>
      <w:r w:rsidR="00F64E4F">
        <w:rPr>
          <w:noProof/>
        </w:rPr>
        <w:t>2</w:t>
      </w:r>
      <w:r w:rsidR="00F64E4F">
        <w:t>.</w:t>
      </w:r>
      <w:r w:rsidR="00F64E4F">
        <w:rPr>
          <w:noProof/>
        </w:rPr>
        <w:t>3</w:t>
      </w:r>
      <w:r>
        <w:fldChar w:fldCharType="end"/>
      </w:r>
      <w:r w:rsidRPr="00342062">
        <w:t xml:space="preserve">). The </w:t>
      </w:r>
      <w:r>
        <w:t>s</w:t>
      </w:r>
      <w:r w:rsidRPr="00342062">
        <w:t xml:space="preserve">ub-basin </w:t>
      </w:r>
      <w:r w:rsidRPr="00603F72">
        <w:t xml:space="preserve">forms an asymmetric, </w:t>
      </w:r>
      <w:r>
        <w:t xml:space="preserve">northwest </w:t>
      </w:r>
      <w:r w:rsidRPr="00603F72">
        <w:t xml:space="preserve">trending syncline </w:t>
      </w:r>
      <w:r w:rsidRPr="00367911">
        <w:t>and the eastern and western faulted margins converge to the south (</w:t>
      </w:r>
      <w:r w:rsidR="003838AC">
        <w:fldChar w:fldCharType="begin"/>
      </w:r>
      <w:r w:rsidR="003838AC">
        <w:instrText xml:space="preserve"> REF _Ref372289098 \h </w:instrText>
      </w:r>
      <w:r w:rsidR="003838AC">
        <w:fldChar w:fldCharType="separate"/>
      </w:r>
      <w:r w:rsidR="00F64E4F">
        <w:t xml:space="preserve">Figure </w:t>
      </w:r>
      <w:r w:rsidR="00F64E4F">
        <w:rPr>
          <w:noProof/>
        </w:rPr>
        <w:t>2</w:t>
      </w:r>
      <w:r w:rsidR="00F64E4F">
        <w:t>.</w:t>
      </w:r>
      <w:r w:rsidR="00F64E4F">
        <w:rPr>
          <w:noProof/>
        </w:rPr>
        <w:t>3</w:t>
      </w:r>
      <w:r w:rsidR="003838AC">
        <w:fldChar w:fldCharType="end"/>
      </w:r>
      <w:r w:rsidRPr="00367911">
        <w:t>).</w:t>
      </w:r>
    </w:p>
    <w:p w:rsidR="00AE0B1A" w:rsidRDefault="00AE0B1A" w:rsidP="00AE0B1A">
      <w:pPr>
        <w:pStyle w:val="Figuresandimagescentred"/>
      </w:pPr>
      <w:r>
        <w:rPr>
          <w:noProof/>
        </w:rPr>
        <w:drawing>
          <wp:inline distT="0" distB="0" distL="0" distR="0" wp14:anchorId="4B1A7CFE" wp14:editId="523A0180">
            <wp:extent cx="5144400" cy="6530400"/>
            <wp:effectExtent l="0" t="0" r="0" b="3810"/>
            <wp:docPr id="2056" name="Picture 2056" descr="Due to the complexity of this document and the niche scientific target audience, no alternative description has been provided. Please email Geoscience Australia at clientservices@ga.gov.au for an alternative description."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6finaldocs\0.REVIEW GA Record Summary + Appendices Internal  Review\Reviewed Draft\Figures\13-7199-1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243" t="21009" r="11111" b="9117"/>
                    <a:stretch/>
                  </pic:blipFill>
                  <pic:spPr bwMode="auto">
                    <a:xfrm>
                      <a:off x="0" y="0"/>
                      <a:ext cx="5144400" cy="6530400"/>
                    </a:xfrm>
                    <a:prstGeom prst="rect">
                      <a:avLst/>
                    </a:prstGeom>
                    <a:noFill/>
                    <a:ln>
                      <a:noFill/>
                    </a:ln>
                    <a:extLst>
                      <a:ext uri="{53640926-AAD7-44D8-BBD7-CCE9431645EC}">
                        <a14:shadowObscured xmlns:a14="http://schemas.microsoft.com/office/drawing/2010/main"/>
                      </a:ext>
                    </a:extLst>
                  </pic:spPr>
                </pic:pic>
              </a:graphicData>
            </a:graphic>
          </wp:inline>
        </w:drawing>
      </w:r>
    </w:p>
    <w:p w:rsidR="00AE0B1A" w:rsidRDefault="00AE0B1A" w:rsidP="00AE0B1A">
      <w:pPr>
        <w:pStyle w:val="Caption"/>
      </w:pPr>
      <w:bookmarkStart w:id="161" w:name="_Ref372289098"/>
      <w:bookmarkStart w:id="162" w:name="_Toc373094995"/>
      <w:bookmarkStart w:id="163" w:name="_Toc378252725"/>
      <w:bookmarkStart w:id="164" w:name="_Toc378253049"/>
      <w:bookmarkStart w:id="165" w:name="_Toc378253373"/>
      <w:bookmarkStart w:id="166" w:name="_Toc378253697"/>
      <w:bookmarkStart w:id="167" w:name="_Toc378254021"/>
      <w:bookmarkStart w:id="168" w:name="_Toc378254345"/>
      <w:bookmarkStart w:id="169" w:name="_Toc378254669"/>
      <w:bookmarkStart w:id="170" w:name="_Toc378254993"/>
      <w:bookmarkStart w:id="171" w:name="_Toc378255342"/>
      <w:r>
        <w:t xml:space="preserve">Figure </w:t>
      </w:r>
      <w:fldSimple w:instr=" STYLEREF 1 \s ">
        <w:r w:rsidR="00F64E4F">
          <w:rPr>
            <w:noProof/>
          </w:rPr>
          <w:t>2</w:t>
        </w:r>
      </w:fldSimple>
      <w:r w:rsidR="00AE5C2D">
        <w:t>.</w:t>
      </w:r>
      <w:fldSimple w:instr=" SEQ Figure \* ARABIC \s 1 ">
        <w:r w:rsidR="00F64E4F">
          <w:rPr>
            <w:noProof/>
          </w:rPr>
          <w:t>3</w:t>
        </w:r>
      </w:fldSimple>
      <w:bookmarkEnd w:id="161"/>
      <w:r>
        <w:t xml:space="preserve"> </w:t>
      </w:r>
      <w:r w:rsidRPr="00BF1784">
        <w:t>Structural elements of the Petrel Sub-basin (after Colwell and Kennard, 1996).</w:t>
      </w:r>
      <w:bookmarkEnd w:id="162"/>
      <w:bookmarkEnd w:id="163"/>
      <w:bookmarkEnd w:id="164"/>
      <w:bookmarkEnd w:id="165"/>
      <w:bookmarkEnd w:id="166"/>
      <w:bookmarkEnd w:id="167"/>
      <w:bookmarkEnd w:id="168"/>
      <w:bookmarkEnd w:id="169"/>
      <w:bookmarkEnd w:id="170"/>
      <w:bookmarkEnd w:id="171"/>
    </w:p>
    <w:p w:rsidR="00AE0B1A" w:rsidRDefault="00AE0B1A" w:rsidP="00AE0B1A">
      <w:pPr>
        <w:pStyle w:val="Figuresandimagescentred"/>
      </w:pPr>
      <w:r>
        <w:rPr>
          <w:noProof/>
        </w:rPr>
        <w:lastRenderedPageBreak/>
        <w:drawing>
          <wp:inline distT="0" distB="0" distL="0" distR="0" wp14:anchorId="1658748D" wp14:editId="5A7C1206">
            <wp:extent cx="5760720" cy="4923253"/>
            <wp:effectExtent l="0" t="0" r="0" b="0"/>
            <wp:docPr id="2058" name="Picture 2058" descr="Due to the complexity of this document and the niche scientific target audience, no alternative description has been provided. Please email Geoscience Australia at clientservices@ga.gov.au for an alternative description."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6finaldocs\0.REVIEW GA Record Summary + Appendices Internal  Review\Reviewed Draft\Figures\13-7199-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923253"/>
                    </a:xfrm>
                    <a:prstGeom prst="rect">
                      <a:avLst/>
                    </a:prstGeom>
                    <a:noFill/>
                    <a:ln>
                      <a:noFill/>
                    </a:ln>
                  </pic:spPr>
                </pic:pic>
              </a:graphicData>
            </a:graphic>
          </wp:inline>
        </w:drawing>
      </w:r>
    </w:p>
    <w:p w:rsidR="00AE0B1A" w:rsidRPr="0044760D" w:rsidRDefault="00AE0B1A" w:rsidP="00AE0B1A">
      <w:pPr>
        <w:pStyle w:val="Caption"/>
      </w:pPr>
      <w:bookmarkStart w:id="172" w:name="_Ref372289106"/>
      <w:bookmarkStart w:id="173" w:name="_Toc373094996"/>
      <w:bookmarkStart w:id="174" w:name="_Toc378252726"/>
      <w:bookmarkStart w:id="175" w:name="_Toc378253050"/>
      <w:bookmarkStart w:id="176" w:name="_Toc378253374"/>
      <w:bookmarkStart w:id="177" w:name="_Toc378253698"/>
      <w:bookmarkStart w:id="178" w:name="_Toc378254022"/>
      <w:bookmarkStart w:id="179" w:name="_Toc378254346"/>
      <w:bookmarkStart w:id="180" w:name="_Toc378254670"/>
      <w:bookmarkStart w:id="181" w:name="_Toc378254994"/>
      <w:bookmarkStart w:id="182" w:name="_Toc378255343"/>
      <w:r>
        <w:t xml:space="preserve">Figure </w:t>
      </w:r>
      <w:fldSimple w:instr=" STYLEREF 1 \s ">
        <w:r w:rsidR="00F64E4F">
          <w:rPr>
            <w:noProof/>
          </w:rPr>
          <w:t>2</w:t>
        </w:r>
      </w:fldSimple>
      <w:r w:rsidR="00AE5C2D">
        <w:t>.</w:t>
      </w:r>
      <w:fldSimple w:instr=" SEQ Figure \* ARABIC \s 1 ">
        <w:r w:rsidR="00F64E4F">
          <w:rPr>
            <w:noProof/>
          </w:rPr>
          <w:t>4</w:t>
        </w:r>
      </w:fldSimple>
      <w:bookmarkEnd w:id="172"/>
      <w:r>
        <w:t xml:space="preserve"> Geoscience Australia seismic lines (a) r9710005 (also known as AGSO Regional 2D seismic line 100/5) and (b) r9710003 (AGSO Regional 2D seismic line 100/3). Seismic </w:t>
      </w:r>
      <w:r w:rsidRPr="00D012C3">
        <w:t>lines showing the seismic horizons and tectonic faults interpreted in this study, as well as the general trend of the Petrel Sub-basin includ</w:t>
      </w:r>
      <w:r w:rsidR="00960530">
        <w:t xml:space="preserve">ing effects of salt </w:t>
      </w:r>
      <w:proofErr w:type="spellStart"/>
      <w:r w:rsidR="00960530">
        <w:t>diapirism</w:t>
      </w:r>
      <w:proofErr w:type="spellEnd"/>
      <w:r w:rsidR="00960530">
        <w:t xml:space="preserve">. </w:t>
      </w:r>
      <w:r w:rsidRPr="00D012C3">
        <w:t xml:space="preserve">See </w:t>
      </w:r>
      <w:r>
        <w:fldChar w:fldCharType="begin"/>
      </w:r>
      <w:r>
        <w:instrText xml:space="preserve"> REF _Ref372289121 \h </w:instrText>
      </w:r>
      <w:r>
        <w:fldChar w:fldCharType="separate"/>
      </w:r>
      <w:r w:rsidR="00F64E4F">
        <w:t xml:space="preserve">Figure </w:t>
      </w:r>
      <w:r w:rsidR="00F64E4F">
        <w:rPr>
          <w:noProof/>
        </w:rPr>
        <w:t>4</w:t>
      </w:r>
      <w:r w:rsidR="00F64E4F">
        <w:t>.</w:t>
      </w:r>
      <w:r w:rsidR="00F64E4F">
        <w:rPr>
          <w:noProof/>
        </w:rPr>
        <w:t>4</w:t>
      </w:r>
      <w:r>
        <w:fldChar w:fldCharType="end"/>
      </w:r>
      <w:r>
        <w:t xml:space="preserve"> </w:t>
      </w:r>
      <w:r w:rsidRPr="00D012C3">
        <w:t>for the location of the seismic lines.</w:t>
      </w:r>
      <w:bookmarkEnd w:id="173"/>
      <w:bookmarkEnd w:id="174"/>
      <w:bookmarkEnd w:id="175"/>
      <w:bookmarkEnd w:id="176"/>
      <w:bookmarkEnd w:id="177"/>
      <w:bookmarkEnd w:id="178"/>
      <w:bookmarkEnd w:id="179"/>
      <w:bookmarkEnd w:id="180"/>
      <w:bookmarkEnd w:id="181"/>
      <w:bookmarkEnd w:id="182"/>
    </w:p>
    <w:p w:rsidR="00AE0B1A" w:rsidRDefault="00AE0B1A" w:rsidP="00AE0B1A">
      <w:pPr>
        <w:pStyle w:val="BodyText"/>
        <w:rPr>
          <w:noProof/>
        </w:rPr>
      </w:pPr>
      <w:r>
        <w:t xml:space="preserve">The tectonic evolution </w:t>
      </w:r>
      <w:r w:rsidRPr="00C94C2F">
        <w:t xml:space="preserve">of the Petrel Sub-basin </w:t>
      </w:r>
      <w:r>
        <w:t>has previously been discussed by</w:t>
      </w:r>
      <w:r w:rsidRPr="00C94C2F">
        <w:t xml:space="preserve"> </w:t>
      </w:r>
      <w:r>
        <w:rPr>
          <w:noProof/>
        </w:rPr>
        <w:t>Mory and Beere (1988), Mory (1990, 1991), O'Brien (1993), O'Brien et al. (1995),</w:t>
      </w:r>
      <w:r w:rsidRPr="008C0265">
        <w:rPr>
          <w:noProof/>
        </w:rPr>
        <w:t xml:space="preserve"> </w:t>
      </w:r>
      <w:r>
        <w:t xml:space="preserve">Colwell and Kennard (1996), </w:t>
      </w:r>
      <w:r>
        <w:rPr>
          <w:noProof/>
        </w:rPr>
        <w:t>Lemon and Barnes (1997),</w:t>
      </w:r>
      <w:r w:rsidRPr="008C0265">
        <w:rPr>
          <w:noProof/>
        </w:rPr>
        <w:t xml:space="preserve"> </w:t>
      </w:r>
      <w:r>
        <w:rPr>
          <w:noProof/>
        </w:rPr>
        <w:t>Goncharov et al. (1999), Mildren et al. (2000),</w:t>
      </w:r>
      <w:r w:rsidRPr="008C0265">
        <w:rPr>
          <w:noProof/>
        </w:rPr>
        <w:t xml:space="preserve"> </w:t>
      </w:r>
      <w:r>
        <w:rPr>
          <w:noProof/>
        </w:rPr>
        <w:t>Keep et al. (2002), Kennard et al. (2002), Baldwin et al. (2003),</w:t>
      </w:r>
      <w:r w:rsidRPr="008C0265">
        <w:rPr>
          <w:noProof/>
        </w:rPr>
        <w:t xml:space="preserve"> </w:t>
      </w:r>
      <w:r>
        <w:rPr>
          <w:noProof/>
        </w:rPr>
        <w:t>Frankowicz and McClay (2010) and</w:t>
      </w:r>
      <w:r w:rsidRPr="008C0265">
        <w:rPr>
          <w:noProof/>
        </w:rPr>
        <w:t xml:space="preserve"> </w:t>
      </w:r>
      <w:r>
        <w:rPr>
          <w:noProof/>
        </w:rPr>
        <w:t xml:space="preserve">Bourget et al. (2012). Below, we summarise the key findings from these previous studies: </w:t>
      </w:r>
    </w:p>
    <w:p w:rsidR="003838AC" w:rsidRDefault="00AE0B1A" w:rsidP="00AE0B1A">
      <w:pPr>
        <w:pStyle w:val="Listbulletlevel1"/>
      </w:pPr>
      <w:r w:rsidRPr="00C94C2F">
        <w:t xml:space="preserve">Late Devonian to Early Carboniferous </w:t>
      </w:r>
      <w:r>
        <w:t xml:space="preserve">northwest </w:t>
      </w:r>
      <w:r w:rsidRPr="00C94C2F">
        <w:t xml:space="preserve">trending rifting related to the opening of the Neo-Tethys </w:t>
      </w:r>
      <w:r>
        <w:t xml:space="preserve">Ocean </w:t>
      </w:r>
      <w:r>
        <w:rPr>
          <w:noProof/>
        </w:rPr>
        <w:t>(Borel and Stampfli, 2002)</w:t>
      </w:r>
      <w:r w:rsidRPr="00C94C2F">
        <w:t>.</w:t>
      </w:r>
    </w:p>
    <w:p w:rsidR="00AE0B1A" w:rsidRDefault="00AE0B1A" w:rsidP="00AE0B1A">
      <w:pPr>
        <w:pStyle w:val="Listbulletlevel1"/>
      </w:pPr>
      <w:r w:rsidRPr="00C94C2F">
        <w:t>Late Triassic to Early Jurassic major north–south to north-</w:t>
      </w:r>
      <w:r>
        <w:t>northwest</w:t>
      </w:r>
      <w:r w:rsidRPr="00C94C2F">
        <w:t>–south</w:t>
      </w:r>
      <w:r>
        <w:t xml:space="preserve">-southeast compressional </w:t>
      </w:r>
      <w:r w:rsidRPr="00C94C2F">
        <w:t>Fitzroy event</w:t>
      </w:r>
      <w:r>
        <w:t xml:space="preserve">, which </w:t>
      </w:r>
      <w:r w:rsidRPr="00C94C2F">
        <w:t xml:space="preserve">reactivated faults and created a number of inversion features in the Petrel Sub-basin. This event is linked to the closure of </w:t>
      </w:r>
      <w:r>
        <w:t xml:space="preserve">the </w:t>
      </w:r>
      <w:proofErr w:type="spellStart"/>
      <w:r>
        <w:t>Pal</w:t>
      </w:r>
      <w:r w:rsidRPr="00C94C2F">
        <w:t>eo</w:t>
      </w:r>
      <w:proofErr w:type="spellEnd"/>
      <w:r w:rsidRPr="00C94C2F">
        <w:t xml:space="preserve">-Tethys </w:t>
      </w:r>
      <w:r>
        <w:rPr>
          <w:noProof/>
        </w:rPr>
        <w:t>(O'Brien, 1993; Borel and Stampfli, 2002; Kennard et al., 2002)</w:t>
      </w:r>
      <w:r>
        <w:t>.</w:t>
      </w:r>
    </w:p>
    <w:p w:rsidR="00AE0B1A" w:rsidRPr="00C94C2F" w:rsidRDefault="00AE0B1A" w:rsidP="00AE0B1A">
      <w:pPr>
        <w:pStyle w:val="Listbulletlevel1"/>
      </w:pPr>
      <w:r w:rsidRPr="00C94C2F">
        <w:t xml:space="preserve">A period of </w:t>
      </w:r>
      <w:r>
        <w:t>northwest</w:t>
      </w:r>
      <w:r w:rsidRPr="00C94C2F">
        <w:t xml:space="preserve"> directed extension associated with the break-up of </w:t>
      </w:r>
      <w:proofErr w:type="spellStart"/>
      <w:r w:rsidRPr="00C94C2F">
        <w:t>Gondwana</w:t>
      </w:r>
      <w:proofErr w:type="spellEnd"/>
      <w:r w:rsidRPr="00C94C2F">
        <w:t xml:space="preserve"> in the Middle Jurassic </w:t>
      </w:r>
      <w:r>
        <w:rPr>
          <w:noProof/>
        </w:rPr>
        <w:t>(Longely et al., 2002)</w:t>
      </w:r>
      <w:r w:rsidRPr="00C94C2F">
        <w:t>.</w:t>
      </w:r>
    </w:p>
    <w:p w:rsidR="00AE0B1A" w:rsidRPr="00C94C2F" w:rsidRDefault="00AE0B1A" w:rsidP="00AE0B1A">
      <w:pPr>
        <w:pStyle w:val="Listbulletlevel1"/>
      </w:pPr>
      <w:r>
        <w:lastRenderedPageBreak/>
        <w:t>F</w:t>
      </w:r>
      <w:r w:rsidRPr="00C94C2F">
        <w:t>ull continental breakup and cessation of rifting</w:t>
      </w:r>
      <w:r>
        <w:t xml:space="preserve"> in the </w:t>
      </w:r>
      <w:proofErr w:type="spellStart"/>
      <w:r>
        <w:t>Valanginian</w:t>
      </w:r>
      <w:proofErr w:type="spellEnd"/>
      <w:r>
        <w:t xml:space="preserve"> (Colwell and Kennard, 1996)</w:t>
      </w:r>
      <w:r w:rsidRPr="00C94C2F">
        <w:t>.</w:t>
      </w:r>
    </w:p>
    <w:p w:rsidR="00AE0B1A" w:rsidRPr="00C94C2F" w:rsidRDefault="00AE0B1A" w:rsidP="00AE0B1A">
      <w:pPr>
        <w:pStyle w:val="Listbulletlevel1"/>
      </w:pPr>
      <w:r w:rsidRPr="00C94C2F">
        <w:t xml:space="preserve">Thermal subsidence that persisted until the </w:t>
      </w:r>
      <w:proofErr w:type="spellStart"/>
      <w:r w:rsidRPr="00C94C2F">
        <w:t>Cenozoic</w:t>
      </w:r>
      <w:proofErr w:type="spellEnd"/>
      <w:r w:rsidRPr="00C94C2F">
        <w:t>.</w:t>
      </w:r>
    </w:p>
    <w:p w:rsidR="00AE0B1A" w:rsidRDefault="00AE0B1A" w:rsidP="00AE0B1A">
      <w:pPr>
        <w:pStyle w:val="Listbulletlevel1"/>
      </w:pPr>
      <w:r w:rsidRPr="00C94C2F">
        <w:t xml:space="preserve">The Miocene to Pliocene east-northeast directed collision of the Indo-Australian plate with the South East Asian </w:t>
      </w:r>
      <w:proofErr w:type="spellStart"/>
      <w:r w:rsidRPr="00C94C2F">
        <w:t>microplates</w:t>
      </w:r>
      <w:proofErr w:type="spellEnd"/>
      <w:r>
        <w:t xml:space="preserve"> that</w:t>
      </w:r>
      <w:r w:rsidRPr="00C94C2F">
        <w:t xml:space="preserve"> resulted in regional compression, def</w:t>
      </w:r>
      <w:r>
        <w:t>ormation and fault reactivation (Colwell and Kennard, 1996)</w:t>
      </w:r>
      <w:r w:rsidRPr="00C94C2F">
        <w:t>.</w:t>
      </w:r>
    </w:p>
    <w:p w:rsidR="00AE0B1A" w:rsidRPr="00C94C2F" w:rsidRDefault="00AE0B1A" w:rsidP="00AE0B1A">
      <w:pPr>
        <w:pStyle w:val="Heading2"/>
      </w:pPr>
      <w:bookmarkStart w:id="183" w:name="_Toc372790301"/>
      <w:bookmarkStart w:id="184" w:name="_Toc378252884"/>
      <w:bookmarkStart w:id="185" w:name="_Toc378253208"/>
      <w:bookmarkStart w:id="186" w:name="_Toc378253532"/>
      <w:bookmarkStart w:id="187" w:name="_Toc378253856"/>
      <w:bookmarkStart w:id="188" w:name="_Toc378254180"/>
      <w:bookmarkStart w:id="189" w:name="_Toc378254504"/>
      <w:bookmarkStart w:id="190" w:name="_Toc378254828"/>
      <w:bookmarkStart w:id="191" w:name="_Toc378255152"/>
      <w:bookmarkStart w:id="192" w:name="_Toc383758210"/>
      <w:r w:rsidRPr="006B5A62">
        <w:t>Stratigraphy</w:t>
      </w:r>
      <w:bookmarkEnd w:id="183"/>
      <w:bookmarkEnd w:id="184"/>
      <w:bookmarkEnd w:id="185"/>
      <w:bookmarkEnd w:id="186"/>
      <w:bookmarkEnd w:id="187"/>
      <w:bookmarkEnd w:id="188"/>
      <w:bookmarkEnd w:id="189"/>
      <w:bookmarkEnd w:id="190"/>
      <w:bookmarkEnd w:id="191"/>
      <w:bookmarkEnd w:id="192"/>
    </w:p>
    <w:p w:rsidR="00AE0B1A" w:rsidRPr="00C94C2F" w:rsidRDefault="00AE0B1A" w:rsidP="00AE0B1A">
      <w:pPr>
        <w:pStyle w:val="BodyText"/>
      </w:pPr>
      <w:r w:rsidRPr="00C94C2F">
        <w:t xml:space="preserve">The stratigraphy of the Petrel Sub-basin has been described by </w:t>
      </w:r>
      <w:hyperlink w:anchor="_ENREF_57" w:tooltip="Mory, 1988 #36" w:history="1">
        <w:r w:rsidRPr="00C94C2F">
          <w:rPr>
            <w:noProof/>
          </w:rPr>
          <w:t>Mory (1988</w:t>
        </w:r>
      </w:hyperlink>
      <w:r>
        <w:rPr>
          <w:noProof/>
        </w:rPr>
        <w:t>, 1991)</w:t>
      </w:r>
      <w:r w:rsidRPr="00C94C2F">
        <w:t>,</w:t>
      </w:r>
      <w:r>
        <w:t xml:space="preserve"> </w:t>
      </w:r>
      <w:hyperlink w:anchor="_ENREF_52" w:tooltip="Messent, 1994 #60" w:history="1">
        <w:r w:rsidRPr="00C94C2F">
          <w:rPr>
            <w:noProof/>
          </w:rPr>
          <w:t>Messent et al. (1994</w:t>
        </w:r>
      </w:hyperlink>
      <w:r w:rsidRPr="00C94C2F">
        <w:rPr>
          <w:noProof/>
        </w:rPr>
        <w:t xml:space="preserve">), </w:t>
      </w:r>
      <w:r>
        <w:rPr>
          <w:noProof/>
        </w:rPr>
        <w:t>Blevin et al. (1996a, 1996b)</w:t>
      </w:r>
      <w:r w:rsidRPr="00C94C2F">
        <w:rPr>
          <w:noProof/>
        </w:rPr>
        <w:t xml:space="preserve">, </w:t>
      </w:r>
      <w:r>
        <w:rPr>
          <w:noProof/>
        </w:rPr>
        <w:t>Colwell and Kennard (1996)</w:t>
      </w:r>
      <w:r w:rsidRPr="00C94C2F">
        <w:t xml:space="preserve">, </w:t>
      </w:r>
      <w:hyperlink w:anchor="_ENREF_31" w:tooltip="Gorter, 1998 #67" w:history="1">
        <w:r>
          <w:rPr>
            <w:noProof/>
          </w:rPr>
          <w:t>Gorter</w:t>
        </w:r>
        <w:r w:rsidRPr="00C94C2F">
          <w:rPr>
            <w:noProof/>
          </w:rPr>
          <w:t xml:space="preserve"> (1998</w:t>
        </w:r>
      </w:hyperlink>
      <w:r w:rsidRPr="00C94C2F">
        <w:rPr>
          <w:noProof/>
        </w:rPr>
        <w:t xml:space="preserve">), </w:t>
      </w:r>
      <w:hyperlink w:anchor="_ENREF_43" w:tooltip="Lang, 2001 #50" w:history="1">
        <w:r w:rsidRPr="00C94C2F">
          <w:rPr>
            <w:noProof/>
          </w:rPr>
          <w:t>Lang and Gibson-Poole (2001</w:t>
        </w:r>
      </w:hyperlink>
      <w:r w:rsidRPr="00C94C2F">
        <w:rPr>
          <w:noProof/>
        </w:rPr>
        <w:t xml:space="preserve">), </w:t>
      </w:r>
      <w:hyperlink w:anchor="_ENREF_14" w:tooltip="Cadman, 2004 #39" w:history="1">
        <w:r w:rsidRPr="00C94C2F">
          <w:rPr>
            <w:noProof/>
          </w:rPr>
          <w:t>Cadman and Temple (2004</w:t>
        </w:r>
      </w:hyperlink>
      <w:r w:rsidRPr="00C94C2F">
        <w:rPr>
          <w:noProof/>
        </w:rPr>
        <w:t xml:space="preserve">), </w:t>
      </w:r>
      <w:hyperlink w:anchor="_ENREF_27" w:tooltip="Gibson-Poole, 2009 #52" w:history="1">
        <w:r w:rsidRPr="00C94C2F">
          <w:rPr>
            <w:noProof/>
          </w:rPr>
          <w:t>Gibson-Poole (2009</w:t>
        </w:r>
      </w:hyperlink>
      <w:r>
        <w:rPr>
          <w:noProof/>
        </w:rPr>
        <w:t>), Gorter et al. (2009)</w:t>
      </w:r>
      <w:r w:rsidRPr="00C94C2F">
        <w:t xml:space="preserve"> </w:t>
      </w:r>
      <w:r>
        <w:t xml:space="preserve">and </w:t>
      </w:r>
      <w:r>
        <w:rPr>
          <w:noProof/>
        </w:rPr>
        <w:t>Nicoll et al. (2009).</w:t>
      </w:r>
      <w:r>
        <w:t xml:space="preserve"> </w:t>
      </w:r>
      <w:r>
        <w:fldChar w:fldCharType="begin"/>
      </w:r>
      <w:r>
        <w:instrText xml:space="preserve"> REF _Ref372289056 \h </w:instrText>
      </w:r>
      <w:r>
        <w:fldChar w:fldCharType="separate"/>
      </w:r>
      <w:r w:rsidR="00F64E4F">
        <w:t xml:space="preserve">Figure </w:t>
      </w:r>
      <w:r w:rsidR="00F64E4F">
        <w:rPr>
          <w:noProof/>
        </w:rPr>
        <w:t>2</w:t>
      </w:r>
      <w:r w:rsidR="00F64E4F">
        <w:t>.</w:t>
      </w:r>
      <w:r w:rsidR="00F64E4F">
        <w:rPr>
          <w:noProof/>
        </w:rPr>
        <w:t>2</w:t>
      </w:r>
      <w:r>
        <w:fldChar w:fldCharType="end"/>
      </w:r>
      <w:r>
        <w:t xml:space="preserve"> is a culmination of the findings from these studies and shows the major stratigraphic units and tectonic phases that have dominated the evolution of the sub-basin and the distribution of major reservoir and sealing units.</w:t>
      </w:r>
    </w:p>
    <w:p w:rsidR="00AE0B1A" w:rsidRPr="00C94C2F" w:rsidRDefault="00AE0B1A" w:rsidP="003838AC">
      <w:pPr>
        <w:pStyle w:val="BodyText-01"/>
      </w:pPr>
      <w:r w:rsidRPr="00C94C2F">
        <w:t xml:space="preserve">There is a regional </w:t>
      </w:r>
      <w:r>
        <w:t>northwest</w:t>
      </w:r>
      <w:r w:rsidRPr="00C94C2F">
        <w:t xml:space="preserve"> dip due to the </w:t>
      </w:r>
      <w:r>
        <w:t>northwest</w:t>
      </w:r>
      <w:r w:rsidRPr="00C94C2F">
        <w:t xml:space="preserve"> plunging synclinal ax</w:t>
      </w:r>
      <w:r>
        <w:t>is (</w:t>
      </w:r>
      <w:r>
        <w:fldChar w:fldCharType="begin"/>
      </w:r>
      <w:r>
        <w:instrText xml:space="preserve"> REF _Ref372289106 \h </w:instrText>
      </w:r>
      <w:r>
        <w:fldChar w:fldCharType="separate"/>
      </w:r>
      <w:r w:rsidR="00F64E4F">
        <w:t xml:space="preserve">Figure </w:t>
      </w:r>
      <w:r w:rsidR="00F64E4F">
        <w:rPr>
          <w:noProof/>
        </w:rPr>
        <w:t>2</w:t>
      </w:r>
      <w:r w:rsidR="00F64E4F">
        <w:t>.</w:t>
      </w:r>
      <w:r w:rsidR="00F64E4F">
        <w:rPr>
          <w:noProof/>
        </w:rPr>
        <w:t>4</w:t>
      </w:r>
      <w:r>
        <w:fldChar w:fldCharType="end"/>
      </w:r>
      <w:r>
        <w:t>)</w:t>
      </w:r>
      <w:r w:rsidRPr="00C94C2F">
        <w:t xml:space="preserve">. The sub-basin contains up to 15 km of </w:t>
      </w:r>
      <w:proofErr w:type="spellStart"/>
      <w:r w:rsidRPr="00C94C2F">
        <w:t>Paleozoic</w:t>
      </w:r>
      <w:proofErr w:type="spellEnd"/>
      <w:r w:rsidRPr="00C94C2F">
        <w:t xml:space="preserve"> to Mesozoic sediments</w:t>
      </w:r>
      <w:r>
        <w:t>, which thicken towards the northwest</w:t>
      </w:r>
      <w:r w:rsidRPr="00C94C2F">
        <w:t xml:space="preserve">, with a </w:t>
      </w:r>
      <w:r>
        <w:t xml:space="preserve">relatively </w:t>
      </w:r>
      <w:r w:rsidRPr="00C94C2F">
        <w:t xml:space="preserve">thin </w:t>
      </w:r>
      <w:r>
        <w:t xml:space="preserve">(several hundred metres) </w:t>
      </w:r>
      <w:r w:rsidRPr="00C94C2F">
        <w:t xml:space="preserve">veneer of </w:t>
      </w:r>
      <w:proofErr w:type="spellStart"/>
      <w:r w:rsidRPr="00C94C2F">
        <w:t>Cenozoic</w:t>
      </w:r>
      <w:proofErr w:type="spellEnd"/>
      <w:r w:rsidRPr="00C94C2F">
        <w:t xml:space="preserve"> sediments. </w:t>
      </w:r>
      <w:r>
        <w:t xml:space="preserve">The oldest units identified in the offshore Bonaparte Basin are Late Devonian, although according to </w:t>
      </w:r>
      <w:proofErr w:type="spellStart"/>
      <w:r>
        <w:t>Mory</w:t>
      </w:r>
      <w:proofErr w:type="spellEnd"/>
      <w:r>
        <w:t xml:space="preserve"> (1991) Cambrian volcanic and sedimentary rocks are present onshore and probably extend offshore. T</w:t>
      </w:r>
      <w:r w:rsidRPr="00C94C2F">
        <w:t>hick ev</w:t>
      </w:r>
      <w:r>
        <w:t>aporate sequences were</w:t>
      </w:r>
      <w:r w:rsidRPr="00C94C2F">
        <w:t xml:space="preserve"> deposited from the Late </w:t>
      </w:r>
      <w:r>
        <w:t>Ordovician</w:t>
      </w:r>
      <w:r w:rsidRPr="00C94C2F">
        <w:t xml:space="preserve"> to Early </w:t>
      </w:r>
      <w:r>
        <w:t>Silurian,</w:t>
      </w:r>
      <w:r w:rsidRPr="00C94C2F">
        <w:t xml:space="preserve"> which </w:t>
      </w:r>
      <w:r>
        <w:t>were</w:t>
      </w:r>
      <w:r w:rsidRPr="00C94C2F">
        <w:t xml:space="preserve"> subsequently mobilised throughout the Phanerozoic resulting in </w:t>
      </w:r>
      <w:r>
        <w:t>several</w:t>
      </w:r>
      <w:r w:rsidRPr="00C94C2F">
        <w:t xml:space="preserve"> salt-induced structures and salt-withdrawal features.</w:t>
      </w:r>
    </w:p>
    <w:p w:rsidR="00AE0B1A" w:rsidRPr="00C94C2F" w:rsidRDefault="00AE0B1A" w:rsidP="003838AC">
      <w:pPr>
        <w:pStyle w:val="BodyText"/>
      </w:pPr>
      <w:r w:rsidRPr="00C94C2F">
        <w:t xml:space="preserve">Significant deposition occurred during </w:t>
      </w:r>
      <w:r>
        <w:t xml:space="preserve">the </w:t>
      </w:r>
      <w:proofErr w:type="spellStart"/>
      <w:r w:rsidRPr="00C94C2F">
        <w:t>Paleozoic</w:t>
      </w:r>
      <w:proofErr w:type="spellEnd"/>
      <w:r w:rsidRPr="00C94C2F">
        <w:t xml:space="preserve"> </w:t>
      </w:r>
      <w:r>
        <w:t xml:space="preserve">as a result of regional </w:t>
      </w:r>
      <w:r w:rsidRPr="00C94C2F">
        <w:t xml:space="preserve">extension and subsequent subsidence. </w:t>
      </w:r>
      <w:r>
        <w:t>F</w:t>
      </w:r>
      <w:r w:rsidRPr="00C94C2F">
        <w:t>ine-grained cl</w:t>
      </w:r>
      <w:r>
        <w:t xml:space="preserve">astic and carbonate sediments </w:t>
      </w:r>
      <w:r w:rsidRPr="00C94C2F">
        <w:t>were deposited in a shallow marine to non-marine setting during Late Devonian rifting</w:t>
      </w:r>
      <w:r w:rsidRPr="0095407D">
        <w:t xml:space="preserve"> </w:t>
      </w:r>
      <w:r>
        <w:t xml:space="preserve">forming the Cockatoo, </w:t>
      </w:r>
      <w:proofErr w:type="spellStart"/>
      <w:r>
        <w:t>N</w:t>
      </w:r>
      <w:r w:rsidRPr="00C94C2F">
        <w:t>ingbing</w:t>
      </w:r>
      <w:proofErr w:type="spellEnd"/>
      <w:r>
        <w:t xml:space="preserve"> and </w:t>
      </w:r>
      <w:proofErr w:type="spellStart"/>
      <w:r>
        <w:t>Langfield</w:t>
      </w:r>
      <w:proofErr w:type="spellEnd"/>
      <w:r>
        <w:t xml:space="preserve"> groups. </w:t>
      </w:r>
      <w:r w:rsidRPr="00C94C2F">
        <w:t>Throughout the Carboniferous, post-rift subsidence resulted in the deposition of thick sequences of marine,</w:t>
      </w:r>
      <w:r>
        <w:t xml:space="preserve"> fluvial and deltaic sediments, defined as the </w:t>
      </w:r>
      <w:proofErr w:type="spellStart"/>
      <w:r w:rsidRPr="00C94C2F">
        <w:t>Weaber</w:t>
      </w:r>
      <w:proofErr w:type="spellEnd"/>
      <w:r w:rsidRPr="00C94C2F">
        <w:t xml:space="preserve"> and Wadeye groups. Late Carboniferous to Early Permian sediments were deposited</w:t>
      </w:r>
      <w:r>
        <w:t xml:space="preserve"> during</w:t>
      </w:r>
      <w:r w:rsidRPr="00C94C2F">
        <w:t xml:space="preserve"> a largely sag-dominated regressive cycle</w:t>
      </w:r>
      <w:r>
        <w:t xml:space="preserve"> and </w:t>
      </w:r>
      <w:r w:rsidRPr="00C94C2F">
        <w:t>compris</w:t>
      </w:r>
      <w:r>
        <w:t>ed</w:t>
      </w:r>
      <w:r w:rsidRPr="00C94C2F">
        <w:t xml:space="preserve"> thick, shallow marine, deltaic, and fluvial sediments of the </w:t>
      </w:r>
      <w:proofErr w:type="spellStart"/>
      <w:r w:rsidRPr="00C94C2F">
        <w:t>Kulshill</w:t>
      </w:r>
      <w:proofErr w:type="spellEnd"/>
      <w:r w:rsidRPr="00C94C2F">
        <w:t xml:space="preserve"> Group. In the Permian, thick transgressive sequences of marine mudstones and siltstones were deposited in a tidal shelf environment that was succeeded by shallow marine sandstones, mudstones, and carbonates </w:t>
      </w:r>
      <w:r>
        <w:t xml:space="preserve">of the </w:t>
      </w:r>
      <w:proofErr w:type="spellStart"/>
      <w:r w:rsidRPr="00C94C2F">
        <w:t>Kinmore</w:t>
      </w:r>
      <w:proofErr w:type="spellEnd"/>
      <w:r w:rsidRPr="00C94C2F">
        <w:t xml:space="preserve"> Group. The upper formation of the </w:t>
      </w:r>
      <w:proofErr w:type="spellStart"/>
      <w:r w:rsidRPr="00C94C2F">
        <w:t>Kinmore</w:t>
      </w:r>
      <w:proofErr w:type="spellEnd"/>
      <w:r w:rsidRPr="00C94C2F">
        <w:t xml:space="preserve"> Group is represented by a succession of transgressive marine shales and siltstones. </w:t>
      </w:r>
      <w:r>
        <w:t xml:space="preserve">The mudstones of the </w:t>
      </w:r>
      <w:proofErr w:type="spellStart"/>
      <w:r>
        <w:t>Kinmore</w:t>
      </w:r>
      <w:proofErr w:type="spellEnd"/>
      <w:r>
        <w:t xml:space="preserve"> Group form an extensive seal across the region that separates the </w:t>
      </w:r>
      <w:proofErr w:type="spellStart"/>
      <w:r>
        <w:t>Paleozoic</w:t>
      </w:r>
      <w:proofErr w:type="spellEnd"/>
      <w:r>
        <w:t xml:space="preserve"> and Mesozoic stratigraphic sequences in the Petrel Sub-basin.</w:t>
      </w:r>
    </w:p>
    <w:p w:rsidR="00AE0B1A" w:rsidRDefault="00AE0B1A" w:rsidP="003838AC">
      <w:pPr>
        <w:pStyle w:val="BodyText-01"/>
      </w:pPr>
      <w:r w:rsidRPr="00C94C2F">
        <w:t xml:space="preserve">A regressive sequence of deltaic to fluvial sediments </w:t>
      </w:r>
      <w:r>
        <w:t xml:space="preserve">defined as the </w:t>
      </w:r>
      <w:proofErr w:type="spellStart"/>
      <w:r w:rsidRPr="00C94C2F">
        <w:t>Troughton</w:t>
      </w:r>
      <w:proofErr w:type="spellEnd"/>
      <w:r w:rsidRPr="00C94C2F">
        <w:t xml:space="preserve"> Group was deposited across the s</w:t>
      </w:r>
      <w:r>
        <w:t>ub-basin in the Early Triassic</w:t>
      </w:r>
      <w:r w:rsidRPr="00C94C2F">
        <w:t xml:space="preserve">. </w:t>
      </w:r>
      <w:r>
        <w:t>A</w:t>
      </w:r>
      <w:r w:rsidRPr="00C94C2F">
        <w:t xml:space="preserve"> Lat</w:t>
      </w:r>
      <w:r>
        <w:t xml:space="preserve">e Triassic compressional event, the </w:t>
      </w:r>
      <w:r w:rsidRPr="00C94C2F">
        <w:t>Fitzroy Movement</w:t>
      </w:r>
      <w:r>
        <w:t>,</w:t>
      </w:r>
      <w:r w:rsidRPr="00C94C2F">
        <w:t xml:space="preserve"> resulted in a major erosional event across the southern margins of the Petrel Sub-basin. The deposition of Upper Triassic to Lower Jurassic </w:t>
      </w:r>
      <w:proofErr w:type="spellStart"/>
      <w:r w:rsidRPr="00C94C2F">
        <w:t>fluvio</w:t>
      </w:r>
      <w:proofErr w:type="spellEnd"/>
      <w:r w:rsidRPr="00C94C2F">
        <w:t>-deltaic sediments and localised</w:t>
      </w:r>
      <w:r>
        <w:t xml:space="preserve"> red beds of the </w:t>
      </w:r>
      <w:proofErr w:type="spellStart"/>
      <w:r>
        <w:t>Troughton</w:t>
      </w:r>
      <w:proofErr w:type="spellEnd"/>
      <w:r>
        <w:t xml:space="preserve"> Group formed after</w:t>
      </w:r>
      <w:r w:rsidRPr="00C94C2F">
        <w:t xml:space="preserve"> this widespread tectonic event. Middle Jurassic sediments</w:t>
      </w:r>
      <w:r>
        <w:t xml:space="preserve"> of the </w:t>
      </w:r>
      <w:proofErr w:type="spellStart"/>
      <w:r>
        <w:t>Troughton</w:t>
      </w:r>
      <w:proofErr w:type="spellEnd"/>
      <w:r>
        <w:t xml:space="preserve"> Group</w:t>
      </w:r>
      <w:r w:rsidRPr="00C94C2F">
        <w:t xml:space="preserve"> were deposited as a series of</w:t>
      </w:r>
      <w:r>
        <w:t xml:space="preserve"> fluvial and deltaic sediments, </w:t>
      </w:r>
      <w:r w:rsidRPr="00C94C2F">
        <w:t>with increasing shallow marine influence</w:t>
      </w:r>
      <w:r>
        <w:t xml:space="preserve">. </w:t>
      </w:r>
      <w:r w:rsidRPr="00C94C2F">
        <w:t xml:space="preserve">The </w:t>
      </w:r>
      <w:proofErr w:type="spellStart"/>
      <w:r w:rsidRPr="00C94C2F">
        <w:t>Callovian</w:t>
      </w:r>
      <w:proofErr w:type="spellEnd"/>
      <w:r w:rsidRPr="00C94C2F">
        <w:t xml:space="preserve"> unconformity, which represents the initiation of the Mesozoic extensional regime, is preserved as a</w:t>
      </w:r>
      <w:r>
        <w:t>n</w:t>
      </w:r>
      <w:r w:rsidRPr="00C94C2F">
        <w:t xml:space="preserve"> </w:t>
      </w:r>
      <w:r>
        <w:t>un</w:t>
      </w:r>
      <w:r w:rsidRPr="00C94C2F">
        <w:t xml:space="preserve">conformity between the </w:t>
      </w:r>
      <w:proofErr w:type="spellStart"/>
      <w:r>
        <w:t>Troughton</w:t>
      </w:r>
      <w:proofErr w:type="spellEnd"/>
      <w:r>
        <w:t xml:space="preserve"> and Flamingo groups</w:t>
      </w:r>
      <w:r w:rsidRPr="00C94C2F">
        <w:t>.</w:t>
      </w:r>
      <w:r>
        <w:t xml:space="preserve"> The sediments of the Flamingo Group accumulated after the </w:t>
      </w:r>
      <w:proofErr w:type="spellStart"/>
      <w:r>
        <w:t>Callovian</w:t>
      </w:r>
      <w:proofErr w:type="spellEnd"/>
      <w:r>
        <w:t xml:space="preserve"> event. B</w:t>
      </w:r>
      <w:r w:rsidRPr="00C94C2F">
        <w:t xml:space="preserve">asin-wide subsidence </w:t>
      </w:r>
      <w:r>
        <w:t>resulted in deposition of a sequence of deepening sediments, from fluvial-shallow marine f</w:t>
      </w:r>
      <w:r w:rsidRPr="00C94C2F">
        <w:t>ine- to coarse-grained clastic s</w:t>
      </w:r>
      <w:r>
        <w:t>ediments in the lower units to predominantly open marine mudstones in the upper units.</w:t>
      </w:r>
    </w:p>
    <w:p w:rsidR="00AE0B1A" w:rsidRPr="00C94C2F" w:rsidRDefault="00AE0B1A" w:rsidP="00AE0B1A">
      <w:pPr>
        <w:pStyle w:val="BodyText"/>
      </w:pPr>
      <w:r>
        <w:lastRenderedPageBreak/>
        <w:t>The sand-rich lower Flamingo Group (</w:t>
      </w:r>
      <w:proofErr w:type="spellStart"/>
      <w:r>
        <w:t>Elang</w:t>
      </w:r>
      <w:proofErr w:type="spellEnd"/>
      <w:r>
        <w:t xml:space="preserve"> Formation), collectively with the </w:t>
      </w:r>
      <w:proofErr w:type="spellStart"/>
      <w:r>
        <w:t>Troughton</w:t>
      </w:r>
      <w:proofErr w:type="spellEnd"/>
      <w:r>
        <w:t xml:space="preserve"> Group sandstones (Plover Formation) form the major </w:t>
      </w:r>
      <w:r w:rsidRPr="003E7003">
        <w:t>CO</w:t>
      </w:r>
      <w:r w:rsidRPr="009D5B2E">
        <w:rPr>
          <w:rStyle w:val="Subscript"/>
        </w:rPr>
        <w:t>2</w:t>
      </w:r>
      <w:r>
        <w:t xml:space="preserve"> storage reservoir for this study and are sealed by the mudstones of the upper Flamingo Group (Frigate Shale). The uppermost sequence of the Flamingo Group (Sandpiper Sandstone) represents a shallowing marine environment and resulted in the </w:t>
      </w:r>
      <w:r w:rsidRPr="00C94C2F">
        <w:t>deposit</w:t>
      </w:r>
      <w:r>
        <w:t>ion</w:t>
      </w:r>
      <w:r w:rsidRPr="00C94C2F">
        <w:t xml:space="preserve"> </w:t>
      </w:r>
      <w:r>
        <w:t>of</w:t>
      </w:r>
      <w:r w:rsidRPr="00C94C2F">
        <w:t xml:space="preserve"> fluvial to </w:t>
      </w:r>
      <w:proofErr w:type="spellStart"/>
      <w:r>
        <w:t>shoreface</w:t>
      </w:r>
      <w:proofErr w:type="spellEnd"/>
      <w:r w:rsidRPr="00C94C2F">
        <w:t xml:space="preserve"> environments</w:t>
      </w:r>
      <w:r>
        <w:t xml:space="preserve"> and forms the second reservoir of this study</w:t>
      </w:r>
      <w:r w:rsidRPr="00C94C2F">
        <w:t xml:space="preserve">. The cessation of the extensional event is marked by the </w:t>
      </w:r>
      <w:proofErr w:type="spellStart"/>
      <w:r w:rsidRPr="00C94C2F">
        <w:t>Valanginian</w:t>
      </w:r>
      <w:proofErr w:type="spellEnd"/>
      <w:r w:rsidRPr="00C94C2F">
        <w:t xml:space="preserve"> </w:t>
      </w:r>
      <w:r>
        <w:t>un</w:t>
      </w:r>
      <w:r w:rsidRPr="00C94C2F">
        <w:t>conformity and the deposition of fine-g</w:t>
      </w:r>
      <w:r>
        <w:t xml:space="preserve">rained </w:t>
      </w:r>
      <w:proofErr w:type="spellStart"/>
      <w:r>
        <w:t>clastics</w:t>
      </w:r>
      <w:proofErr w:type="spellEnd"/>
      <w:r>
        <w:t xml:space="preserve"> and carbonates. Collectively these sediments are defined as the Bathurst Island Group. These sediments were deposited after a</w:t>
      </w:r>
      <w:r w:rsidRPr="00C94C2F">
        <w:t xml:space="preserve"> widespread marine transgression over the Petrel Sub-basin. The </w:t>
      </w:r>
      <w:proofErr w:type="spellStart"/>
      <w:r w:rsidRPr="00C94C2F">
        <w:t>Paleocene</w:t>
      </w:r>
      <w:proofErr w:type="spellEnd"/>
      <w:r w:rsidRPr="00C94C2F">
        <w:t xml:space="preserve"> to Pliocene was dominated by </w:t>
      </w:r>
      <w:proofErr w:type="spellStart"/>
      <w:r w:rsidRPr="00C94C2F">
        <w:t>progradational</w:t>
      </w:r>
      <w:proofErr w:type="spellEnd"/>
      <w:r w:rsidRPr="00C94C2F">
        <w:t xml:space="preserve"> carbonates </w:t>
      </w:r>
      <w:r>
        <w:t>that were</w:t>
      </w:r>
      <w:r w:rsidRPr="00C94C2F">
        <w:t xml:space="preserve"> succeeded by fine-grained </w:t>
      </w:r>
      <w:proofErr w:type="spellStart"/>
      <w:r w:rsidRPr="00C94C2F">
        <w:t>clastics</w:t>
      </w:r>
      <w:proofErr w:type="spellEnd"/>
      <w:r w:rsidRPr="00C94C2F">
        <w:t xml:space="preserve"> and carbonates deposited </w:t>
      </w:r>
      <w:r>
        <w:t>in a passive continental margin setting.</w:t>
      </w:r>
    </w:p>
    <w:p w:rsidR="00AE0B1A" w:rsidRPr="00C94C2F" w:rsidRDefault="00AE0B1A" w:rsidP="00AE0B1A">
      <w:pPr>
        <w:pStyle w:val="Heading2"/>
      </w:pPr>
      <w:bookmarkStart w:id="193" w:name="_Toc372790302"/>
      <w:bookmarkStart w:id="194" w:name="_Toc378252885"/>
      <w:bookmarkStart w:id="195" w:name="_Toc378253209"/>
      <w:bookmarkStart w:id="196" w:name="_Toc378253533"/>
      <w:bookmarkStart w:id="197" w:name="_Toc378253857"/>
      <w:bookmarkStart w:id="198" w:name="_Toc378254181"/>
      <w:bookmarkStart w:id="199" w:name="_Toc378254505"/>
      <w:bookmarkStart w:id="200" w:name="_Toc378254829"/>
      <w:bookmarkStart w:id="201" w:name="_Toc378255153"/>
      <w:bookmarkStart w:id="202" w:name="_Toc383758211"/>
      <w:r w:rsidRPr="006B5A62">
        <w:t>Petroleum</w:t>
      </w:r>
      <w:r>
        <w:t xml:space="preserve"> Potential</w:t>
      </w:r>
      <w:bookmarkEnd w:id="193"/>
      <w:bookmarkEnd w:id="194"/>
      <w:bookmarkEnd w:id="195"/>
      <w:bookmarkEnd w:id="196"/>
      <w:bookmarkEnd w:id="197"/>
      <w:bookmarkEnd w:id="198"/>
      <w:bookmarkEnd w:id="199"/>
      <w:bookmarkEnd w:id="200"/>
      <w:bookmarkEnd w:id="201"/>
      <w:bookmarkEnd w:id="202"/>
    </w:p>
    <w:p w:rsidR="00AE0B1A" w:rsidRDefault="00AE0B1A" w:rsidP="00AE0B1A">
      <w:pPr>
        <w:pStyle w:val="BodyText"/>
      </w:pPr>
      <w:r>
        <w:t>An understanding of the</w:t>
      </w:r>
      <w:r w:rsidRPr="00C94C2F">
        <w:t xml:space="preserve"> hydrocarbon history of the </w:t>
      </w:r>
      <w:r>
        <w:t>Petrel S</w:t>
      </w:r>
      <w:r w:rsidRPr="00C94C2F">
        <w:t xml:space="preserve">ub-basin is </w:t>
      </w:r>
      <w:r>
        <w:t>important for</w:t>
      </w:r>
      <w:r w:rsidRPr="00C94C2F">
        <w:t xml:space="preserve"> assessing the potential for CO</w:t>
      </w:r>
      <w:r w:rsidRPr="009D5B2E">
        <w:rPr>
          <w:rStyle w:val="Subscript"/>
        </w:rPr>
        <w:t>2</w:t>
      </w:r>
      <w:r w:rsidRPr="00C94C2F">
        <w:t xml:space="preserve"> storage</w:t>
      </w:r>
      <w:r>
        <w:t xml:space="preserve"> because it </w:t>
      </w:r>
      <w:r w:rsidRPr="00C94C2F">
        <w:t>provid</w:t>
      </w:r>
      <w:r>
        <w:t>es</w:t>
      </w:r>
      <w:r w:rsidRPr="00C94C2F">
        <w:t xml:space="preserve"> insight</w:t>
      </w:r>
      <w:r>
        <w:t>s</w:t>
      </w:r>
      <w:r w:rsidRPr="00C94C2F">
        <w:t xml:space="preserve"> into prospective formations for storage and capacity </w:t>
      </w:r>
      <w:r>
        <w:t xml:space="preserve">of the associated </w:t>
      </w:r>
      <w:r w:rsidRPr="00C94C2F">
        <w:t>seal</w:t>
      </w:r>
      <w:r>
        <w:t>s</w:t>
      </w:r>
      <w:r w:rsidRPr="00C94C2F">
        <w:t>.</w:t>
      </w:r>
      <w:r>
        <w:t xml:space="preserve"> </w:t>
      </w:r>
    </w:p>
    <w:p w:rsidR="00AE0B1A" w:rsidRDefault="00AE0B1A" w:rsidP="00AE0B1A">
      <w:pPr>
        <w:pStyle w:val="BodyText"/>
      </w:pPr>
      <w:r w:rsidRPr="00C94C2F">
        <w:t>The Petrel Sub-basin is an established petroleum province</w:t>
      </w:r>
      <w:r>
        <w:t>. O</w:t>
      </w:r>
      <w:r w:rsidRPr="00C94C2F">
        <w:t xml:space="preserve">ffshore there are a </w:t>
      </w:r>
      <w:r>
        <w:t>several</w:t>
      </w:r>
      <w:r w:rsidRPr="00C94C2F">
        <w:t xml:space="preserve"> gas discoveries including the Petrel, Tern, Frigate and </w:t>
      </w:r>
      <w:proofErr w:type="spellStart"/>
      <w:r w:rsidRPr="00C94C2F">
        <w:t>Blacktip</w:t>
      </w:r>
      <w:proofErr w:type="spellEnd"/>
      <w:r w:rsidRPr="00C94C2F">
        <w:t xml:space="preserve"> gas fields and the </w:t>
      </w:r>
      <w:proofErr w:type="spellStart"/>
      <w:r w:rsidRPr="00C94C2F">
        <w:t>Fishburn</w:t>
      </w:r>
      <w:proofErr w:type="spellEnd"/>
      <w:r w:rsidRPr="00C94C2F">
        <w:t xml:space="preserve"> 1, </w:t>
      </w:r>
      <w:proofErr w:type="spellStart"/>
      <w:r w:rsidRPr="00C94C2F">
        <w:t>Polkadot</w:t>
      </w:r>
      <w:proofErr w:type="spellEnd"/>
      <w:r w:rsidRPr="00C94C2F">
        <w:t xml:space="preserve"> 1 and Penguin 1 </w:t>
      </w:r>
      <w:r w:rsidRPr="00DE0603">
        <w:t>wells (</w:t>
      </w:r>
      <w:r>
        <w:fldChar w:fldCharType="begin"/>
      </w:r>
      <w:r>
        <w:instrText xml:space="preserve"> REF _Ref372289056 \h </w:instrText>
      </w:r>
      <w:r>
        <w:fldChar w:fldCharType="separate"/>
      </w:r>
      <w:r w:rsidR="00F64E4F">
        <w:t xml:space="preserve">Figure </w:t>
      </w:r>
      <w:r w:rsidR="00F64E4F">
        <w:rPr>
          <w:noProof/>
        </w:rPr>
        <w:t>2</w:t>
      </w:r>
      <w:r w:rsidR="00F64E4F">
        <w:t>.</w:t>
      </w:r>
      <w:r w:rsidR="00F64E4F">
        <w:rPr>
          <w:noProof/>
        </w:rPr>
        <w:t>2</w:t>
      </w:r>
      <w:r>
        <w:fldChar w:fldCharType="end"/>
      </w:r>
      <w:r>
        <w:t xml:space="preserve">; </w:t>
      </w:r>
      <w:r>
        <w:fldChar w:fldCharType="begin"/>
      </w:r>
      <w:r>
        <w:instrText xml:space="preserve"> REF _Ref372897813 \h </w:instrText>
      </w:r>
      <w:r>
        <w:fldChar w:fldCharType="separate"/>
      </w:r>
      <w:r w:rsidR="00F64E4F" w:rsidRPr="00531087">
        <w:t xml:space="preserve">Figure </w:t>
      </w:r>
      <w:r w:rsidR="00F64E4F">
        <w:rPr>
          <w:noProof/>
        </w:rPr>
        <w:t>2</w:t>
      </w:r>
      <w:r w:rsidR="00F64E4F">
        <w:t>.</w:t>
      </w:r>
      <w:r w:rsidR="00F64E4F">
        <w:rPr>
          <w:noProof/>
        </w:rPr>
        <w:t>5</w:t>
      </w:r>
      <w:r>
        <w:fldChar w:fldCharType="end"/>
      </w:r>
      <w:r w:rsidRPr="00DE0603">
        <w:t>).</w:t>
      </w:r>
      <w:r w:rsidRPr="00C94C2F" w:rsidDel="00591E2C">
        <w:t xml:space="preserve"> </w:t>
      </w:r>
      <w:r w:rsidRPr="00C94C2F">
        <w:t xml:space="preserve">There are also significant oil accumulations identified in </w:t>
      </w:r>
      <w:r>
        <w:t xml:space="preserve">the south of the offshore Petrel Sub-basin. </w:t>
      </w:r>
      <w:r w:rsidRPr="00C94C2F">
        <w:t xml:space="preserve">Currently, the </w:t>
      </w:r>
      <w:proofErr w:type="spellStart"/>
      <w:r w:rsidRPr="00C94C2F">
        <w:t>Blacktip</w:t>
      </w:r>
      <w:proofErr w:type="spellEnd"/>
      <w:r w:rsidRPr="00C94C2F">
        <w:t xml:space="preserve"> gas field is the </w:t>
      </w:r>
      <w:r>
        <w:t>only operating field.</w:t>
      </w:r>
    </w:p>
    <w:p w:rsidR="00AE0B1A" w:rsidRDefault="00AE0B1A" w:rsidP="00AE0B1A">
      <w:pPr>
        <w:pStyle w:val="BodyText"/>
      </w:pPr>
      <w:r w:rsidRPr="00C94C2F">
        <w:t xml:space="preserve">The petroleum potential of the Bonaparte Basin, including the Petrel Sub-basin, has been </w:t>
      </w:r>
      <w:r>
        <w:t>the subject of many detailed studies (</w:t>
      </w:r>
      <w:proofErr w:type="spellStart"/>
      <w:r>
        <w:rPr>
          <w:noProof/>
        </w:rPr>
        <w:t>Loutit</w:t>
      </w:r>
      <w:proofErr w:type="spellEnd"/>
      <w:r>
        <w:rPr>
          <w:noProof/>
        </w:rPr>
        <w:t xml:space="preserve"> et al., 1996; McConachie et al., 1996; Colwell and Kennard, 1996; Miyazaki, 1997; Kennard et al., 2002; Barrett et al., 2003; Cadman and Temple, 2004; and Zhixin et al., 2012)</w:t>
      </w:r>
      <w:r w:rsidRPr="00C94C2F">
        <w:t xml:space="preserve">. </w:t>
      </w:r>
      <w:r>
        <w:t>These studies have revealed that, t</w:t>
      </w:r>
      <w:r w:rsidRPr="00C94C2F">
        <w:t>o date, all significant accumulations of hydrocarbons are restricted to two active petroleum systems</w:t>
      </w:r>
      <w:r>
        <w:t xml:space="preserve">: The Hyland Bay / </w:t>
      </w:r>
      <w:proofErr w:type="spellStart"/>
      <w:r w:rsidRPr="00C94C2F">
        <w:t>Keyling</w:t>
      </w:r>
      <w:proofErr w:type="spellEnd"/>
      <w:r w:rsidRPr="00C94C2F">
        <w:t xml:space="preserve">-Hyland Bay </w:t>
      </w:r>
      <w:r>
        <w:t>petroleum system</w:t>
      </w:r>
      <w:r w:rsidRPr="00C94C2F">
        <w:t xml:space="preserve"> </w:t>
      </w:r>
      <w:r>
        <w:t xml:space="preserve">of the </w:t>
      </w:r>
      <w:proofErr w:type="spellStart"/>
      <w:r>
        <w:t>Kulshill</w:t>
      </w:r>
      <w:proofErr w:type="spellEnd"/>
      <w:r>
        <w:t xml:space="preserve"> and </w:t>
      </w:r>
      <w:proofErr w:type="spellStart"/>
      <w:r>
        <w:t>Kinmore</w:t>
      </w:r>
      <w:proofErr w:type="spellEnd"/>
      <w:r>
        <w:t xml:space="preserve"> groups, which occurs in the central Petrel Sub-basin, and the </w:t>
      </w:r>
      <w:proofErr w:type="spellStart"/>
      <w:r>
        <w:t>Milligans-Kuriyippi</w:t>
      </w:r>
      <w:proofErr w:type="spellEnd"/>
      <w:r>
        <w:t xml:space="preserve"> / </w:t>
      </w:r>
      <w:proofErr w:type="spellStart"/>
      <w:r w:rsidRPr="00C94C2F">
        <w:t>Milligans</w:t>
      </w:r>
      <w:proofErr w:type="spellEnd"/>
      <w:r w:rsidRPr="00C94C2F">
        <w:t xml:space="preserve"> </w:t>
      </w:r>
      <w:r>
        <w:t>petroleum system</w:t>
      </w:r>
      <w:r w:rsidRPr="00C94C2F">
        <w:t xml:space="preserve"> </w:t>
      </w:r>
      <w:r>
        <w:t xml:space="preserve">of the </w:t>
      </w:r>
      <w:proofErr w:type="spellStart"/>
      <w:r>
        <w:t>Weaber</w:t>
      </w:r>
      <w:proofErr w:type="spellEnd"/>
      <w:r>
        <w:t xml:space="preserve"> Group, which occurs in the southern Petrel Sub-basin</w:t>
      </w:r>
      <w:r>
        <w:rPr>
          <w:noProof/>
        </w:rPr>
        <w:t>. Below, we discuss t</w:t>
      </w:r>
      <w:r>
        <w:t xml:space="preserve">he Hyland Bay / </w:t>
      </w:r>
      <w:proofErr w:type="spellStart"/>
      <w:r w:rsidRPr="00C94C2F">
        <w:t>Keyling</w:t>
      </w:r>
      <w:proofErr w:type="spellEnd"/>
      <w:r w:rsidRPr="00C94C2F">
        <w:t xml:space="preserve">-Hyland Bay </w:t>
      </w:r>
      <w:r>
        <w:t>petroleum system</w:t>
      </w:r>
      <w:r w:rsidRPr="00C94C2F">
        <w:t xml:space="preserve"> </w:t>
      </w:r>
      <w:r>
        <w:t xml:space="preserve">as it is most relevant to this study. </w:t>
      </w:r>
    </w:p>
    <w:p w:rsidR="00AE0B1A" w:rsidRPr="00C94C2F" w:rsidRDefault="00AE0B1A" w:rsidP="00AE0B1A">
      <w:pPr>
        <w:pStyle w:val="BodyText"/>
      </w:pPr>
      <w:r>
        <w:t xml:space="preserve">Petroleum system </w:t>
      </w:r>
      <w:r w:rsidRPr="00C94C2F">
        <w:t>modelling</w:t>
      </w:r>
      <w:r>
        <w:t xml:space="preserve"> by </w:t>
      </w:r>
      <w:r>
        <w:rPr>
          <w:noProof/>
        </w:rPr>
        <w:t xml:space="preserve">Kennard et al. (2002) </w:t>
      </w:r>
      <w:r>
        <w:t>indicates that gas expulsion from the Early</w:t>
      </w:r>
      <w:r w:rsidRPr="00C94C2F">
        <w:t xml:space="preserve"> Permian </w:t>
      </w:r>
      <w:proofErr w:type="spellStart"/>
      <w:r w:rsidRPr="00C94C2F">
        <w:t>Keyling</w:t>
      </w:r>
      <w:proofErr w:type="spellEnd"/>
      <w:r w:rsidRPr="00C94C2F">
        <w:t xml:space="preserve"> Formation peaked in the Early Triassic with minor expulsion in the Late Triassic</w:t>
      </w:r>
      <w:r>
        <w:t xml:space="preserve"> to Early Cretaceous. E</w:t>
      </w:r>
      <w:r w:rsidRPr="00C94C2F">
        <w:t>xpulsion</w:t>
      </w:r>
      <w:r>
        <w:t xml:space="preserve"> from the </w:t>
      </w:r>
      <w:r w:rsidRPr="00C94C2F">
        <w:t xml:space="preserve">Permian Hyland Bay </w:t>
      </w:r>
      <w:r>
        <w:t>Sub-group</w:t>
      </w:r>
      <w:r w:rsidRPr="00C94C2F">
        <w:t xml:space="preserve"> was limited to the northern Petrel Sub-basin and occurred from the Jurassic</w:t>
      </w:r>
      <w:r>
        <w:t xml:space="preserve"> until</w:t>
      </w:r>
      <w:r w:rsidRPr="00C94C2F">
        <w:t xml:space="preserve"> the Cretaceous, peaking in mid-Late Cretaceous. </w:t>
      </w:r>
      <w:r>
        <w:t xml:space="preserve">Despite the expulsion history extending into the Mesozoic, no hydrocarbon accumulations have been found within the Mesozoic reservoirs. </w:t>
      </w:r>
      <w:r>
        <w:rPr>
          <w:noProof/>
        </w:rPr>
        <w:t>Kennard et al. (2002) attribute t</w:t>
      </w:r>
      <w:r w:rsidRPr="00C94C2F">
        <w:t xml:space="preserve">he failure of tested traps and potential Mesozoic plays to a lack of </w:t>
      </w:r>
      <w:r>
        <w:t>mature</w:t>
      </w:r>
      <w:r>
        <w:rPr>
          <w:noProof/>
        </w:rPr>
        <w:t xml:space="preserve">. </w:t>
      </w:r>
      <w:r>
        <w:t>These workers also suggest that p</w:t>
      </w:r>
      <w:r w:rsidRPr="00C94C2F">
        <w:t xml:space="preserve">oor reservoir quality or seal capacity, which </w:t>
      </w:r>
      <w:r>
        <w:t>are</w:t>
      </w:r>
      <w:r w:rsidRPr="00C94C2F">
        <w:t xml:space="preserve"> relevant to CO</w:t>
      </w:r>
      <w:r w:rsidRPr="009D5B2E">
        <w:rPr>
          <w:rStyle w:val="Subscript"/>
        </w:rPr>
        <w:t>2</w:t>
      </w:r>
      <w:r w:rsidRPr="00C94C2F">
        <w:t xml:space="preserve"> storage</w:t>
      </w:r>
      <w:r>
        <w:t>, are unlikely reasons for a lack of hydrocarbon accumulations in the Mesozoic units.</w:t>
      </w:r>
    </w:p>
    <w:p w:rsidR="00AE0B1A" w:rsidRDefault="00AE0B1A" w:rsidP="00AE0B1A">
      <w:pPr>
        <w:pStyle w:val="Figuresandimagescentred"/>
      </w:pPr>
      <w:r w:rsidRPr="00255748">
        <w:rPr>
          <w:noProof/>
        </w:rPr>
        <w:lastRenderedPageBreak/>
        <w:drawing>
          <wp:inline distT="0" distB="0" distL="0" distR="0" wp14:anchorId="64CC50FC" wp14:editId="0D4BC777">
            <wp:extent cx="5760000" cy="5648400"/>
            <wp:effectExtent l="0" t="0" r="0" b="0"/>
            <wp:docPr id="2059" name="Picture 2059" descr="Due to the complexity of this document and the niche scientific target audience, no alternative description has been provided. Please email Geoscience Australia at clientservices@ga.gov.au for an alternative description."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6finaldocs\0.REVIEW GA Record Summary + Appendices Internal  Review\Reviewed Draft\Figures\13-7199-18.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375" t="27756" r="10979" b="18349"/>
                    <a:stretch/>
                  </pic:blipFill>
                  <pic:spPr bwMode="auto">
                    <a:xfrm>
                      <a:off x="0" y="0"/>
                      <a:ext cx="5760000" cy="5648400"/>
                    </a:xfrm>
                    <a:prstGeom prst="rect">
                      <a:avLst/>
                    </a:prstGeom>
                    <a:noFill/>
                    <a:ln>
                      <a:noFill/>
                    </a:ln>
                    <a:extLst>
                      <a:ext uri="{53640926-AAD7-44D8-BBD7-CCE9431645EC}">
                        <a14:shadowObscured xmlns:a14="http://schemas.microsoft.com/office/drawing/2010/main"/>
                      </a:ext>
                    </a:extLst>
                  </pic:spPr>
                </pic:pic>
              </a:graphicData>
            </a:graphic>
          </wp:inline>
        </w:drawing>
      </w:r>
    </w:p>
    <w:p w:rsidR="00AE0B1A" w:rsidRPr="00531087" w:rsidRDefault="00AE0B1A" w:rsidP="00AE0B1A">
      <w:pPr>
        <w:pStyle w:val="Caption"/>
      </w:pPr>
      <w:bookmarkStart w:id="203" w:name="_Ref372897813"/>
      <w:bookmarkStart w:id="204" w:name="_Toc373094997"/>
      <w:bookmarkStart w:id="205" w:name="_Toc378252727"/>
      <w:bookmarkStart w:id="206" w:name="_Toc378253051"/>
      <w:bookmarkStart w:id="207" w:name="_Toc378253375"/>
      <w:bookmarkStart w:id="208" w:name="_Toc378253699"/>
      <w:bookmarkStart w:id="209" w:name="_Toc378254023"/>
      <w:bookmarkStart w:id="210" w:name="_Toc378254347"/>
      <w:bookmarkStart w:id="211" w:name="_Toc378254671"/>
      <w:bookmarkStart w:id="212" w:name="_Toc378254995"/>
      <w:bookmarkStart w:id="213" w:name="_Toc378255344"/>
      <w:r w:rsidRPr="00531087">
        <w:t xml:space="preserve">Figure </w:t>
      </w:r>
      <w:fldSimple w:instr=" STYLEREF 1 \s ">
        <w:r w:rsidR="00F64E4F">
          <w:rPr>
            <w:noProof/>
          </w:rPr>
          <w:t>2</w:t>
        </w:r>
      </w:fldSimple>
      <w:r w:rsidR="00AE5C2D">
        <w:t>.</w:t>
      </w:r>
      <w:fldSimple w:instr=" SEQ Figure \* ARABIC \s 1 ">
        <w:r w:rsidR="00F64E4F">
          <w:rPr>
            <w:noProof/>
          </w:rPr>
          <w:t>5</w:t>
        </w:r>
      </w:fldSimple>
      <w:bookmarkEnd w:id="203"/>
      <w:r w:rsidRPr="00531087">
        <w:t xml:space="preserve"> </w:t>
      </w:r>
      <w:bookmarkStart w:id="214" w:name="_Ref372897805"/>
      <w:r w:rsidRPr="00531087">
        <w:t>Petrel Sub-basin gas fields and pipeline infrastructure including the</w:t>
      </w:r>
      <w:r>
        <w:t xml:space="preserve"> hydrocarbon</w:t>
      </w:r>
      <w:r w:rsidRPr="00531087">
        <w:t xml:space="preserve"> shows of the petroleum exploration wells. Key wells for petroleum exploration in the Petrel Sub-basin labelled.</w:t>
      </w:r>
      <w:bookmarkEnd w:id="204"/>
      <w:bookmarkEnd w:id="205"/>
      <w:bookmarkEnd w:id="206"/>
      <w:bookmarkEnd w:id="207"/>
      <w:bookmarkEnd w:id="208"/>
      <w:bookmarkEnd w:id="209"/>
      <w:bookmarkEnd w:id="210"/>
      <w:bookmarkEnd w:id="211"/>
      <w:bookmarkEnd w:id="212"/>
      <w:bookmarkEnd w:id="213"/>
      <w:bookmarkEnd w:id="214"/>
    </w:p>
    <w:p w:rsidR="00AE0B1A" w:rsidRPr="00C94C2F" w:rsidRDefault="00AE0B1A" w:rsidP="00AE0B1A">
      <w:pPr>
        <w:pStyle w:val="Heading1"/>
      </w:pPr>
      <w:bookmarkStart w:id="215" w:name="_Toc372790303"/>
      <w:bookmarkStart w:id="216" w:name="_Toc378252886"/>
      <w:bookmarkStart w:id="217" w:name="_Toc378253210"/>
      <w:bookmarkStart w:id="218" w:name="_Toc378253534"/>
      <w:bookmarkStart w:id="219" w:name="_Toc378253858"/>
      <w:bookmarkStart w:id="220" w:name="_Toc378254182"/>
      <w:bookmarkStart w:id="221" w:name="_Toc378254506"/>
      <w:bookmarkStart w:id="222" w:name="_Toc378254830"/>
      <w:bookmarkStart w:id="223" w:name="_Toc378255154"/>
      <w:bookmarkStart w:id="224" w:name="_Toc383758212"/>
      <w:r w:rsidRPr="006B5A62">
        <w:lastRenderedPageBreak/>
        <w:t>Previous</w:t>
      </w:r>
      <w:r w:rsidRPr="00C94C2F">
        <w:t xml:space="preserve"> CO</w:t>
      </w:r>
      <w:r w:rsidRPr="00255748">
        <w:rPr>
          <w:rStyle w:val="Subscript"/>
        </w:rPr>
        <w:t>2</w:t>
      </w:r>
      <w:r w:rsidRPr="00C94C2F">
        <w:t xml:space="preserve"> Storage Studies</w:t>
      </w:r>
      <w:bookmarkEnd w:id="215"/>
      <w:bookmarkEnd w:id="216"/>
      <w:bookmarkEnd w:id="217"/>
      <w:bookmarkEnd w:id="218"/>
      <w:bookmarkEnd w:id="219"/>
      <w:bookmarkEnd w:id="220"/>
      <w:bookmarkEnd w:id="221"/>
      <w:bookmarkEnd w:id="222"/>
      <w:bookmarkEnd w:id="223"/>
      <w:bookmarkEnd w:id="224"/>
    </w:p>
    <w:p w:rsidR="00AE0B1A" w:rsidRDefault="00AE0B1A" w:rsidP="00AE0B1A">
      <w:pPr>
        <w:pStyle w:val="BodyText"/>
      </w:pPr>
      <w:r w:rsidRPr="00C94C2F">
        <w:t>The Bonaparte Basin,</w:t>
      </w:r>
      <w:r>
        <w:t xml:space="preserve"> and</w:t>
      </w:r>
      <w:r w:rsidRPr="00C94C2F">
        <w:t xml:space="preserve"> in particular the Petrel Sub-basin, was originally proposed as a potential location for CO</w:t>
      </w:r>
      <w:r w:rsidRPr="009D5B2E">
        <w:rPr>
          <w:rStyle w:val="Subscript"/>
        </w:rPr>
        <w:t>2</w:t>
      </w:r>
      <w:r w:rsidRPr="00C94C2F">
        <w:t xml:space="preserve"> storage </w:t>
      </w:r>
      <w:r>
        <w:t>as part of</w:t>
      </w:r>
      <w:r w:rsidRPr="00C94C2F">
        <w:t xml:space="preserve"> the </w:t>
      </w:r>
      <w:r w:rsidRPr="00C10F1A">
        <w:t xml:space="preserve">Australian Petroleum Cooperative Research Centre for </w:t>
      </w:r>
      <w:r w:rsidRPr="00C94C2F">
        <w:t>Geological Disposal of Carbon Dioxide (GEODISC) Project during an Australia</w:t>
      </w:r>
      <w:r>
        <w:t>n</w:t>
      </w:r>
      <w:r w:rsidRPr="00C94C2F">
        <w:t xml:space="preserve">-wide assessment to identify </w:t>
      </w:r>
      <w:r w:rsidRPr="00C94C2F">
        <w:rPr>
          <w:bCs/>
        </w:rPr>
        <w:t>Environmentally</w:t>
      </w:r>
      <w:r w:rsidRPr="00C94C2F">
        <w:t xml:space="preserve"> Sustainable </w:t>
      </w:r>
      <w:r w:rsidRPr="00C94C2F">
        <w:rPr>
          <w:bCs/>
        </w:rPr>
        <w:t>Sites for CO</w:t>
      </w:r>
      <w:r w:rsidRPr="009D5B2E">
        <w:rPr>
          <w:rStyle w:val="Subscript"/>
        </w:rPr>
        <w:t>2</w:t>
      </w:r>
      <w:r>
        <w:rPr>
          <w:bCs/>
        </w:rPr>
        <w:t xml:space="preserve"> Injection (ESCCI) (</w:t>
      </w:r>
      <w:r>
        <w:rPr>
          <w:noProof/>
        </w:rPr>
        <w:t>Cook et al., 2000; Bradshaw and Rigg, 2001; Rigg et al., 2001)</w:t>
      </w:r>
      <w:r w:rsidRPr="00C94C2F">
        <w:t>. This four-year study firstly identified the CO</w:t>
      </w:r>
      <w:r w:rsidRPr="009D5B2E">
        <w:rPr>
          <w:rStyle w:val="Subscript"/>
        </w:rPr>
        <w:t>2</w:t>
      </w:r>
      <w:r w:rsidRPr="00C94C2F">
        <w:t xml:space="preserve"> storage potential of suitable basins </w:t>
      </w:r>
      <w:r>
        <w:t>nation</w:t>
      </w:r>
      <w:r w:rsidRPr="00C94C2F">
        <w:t xml:space="preserve">-wide by identifying storage sites and corresponding emission nodes. The basins/sub-basins were ranked on a national scale identifying potential ESSCIs with optimal geology and considered the existence of available infrastructure and proximity to major emission sources. During the first phase of the study (Project 1), GEODISC identified the </w:t>
      </w:r>
      <w:r>
        <w:t xml:space="preserve">Sandpiper Sandstone and Plover and </w:t>
      </w:r>
      <w:proofErr w:type="spellStart"/>
      <w:r>
        <w:t>Elang</w:t>
      </w:r>
      <w:proofErr w:type="spellEnd"/>
      <w:r>
        <w:t xml:space="preserve"> formations</w:t>
      </w:r>
      <w:r w:rsidRPr="00C94C2F">
        <w:t xml:space="preserve"> ESSCI plays in the offshore Petrel Sub-basin </w:t>
      </w:r>
      <w:r>
        <w:rPr>
          <w:noProof/>
        </w:rPr>
        <w:t>(Bradshaw et al., 2000) as highly suitable CO</w:t>
      </w:r>
      <w:r w:rsidRPr="009D5B2E">
        <w:rPr>
          <w:rStyle w:val="Subscript"/>
        </w:rPr>
        <w:t>2</w:t>
      </w:r>
      <w:r>
        <w:rPr>
          <w:noProof/>
        </w:rPr>
        <w:t xml:space="preserve"> geological storage plays</w:t>
      </w:r>
      <w:r w:rsidRPr="00C94C2F">
        <w:t>. In all assessment elements (e.g., geology and infrastructure) the</w:t>
      </w:r>
      <w:r>
        <w:t>se</w:t>
      </w:r>
      <w:r w:rsidRPr="00C94C2F">
        <w:t xml:space="preserve"> ESCCIs were ranked highly except for proximity </w:t>
      </w:r>
      <w:r>
        <w:t>to</w:t>
      </w:r>
      <w:r w:rsidRPr="00C94C2F">
        <w:t xml:space="preserve"> a major CO</w:t>
      </w:r>
      <w:r w:rsidRPr="009D5B2E">
        <w:rPr>
          <w:rStyle w:val="Subscript"/>
        </w:rPr>
        <w:t>2</w:t>
      </w:r>
      <w:r w:rsidRPr="00C94C2F">
        <w:t xml:space="preserve"> source. The ongoing development of LNG processing proximal to </w:t>
      </w:r>
      <w:r>
        <w:t xml:space="preserve">the city of </w:t>
      </w:r>
      <w:r w:rsidRPr="00C94C2F">
        <w:t>Darwin would now, under the GEODISC criteria, represent a significant source of CO</w:t>
      </w:r>
      <w:r w:rsidRPr="009D5B2E">
        <w:rPr>
          <w:rStyle w:val="Subscript"/>
        </w:rPr>
        <w:t>2</w:t>
      </w:r>
      <w:r w:rsidRPr="00C94C2F">
        <w:t xml:space="preserve"> emissions.</w:t>
      </w:r>
      <w:r>
        <w:t xml:space="preserve"> Although the entire sub-basin was evaluated, the final assessment, including the capacity estimation, focussed on the Sandpiper Sandstone and the Plover and </w:t>
      </w:r>
      <w:proofErr w:type="spellStart"/>
      <w:r>
        <w:t>Elang</w:t>
      </w:r>
      <w:proofErr w:type="spellEnd"/>
      <w:r>
        <w:t xml:space="preserve"> formations</w:t>
      </w:r>
      <w:r w:rsidRPr="00C94C2F">
        <w:t xml:space="preserve"> ESSCI plays </w:t>
      </w:r>
      <w:r>
        <w:t xml:space="preserve">within the Tern 1 anticline structural closure </w:t>
      </w:r>
      <w:r w:rsidRPr="00DE0603">
        <w:t>(</w:t>
      </w:r>
      <w:r w:rsidR="00B30F18">
        <w:fldChar w:fldCharType="begin"/>
      </w:r>
      <w:r w:rsidR="00B30F18">
        <w:instrText xml:space="preserve"> REF _Ref380156231 \h </w:instrText>
      </w:r>
      <w:r w:rsidR="00B30F18">
        <w:fldChar w:fldCharType="separate"/>
      </w:r>
      <w:r w:rsidR="00F64E4F">
        <w:t xml:space="preserve">Table </w:t>
      </w:r>
      <w:r w:rsidR="00F64E4F">
        <w:rPr>
          <w:noProof/>
        </w:rPr>
        <w:t>3</w:t>
      </w:r>
      <w:r w:rsidR="00F64E4F">
        <w:t>.</w:t>
      </w:r>
      <w:r w:rsidR="00F64E4F">
        <w:rPr>
          <w:noProof/>
        </w:rPr>
        <w:t>1</w:t>
      </w:r>
      <w:r w:rsidR="00B30F18">
        <w:fldChar w:fldCharType="end"/>
      </w:r>
      <w:r w:rsidRPr="00DE0603">
        <w:t>).</w:t>
      </w:r>
    </w:p>
    <w:p w:rsidR="00AE0B1A" w:rsidRDefault="00AE0B1A" w:rsidP="00AE0B1A">
      <w:pPr>
        <w:pStyle w:val="Tabletitle"/>
      </w:pPr>
      <w:bookmarkStart w:id="225" w:name="_Ref380156231"/>
      <w:bookmarkStart w:id="226" w:name="_Toc372790373"/>
      <w:bookmarkStart w:id="227" w:name="_Toc378252827"/>
      <w:bookmarkStart w:id="228" w:name="_Toc378253151"/>
      <w:bookmarkStart w:id="229" w:name="_Toc378253475"/>
      <w:bookmarkStart w:id="230" w:name="_Toc378253799"/>
      <w:bookmarkStart w:id="231" w:name="_Toc378254123"/>
      <w:bookmarkStart w:id="232" w:name="_Toc378254447"/>
      <w:bookmarkStart w:id="233" w:name="_Toc378254771"/>
      <w:bookmarkStart w:id="234" w:name="_Toc378255095"/>
      <w:bookmarkStart w:id="235" w:name="_Toc378255444"/>
      <w:r>
        <w:t xml:space="preserve">Table </w:t>
      </w:r>
      <w:fldSimple w:instr=" STYLEREF 1 \s ">
        <w:r w:rsidR="00F64E4F">
          <w:rPr>
            <w:noProof/>
          </w:rPr>
          <w:t>3</w:t>
        </w:r>
      </w:fldSimple>
      <w:r>
        <w:t>.</w:t>
      </w:r>
      <w:fldSimple w:instr=" SEQ Table \* ARABIC \s 1 ">
        <w:r w:rsidR="00F64E4F">
          <w:rPr>
            <w:noProof/>
          </w:rPr>
          <w:t>1</w:t>
        </w:r>
      </w:fldSimple>
      <w:bookmarkEnd w:id="225"/>
      <w:r>
        <w:t xml:space="preserve"> </w:t>
      </w:r>
      <w:r w:rsidRPr="00175862">
        <w:t xml:space="preserve">Previous storage capacity estimates of the Petrel Sub-basin (Carbon Storage Taskforce, 2009). </w:t>
      </w:r>
      <w:r>
        <w:t>*</w:t>
      </w:r>
      <w:r w:rsidRPr="00175862">
        <w:t>Note: For Carbon Storage Taskforce (2009) assessment, the sub-basin was divided by the Western Australia and Northern Territory boundary, split</w:t>
      </w:r>
      <w:r w:rsidRPr="00A5369D">
        <w:t>ting it lengthwise. This method, used throughout the assessment enabled stakeholders to obtain a state and territory breakdown of emissions and storage capacity.</w:t>
      </w:r>
      <w:bookmarkEnd w:id="226"/>
      <w:bookmarkEnd w:id="227"/>
      <w:bookmarkEnd w:id="228"/>
      <w:bookmarkEnd w:id="229"/>
      <w:bookmarkEnd w:id="230"/>
      <w:bookmarkEnd w:id="231"/>
      <w:bookmarkEnd w:id="232"/>
      <w:bookmarkEnd w:id="233"/>
      <w:bookmarkEnd w:id="234"/>
      <w:bookmarkEnd w:id="235"/>
    </w:p>
    <w:tbl>
      <w:tblPr>
        <w:tblStyle w:val="TableGAHeaderRow"/>
        <w:tblW w:w="0" w:type="auto"/>
        <w:tblLook w:val="04A0" w:firstRow="1" w:lastRow="0" w:firstColumn="1" w:lastColumn="0" w:noHBand="0" w:noVBand="1"/>
        <w:tblCaption w:val="Table 3.1"/>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353"/>
        <w:gridCol w:w="1870"/>
        <w:gridCol w:w="1779"/>
        <w:gridCol w:w="4126"/>
      </w:tblGrid>
      <w:tr w:rsidR="00AE0B1A" w:rsidTr="001D3301">
        <w:trPr>
          <w:cnfStyle w:val="100000000000" w:firstRow="1" w:lastRow="0" w:firstColumn="0" w:lastColumn="0" w:oddVBand="0" w:evenVBand="0" w:oddHBand="0" w:evenHBand="0" w:firstRowFirstColumn="0" w:firstRowLastColumn="0" w:lastRowFirstColumn="0" w:lastRowLastColumn="0"/>
          <w:cantSplit w:val="0"/>
          <w:tblHeader/>
        </w:trPr>
        <w:tc>
          <w:tcPr>
            <w:tcW w:w="1353" w:type="dxa"/>
          </w:tcPr>
          <w:p w:rsidR="00AE0B1A" w:rsidRDefault="00AE0B1A" w:rsidP="00AE0B1A">
            <w:pPr>
              <w:pStyle w:val="Tabletextleft"/>
            </w:pPr>
            <w:r>
              <w:t>Author</w:t>
            </w:r>
          </w:p>
        </w:tc>
        <w:tc>
          <w:tcPr>
            <w:tcW w:w="1870" w:type="dxa"/>
          </w:tcPr>
          <w:p w:rsidR="00AE0B1A" w:rsidRDefault="00AE0B1A" w:rsidP="00AE0B1A">
            <w:pPr>
              <w:pStyle w:val="Tabletextleft"/>
            </w:pPr>
            <w:r>
              <w:t>Scale/Formation</w:t>
            </w:r>
          </w:p>
        </w:tc>
        <w:tc>
          <w:tcPr>
            <w:tcW w:w="1779" w:type="dxa"/>
          </w:tcPr>
          <w:p w:rsidR="00AE0B1A" w:rsidRDefault="00AE0B1A" w:rsidP="00AE0B1A">
            <w:pPr>
              <w:pStyle w:val="Tabletextleft"/>
            </w:pPr>
            <w:r>
              <w:t>Storage Potential (Mt)</w:t>
            </w:r>
          </w:p>
        </w:tc>
        <w:tc>
          <w:tcPr>
            <w:tcW w:w="4127" w:type="dxa"/>
          </w:tcPr>
          <w:p w:rsidR="00AE0B1A" w:rsidRDefault="00AE0B1A" w:rsidP="00AE0B1A">
            <w:pPr>
              <w:pStyle w:val="Tabletextleft"/>
            </w:pPr>
            <w:r>
              <w:t>Methodology</w:t>
            </w:r>
          </w:p>
        </w:tc>
      </w:tr>
      <w:tr w:rsidR="00AE0B1A" w:rsidTr="001D3301">
        <w:trPr>
          <w:cnfStyle w:val="000000100000" w:firstRow="0" w:lastRow="0" w:firstColumn="0" w:lastColumn="0" w:oddVBand="0" w:evenVBand="0" w:oddHBand="1" w:evenHBand="0" w:firstRowFirstColumn="0" w:firstRowLastColumn="0" w:lastRowFirstColumn="0" w:lastRowLastColumn="0"/>
        </w:trPr>
        <w:tc>
          <w:tcPr>
            <w:tcW w:w="1353" w:type="dxa"/>
          </w:tcPr>
          <w:p w:rsidR="00AE0B1A" w:rsidRDefault="00AE0B1A" w:rsidP="00AE0B1A">
            <w:pPr>
              <w:pStyle w:val="Tabletextleft"/>
            </w:pPr>
            <w:r>
              <w:t>Carbon Storage Taskforce (2009)</w:t>
            </w:r>
          </w:p>
        </w:tc>
        <w:tc>
          <w:tcPr>
            <w:tcW w:w="1870" w:type="dxa"/>
          </w:tcPr>
          <w:p w:rsidR="00AE0B1A" w:rsidRDefault="00AE0B1A" w:rsidP="00AE0B1A">
            <w:pPr>
              <w:pStyle w:val="Tabletextleft"/>
            </w:pPr>
            <w:r>
              <w:t xml:space="preserve">Basin scale; Plover and </w:t>
            </w:r>
            <w:proofErr w:type="spellStart"/>
            <w:r>
              <w:t>Elang</w:t>
            </w:r>
            <w:proofErr w:type="spellEnd"/>
            <w:r>
              <w:t xml:space="preserve"> formations and Sandpiper Sandstone. </w:t>
            </w:r>
          </w:p>
        </w:tc>
        <w:tc>
          <w:tcPr>
            <w:tcW w:w="1779" w:type="dxa"/>
          </w:tcPr>
          <w:p w:rsidR="00143EF1" w:rsidRDefault="00AE0B1A" w:rsidP="00143EF1">
            <w:pPr>
              <w:pStyle w:val="Tabletextright"/>
            </w:pPr>
            <w:r>
              <w:t>55,300</w:t>
            </w:r>
          </w:p>
          <w:p w:rsidR="00AE0B1A" w:rsidRDefault="00AE0B1A" w:rsidP="00143EF1">
            <w:pPr>
              <w:pStyle w:val="Tabletextright"/>
            </w:pPr>
            <w:r>
              <w:t xml:space="preserve"> (P50, best estimate)</w:t>
            </w:r>
          </w:p>
        </w:tc>
        <w:tc>
          <w:tcPr>
            <w:tcW w:w="4127" w:type="dxa"/>
          </w:tcPr>
          <w:p w:rsidR="00AE0B1A" w:rsidRDefault="00AE0B1A" w:rsidP="00AE0B1A">
            <w:pPr>
              <w:pStyle w:val="Tabletextleft"/>
            </w:pPr>
            <w:r>
              <w:t>Input data: Published datasets.</w:t>
            </w:r>
          </w:p>
          <w:p w:rsidR="00AE0B1A" w:rsidRDefault="00AE0B1A" w:rsidP="00AE0B1A">
            <w:pPr>
              <w:pStyle w:val="Tabletextleft"/>
            </w:pPr>
            <w:r>
              <w:t xml:space="preserve">Capacity method: DOE (2007); 4% of total pore volume, static </w:t>
            </w:r>
            <w:r w:rsidRPr="005E6F55">
              <w:t>CO</w:t>
            </w:r>
            <w:r w:rsidRPr="009D5B2E">
              <w:rPr>
                <w:rStyle w:val="Subscript"/>
              </w:rPr>
              <w:t>2</w:t>
            </w:r>
            <w:r>
              <w:t xml:space="preserve"> density and basin-specific static temperature and pressure.</w:t>
            </w:r>
          </w:p>
        </w:tc>
      </w:tr>
      <w:tr w:rsidR="00AE0B1A" w:rsidTr="001D3301">
        <w:trPr>
          <w:cnfStyle w:val="000000010000" w:firstRow="0" w:lastRow="0" w:firstColumn="0" w:lastColumn="0" w:oddVBand="0" w:evenVBand="0" w:oddHBand="0" w:evenHBand="1" w:firstRowFirstColumn="0" w:firstRowLastColumn="0" w:lastRowFirstColumn="0" w:lastRowLastColumn="0"/>
        </w:trPr>
        <w:tc>
          <w:tcPr>
            <w:tcW w:w="1353" w:type="dxa"/>
          </w:tcPr>
          <w:p w:rsidR="00AE0B1A" w:rsidRDefault="00AE0B1A" w:rsidP="00AE0B1A">
            <w:pPr>
              <w:pStyle w:val="Tabletextleft"/>
            </w:pPr>
            <w:r>
              <w:t>Gibson-Poole (2009)</w:t>
            </w:r>
          </w:p>
        </w:tc>
        <w:tc>
          <w:tcPr>
            <w:tcW w:w="1870" w:type="dxa"/>
          </w:tcPr>
          <w:p w:rsidR="00AE0B1A" w:rsidRDefault="00AE0B1A" w:rsidP="00AE0B1A">
            <w:pPr>
              <w:pStyle w:val="Tabletextleft"/>
            </w:pPr>
            <w:r>
              <w:t xml:space="preserve">Formation scale; Plover and </w:t>
            </w:r>
            <w:proofErr w:type="spellStart"/>
            <w:r>
              <w:t>Elang</w:t>
            </w:r>
            <w:proofErr w:type="spellEnd"/>
            <w:r>
              <w:t xml:space="preserve"> formations; Sandpiper Sandstone.</w:t>
            </w:r>
          </w:p>
        </w:tc>
        <w:tc>
          <w:tcPr>
            <w:tcW w:w="1779" w:type="dxa"/>
          </w:tcPr>
          <w:p w:rsidR="00AE0B1A" w:rsidRDefault="00AE0B1A" w:rsidP="00143EF1">
            <w:pPr>
              <w:pStyle w:val="Tabletextright"/>
            </w:pPr>
            <w:r>
              <w:t xml:space="preserve">193,464 </w:t>
            </w:r>
          </w:p>
        </w:tc>
        <w:tc>
          <w:tcPr>
            <w:tcW w:w="4127" w:type="dxa"/>
          </w:tcPr>
          <w:p w:rsidR="00AE0B1A" w:rsidRDefault="00AE0B1A" w:rsidP="00AE0B1A">
            <w:pPr>
              <w:pStyle w:val="Tabletextleft"/>
            </w:pPr>
            <w:r>
              <w:t>Input data: geological model</w:t>
            </w:r>
          </w:p>
          <w:p w:rsidR="00AE0B1A" w:rsidRDefault="00AE0B1A" w:rsidP="00AE0B1A">
            <w:pPr>
              <w:pStyle w:val="Tabletextleft"/>
            </w:pPr>
            <w:r>
              <w:t xml:space="preserve">Capacity method: DOE (2007); 4% of total pore volume, static </w:t>
            </w:r>
            <w:r w:rsidRPr="005E6F55">
              <w:t>CO</w:t>
            </w:r>
            <w:r w:rsidRPr="009D5B2E">
              <w:rPr>
                <w:rStyle w:val="Subscript"/>
              </w:rPr>
              <w:t>2</w:t>
            </w:r>
            <w:r>
              <w:t xml:space="preserve"> density and basin-specific static temperature and pressure.</w:t>
            </w:r>
          </w:p>
        </w:tc>
      </w:tr>
      <w:tr w:rsidR="00AE0B1A" w:rsidTr="001D3301">
        <w:trPr>
          <w:cnfStyle w:val="000000100000" w:firstRow="0" w:lastRow="0" w:firstColumn="0" w:lastColumn="0" w:oddVBand="0" w:evenVBand="0" w:oddHBand="1" w:evenHBand="0" w:firstRowFirstColumn="0" w:firstRowLastColumn="0" w:lastRowFirstColumn="0" w:lastRowLastColumn="0"/>
        </w:trPr>
        <w:tc>
          <w:tcPr>
            <w:tcW w:w="1353" w:type="dxa"/>
          </w:tcPr>
          <w:p w:rsidR="00AE0B1A" w:rsidRDefault="00AE0B1A" w:rsidP="00AE0B1A">
            <w:pPr>
              <w:pStyle w:val="Tabletextleft"/>
            </w:pPr>
            <w:r>
              <w:t>Lang and Gibson-Poole (2001)</w:t>
            </w:r>
          </w:p>
        </w:tc>
        <w:tc>
          <w:tcPr>
            <w:tcW w:w="1870" w:type="dxa"/>
          </w:tcPr>
          <w:p w:rsidR="00AE0B1A" w:rsidRDefault="00AE0B1A" w:rsidP="00AE0B1A">
            <w:pPr>
              <w:pStyle w:val="Tabletextleft"/>
            </w:pPr>
            <w:r>
              <w:t xml:space="preserve">Regional scale; Plover and </w:t>
            </w:r>
            <w:proofErr w:type="spellStart"/>
            <w:r>
              <w:t>Elang</w:t>
            </w:r>
            <w:proofErr w:type="spellEnd"/>
            <w:r>
              <w:t xml:space="preserve"> formations; Sandpiper Sandstone.</w:t>
            </w:r>
          </w:p>
        </w:tc>
        <w:tc>
          <w:tcPr>
            <w:tcW w:w="1779" w:type="dxa"/>
          </w:tcPr>
          <w:p w:rsidR="00AE0B1A" w:rsidRDefault="00AE0B1A" w:rsidP="00143EF1">
            <w:pPr>
              <w:pStyle w:val="Tabletextright"/>
            </w:pPr>
            <w:r>
              <w:t>~4,919,462</w:t>
            </w:r>
          </w:p>
        </w:tc>
        <w:tc>
          <w:tcPr>
            <w:tcW w:w="4127" w:type="dxa"/>
          </w:tcPr>
          <w:p w:rsidR="00AE0B1A" w:rsidRDefault="00AE0B1A" w:rsidP="00AE0B1A">
            <w:pPr>
              <w:pStyle w:val="Tabletextleft"/>
            </w:pPr>
            <w:r>
              <w:t>Input data: geological model</w:t>
            </w:r>
          </w:p>
          <w:p w:rsidR="00AE0B1A" w:rsidRPr="00162927" w:rsidRDefault="00AE0B1A" w:rsidP="00AE0B1A">
            <w:pPr>
              <w:pStyle w:val="Tabletextleft"/>
            </w:pPr>
            <w:r>
              <w:t xml:space="preserve">Capacity method: Total pore volume with static </w:t>
            </w:r>
            <w:r w:rsidRPr="00162927">
              <w:t>CO</w:t>
            </w:r>
            <w:r w:rsidRPr="009D5B2E">
              <w:rPr>
                <w:rStyle w:val="Subscript"/>
              </w:rPr>
              <w:t>2</w:t>
            </w:r>
            <w:r>
              <w:t xml:space="preserve"> density and basin-</w:t>
            </w:r>
            <w:r w:rsidRPr="00911D7B">
              <w:t>specific static temperature and pressure and assumed fill to spill.</w:t>
            </w:r>
          </w:p>
        </w:tc>
      </w:tr>
      <w:tr w:rsidR="00AE0B1A" w:rsidTr="001D3301">
        <w:trPr>
          <w:cnfStyle w:val="000000010000" w:firstRow="0" w:lastRow="0" w:firstColumn="0" w:lastColumn="0" w:oddVBand="0" w:evenVBand="0" w:oddHBand="0" w:evenHBand="1" w:firstRowFirstColumn="0" w:firstRowLastColumn="0" w:lastRowFirstColumn="0" w:lastRowLastColumn="0"/>
        </w:trPr>
        <w:tc>
          <w:tcPr>
            <w:tcW w:w="1353" w:type="dxa"/>
          </w:tcPr>
          <w:p w:rsidR="00AE0B1A" w:rsidRDefault="00AE0B1A" w:rsidP="00AE0B1A">
            <w:pPr>
              <w:pStyle w:val="Tabletextleft"/>
            </w:pPr>
            <w:r>
              <w:t>Bradshaw et al. (2000)</w:t>
            </w:r>
          </w:p>
        </w:tc>
        <w:tc>
          <w:tcPr>
            <w:tcW w:w="1870" w:type="dxa"/>
          </w:tcPr>
          <w:p w:rsidR="00AE0B1A" w:rsidRDefault="00AE0B1A" w:rsidP="00AE0B1A">
            <w:pPr>
              <w:pStyle w:val="Tabletextleft"/>
            </w:pPr>
            <w:r>
              <w:t xml:space="preserve">Formation-scale; Plover and </w:t>
            </w:r>
            <w:proofErr w:type="spellStart"/>
            <w:r>
              <w:t>Elang</w:t>
            </w:r>
            <w:proofErr w:type="spellEnd"/>
            <w:r>
              <w:t xml:space="preserve"> formations; Sandpiper Sandstone.</w:t>
            </w:r>
          </w:p>
        </w:tc>
        <w:tc>
          <w:tcPr>
            <w:tcW w:w="1779" w:type="dxa"/>
          </w:tcPr>
          <w:p w:rsidR="00AE0B1A" w:rsidRPr="00911D7B" w:rsidRDefault="00AE0B1A" w:rsidP="00143EF1">
            <w:pPr>
              <w:pStyle w:val="Tabletextright"/>
            </w:pPr>
            <w:r>
              <w:t>~1288*</w:t>
            </w:r>
          </w:p>
        </w:tc>
        <w:tc>
          <w:tcPr>
            <w:tcW w:w="4127" w:type="dxa"/>
          </w:tcPr>
          <w:p w:rsidR="00AE0B1A" w:rsidRPr="00911D7B" w:rsidRDefault="00AE0B1A" w:rsidP="00AE0B1A">
            <w:pPr>
              <w:pStyle w:val="Tabletextleft"/>
              <w:rPr>
                <w:rFonts w:eastAsiaTheme="minorHAnsi"/>
              </w:rPr>
            </w:pPr>
            <w:r w:rsidRPr="00911D7B">
              <w:t>Input data: Published datasets.</w:t>
            </w:r>
          </w:p>
          <w:p w:rsidR="00AE0B1A" w:rsidRPr="00911D7B" w:rsidRDefault="00AE0B1A" w:rsidP="00AE0B1A">
            <w:pPr>
              <w:pStyle w:val="Tabletextleft"/>
            </w:pPr>
            <w:r w:rsidRPr="00911D7B">
              <w:t>Capacity method: Total pore volume with static CO</w:t>
            </w:r>
            <w:r w:rsidRPr="009D5B2E">
              <w:rPr>
                <w:rStyle w:val="Subscript"/>
              </w:rPr>
              <w:t>2</w:t>
            </w:r>
            <w:r w:rsidRPr="00911D7B">
              <w:t xml:space="preserve"> density and basin-specific static temperature and pressure for the structure at Tern 1.</w:t>
            </w:r>
          </w:p>
        </w:tc>
      </w:tr>
    </w:tbl>
    <w:p w:rsidR="00AE0B1A" w:rsidRDefault="00AE0B1A" w:rsidP="00AE0B1A">
      <w:pPr>
        <w:pStyle w:val="BodyText"/>
      </w:pPr>
      <w:r w:rsidRPr="00C94C2F">
        <w:lastRenderedPageBreak/>
        <w:t xml:space="preserve">The second phase of the GEODISC Project (Project 2) further assessed the four most highly-ranked ESCCI sites, which included the Petrel Sub-basin </w:t>
      </w:r>
      <w:r>
        <w:rPr>
          <w:noProof/>
        </w:rPr>
        <w:t>(Lang and Gibson-Poole, 2001; Gibson-Poole et al., 2002)</w:t>
      </w:r>
      <w:r w:rsidRPr="00C94C2F">
        <w:t xml:space="preserve">. The Petrel Sub-basin ESCCI study characterised the </w:t>
      </w:r>
      <w:r>
        <w:t xml:space="preserve">Sandpiper Sandstone and the </w:t>
      </w:r>
      <w:r w:rsidRPr="00C94C2F">
        <w:t xml:space="preserve">Plover and </w:t>
      </w:r>
      <w:proofErr w:type="spellStart"/>
      <w:r w:rsidRPr="00C94C2F">
        <w:t>Elang</w:t>
      </w:r>
      <w:proofErr w:type="spellEnd"/>
      <w:r w:rsidRPr="00C94C2F">
        <w:t xml:space="preserve"> formations</w:t>
      </w:r>
      <w:r>
        <w:t xml:space="preserve"> over the entire sub-basin</w:t>
      </w:r>
      <w:r w:rsidRPr="00C94C2F">
        <w:t xml:space="preserve"> and progressed to the </w:t>
      </w:r>
      <w:r>
        <w:t>construction of a geological model</w:t>
      </w:r>
      <w:r w:rsidRPr="00C94C2F">
        <w:t xml:space="preserve">. </w:t>
      </w:r>
      <w:r>
        <w:t xml:space="preserve">The study completed a sequence stratigraphic analysis of the sub-basin focussing on the two ESCCIs and also characterised the reservoirs for their storage potential and seals for their sealing capacity. </w:t>
      </w:r>
      <w:r w:rsidRPr="00C94C2F">
        <w:t xml:space="preserve">The Petrel </w:t>
      </w:r>
      <w:r>
        <w:t xml:space="preserve">Sub-basin </w:t>
      </w:r>
      <w:r w:rsidRPr="00C94C2F">
        <w:t>ESSCIs w</w:t>
      </w:r>
      <w:r>
        <w:t>ere</w:t>
      </w:r>
      <w:r w:rsidRPr="00C94C2F">
        <w:t xml:space="preserve"> modelled as large-scale, open aquifer system</w:t>
      </w:r>
      <w:r>
        <w:t>s</w:t>
      </w:r>
      <w:r w:rsidRPr="00C94C2F">
        <w:t xml:space="preserve"> without structural or lateral closure, focussing on the thick, laterally extensive but homogeneous reservoirs and seals.</w:t>
      </w:r>
      <w:r>
        <w:t xml:space="preserve"> </w:t>
      </w:r>
      <w:r w:rsidRPr="00C94C2F">
        <w:t xml:space="preserve">GEODISC identified a total theoretical capacity exceeding </w:t>
      </w:r>
      <w:r>
        <w:t xml:space="preserve">4.9 </w:t>
      </w:r>
      <w:r w:rsidRPr="00C94C2F">
        <w:t>million tonnes (</w:t>
      </w:r>
      <w:r>
        <w:t>MT</w:t>
      </w:r>
      <w:r w:rsidRPr="00C94C2F">
        <w:t>) for both formations</w:t>
      </w:r>
      <w:r w:rsidRPr="009D5B2E">
        <w:t xml:space="preserve"> </w:t>
      </w:r>
      <w:r w:rsidRPr="00367911">
        <w:t>(</w:t>
      </w:r>
      <w:r w:rsidRPr="00DE0603">
        <w:rPr>
          <w:noProof/>
        </w:rPr>
        <w:t>Lang</w:t>
      </w:r>
      <w:r>
        <w:rPr>
          <w:noProof/>
        </w:rPr>
        <w:t xml:space="preserve"> and Gibson-Poole, 2001; </w:t>
      </w:r>
      <w:r w:rsidR="00B30F18">
        <w:fldChar w:fldCharType="begin"/>
      </w:r>
      <w:r w:rsidR="00B30F18">
        <w:rPr>
          <w:noProof/>
        </w:rPr>
        <w:instrText xml:space="preserve"> REF _Ref380156231 \h </w:instrText>
      </w:r>
      <w:r w:rsidR="00B30F18">
        <w:fldChar w:fldCharType="separate"/>
      </w:r>
      <w:r w:rsidR="00F64E4F">
        <w:t xml:space="preserve">Table </w:t>
      </w:r>
      <w:r w:rsidR="00F64E4F">
        <w:rPr>
          <w:noProof/>
        </w:rPr>
        <w:t>3</w:t>
      </w:r>
      <w:r w:rsidR="00F64E4F">
        <w:t>.</w:t>
      </w:r>
      <w:r w:rsidR="00F64E4F">
        <w:rPr>
          <w:noProof/>
        </w:rPr>
        <w:t>1</w:t>
      </w:r>
      <w:r w:rsidR="00B30F18">
        <w:fldChar w:fldCharType="end"/>
      </w:r>
      <w:r>
        <w:rPr>
          <w:noProof/>
        </w:rPr>
        <w:t>)</w:t>
      </w:r>
      <w:r w:rsidRPr="00C94C2F">
        <w:t>. This estimate used a total pore volume</w:t>
      </w:r>
      <w:r>
        <w:t xml:space="preserve"> derived from a geological model</w:t>
      </w:r>
      <w:r w:rsidRPr="00C94C2F">
        <w:t xml:space="preserve"> and basin-wide parameters</w:t>
      </w:r>
      <w:r>
        <w:t xml:space="preserve"> (</w:t>
      </w:r>
      <w:r w:rsidRPr="00191CAF">
        <w:t>CO</w:t>
      </w:r>
      <w:r w:rsidRPr="009D5B2E">
        <w:rPr>
          <w:rStyle w:val="Subscript"/>
        </w:rPr>
        <w:t>2</w:t>
      </w:r>
      <w:r>
        <w:t xml:space="preserve"> density, temperature, pressure)</w:t>
      </w:r>
      <w:r w:rsidRPr="00C94C2F">
        <w:t xml:space="preserve"> to calculate the total capacity</w:t>
      </w:r>
      <w:r>
        <w:t>. The authors then</w:t>
      </w:r>
      <w:r w:rsidRPr="00C94C2F">
        <w:t xml:space="preserve"> estimated that only 1% of the total storage capacity </w:t>
      </w:r>
      <w:r>
        <w:t xml:space="preserve">was available for </w:t>
      </w:r>
      <w:r w:rsidRPr="00E154C4">
        <w:t>CO</w:t>
      </w:r>
      <w:r w:rsidRPr="009D5B2E">
        <w:rPr>
          <w:rStyle w:val="Subscript"/>
        </w:rPr>
        <w:t>2</w:t>
      </w:r>
      <w:r>
        <w:t xml:space="preserve"> storage</w:t>
      </w:r>
      <w:r w:rsidRPr="00C94C2F">
        <w:t xml:space="preserve">. </w:t>
      </w:r>
      <w:r>
        <w:t xml:space="preserve">Finally, it was recommended that the geological model undergo refinement, numerical simulations should be performed and that a </w:t>
      </w:r>
      <w:proofErr w:type="spellStart"/>
      <w:r>
        <w:t>geomechanical</w:t>
      </w:r>
      <w:proofErr w:type="spellEnd"/>
      <w:r>
        <w:t xml:space="preserve"> study be undertaken.</w:t>
      </w:r>
    </w:p>
    <w:p w:rsidR="00AE0B1A" w:rsidRDefault="00AE0B1A" w:rsidP="00AE0B1A">
      <w:pPr>
        <w:pStyle w:val="BodyText"/>
      </w:pPr>
      <w:r>
        <w:t xml:space="preserve">Utilising the findings of the previous GEODISC studies, </w:t>
      </w:r>
      <w:r>
        <w:rPr>
          <w:noProof/>
        </w:rPr>
        <w:t>Gibson-Poole (2009)</w:t>
      </w:r>
      <w:r w:rsidRPr="00C94C2F">
        <w:t xml:space="preserve"> </w:t>
      </w:r>
      <w:r>
        <w:t xml:space="preserve">completed a doctoral thesis detailing an assessment of the </w:t>
      </w:r>
      <w:r w:rsidRPr="00C94C2F">
        <w:t>Petrel Sub-basin ESCCI</w:t>
      </w:r>
      <w:r>
        <w:t xml:space="preserve">s and progressed to the completion of numerical simulations of the reservoirs and incorporated the findings of a </w:t>
      </w:r>
      <w:proofErr w:type="spellStart"/>
      <w:r>
        <w:t>geomechanical</w:t>
      </w:r>
      <w:proofErr w:type="spellEnd"/>
      <w:r>
        <w:t xml:space="preserve"> study. </w:t>
      </w:r>
      <w:r>
        <w:rPr>
          <w:noProof/>
        </w:rPr>
        <w:t>Gibson-Poole</w:t>
      </w:r>
      <w:r>
        <w:t xml:space="preserve"> also completed a detailed sequence stratigraphic analysis defining the systems tracts in key wells across the sub-</w:t>
      </w:r>
      <w:r w:rsidRPr="00DE0603">
        <w:t>basin (</w:t>
      </w:r>
      <w:r w:rsidR="00B30F18">
        <w:fldChar w:fldCharType="begin"/>
      </w:r>
      <w:r w:rsidR="00B30F18">
        <w:instrText xml:space="preserve"> REF _Ref380156250 \h </w:instrText>
      </w:r>
      <w:r w:rsidR="00B30F18">
        <w:fldChar w:fldCharType="separate"/>
      </w:r>
      <w:r w:rsidR="00F64E4F">
        <w:t xml:space="preserve">Table </w:t>
      </w:r>
      <w:r w:rsidR="00F64E4F">
        <w:rPr>
          <w:noProof/>
        </w:rPr>
        <w:t>3</w:t>
      </w:r>
      <w:r w:rsidR="00F64E4F">
        <w:t>.</w:t>
      </w:r>
      <w:r w:rsidR="00F64E4F">
        <w:rPr>
          <w:noProof/>
        </w:rPr>
        <w:t>2</w:t>
      </w:r>
      <w:r w:rsidR="00B30F18">
        <w:fldChar w:fldCharType="end"/>
      </w:r>
      <w:r w:rsidRPr="00DE0603">
        <w:t>)</w:t>
      </w:r>
      <w:r>
        <w:t xml:space="preserve">, and within the sequence stratigraphic framework identified key stratigraphic units in the Mesozoic section of the Petrel Sub-basin. The reservoir units of the ESCCIs, including the Sandpiper Sandstone and the Plover and </w:t>
      </w:r>
      <w:proofErr w:type="spellStart"/>
      <w:r>
        <w:t>Elang</w:t>
      </w:r>
      <w:proofErr w:type="spellEnd"/>
      <w:r>
        <w:t xml:space="preserve"> Formations, all comprise basal thick </w:t>
      </w:r>
      <w:proofErr w:type="spellStart"/>
      <w:r>
        <w:t>lowstand</w:t>
      </w:r>
      <w:proofErr w:type="spellEnd"/>
      <w:r>
        <w:t xml:space="preserve"> systems tracts (LST) succeeded by transgressive-regressive cycle(s) of thin transgressive systems tract (TST)-</w:t>
      </w:r>
      <w:proofErr w:type="spellStart"/>
      <w:r>
        <w:t>highstand</w:t>
      </w:r>
      <w:proofErr w:type="spellEnd"/>
      <w:r>
        <w:t xml:space="preserve"> systems tracts (HST). </w:t>
      </w:r>
    </w:p>
    <w:p w:rsidR="00AE0B1A" w:rsidRDefault="00AE0B1A" w:rsidP="00AE0B1A">
      <w:pPr>
        <w:pStyle w:val="BodyText"/>
      </w:pPr>
      <w:r>
        <w:t>In contrast, the Bathurst Island Group</w:t>
      </w:r>
      <w:r w:rsidRPr="00292D6D">
        <w:t xml:space="preserve"> </w:t>
      </w:r>
      <w:r>
        <w:t>and the Frigate Shale, the seals of the ESSCIs, lack the LST and represent transgressive-regressive cycle(s) of thick TST-HST (</w:t>
      </w:r>
      <w:r>
        <w:rPr>
          <w:noProof/>
        </w:rPr>
        <w:t>Gibson-Poole, 2009)</w:t>
      </w:r>
      <w:r>
        <w:t xml:space="preserve">. In the Bathurst Island Group, the HST is a </w:t>
      </w:r>
      <w:proofErr w:type="spellStart"/>
      <w:r>
        <w:t>supersequence</w:t>
      </w:r>
      <w:proofErr w:type="spellEnd"/>
      <w:r>
        <w:t xml:space="preserve"> produced during a prolonged period of relatively high sea level. The Sandpiper Sandstone and the Plover and </w:t>
      </w:r>
      <w:proofErr w:type="spellStart"/>
      <w:r>
        <w:t>Elang</w:t>
      </w:r>
      <w:proofErr w:type="spellEnd"/>
      <w:r>
        <w:t xml:space="preserve"> formations</w:t>
      </w:r>
      <w:r w:rsidRPr="00C94C2F" w:rsidDel="00CC1BB6">
        <w:t xml:space="preserve"> </w:t>
      </w:r>
      <w:r>
        <w:t>ESSCI reservoirs</w:t>
      </w:r>
      <w:r w:rsidRPr="00C94C2F">
        <w:t xml:space="preserve"> were characterised as thick and extensive sand-rich sequences with moderate to very good reservoir quality. The Plover and </w:t>
      </w:r>
      <w:proofErr w:type="spellStart"/>
      <w:r w:rsidRPr="00C94C2F">
        <w:t>Elang</w:t>
      </w:r>
      <w:proofErr w:type="spellEnd"/>
      <w:r w:rsidRPr="00C94C2F">
        <w:t xml:space="preserve"> formations were estimated to have an average porosity of 19% and permeability of 285 </w:t>
      </w:r>
      <w:proofErr w:type="spellStart"/>
      <w:r w:rsidR="00375DE5">
        <w:t>millid</w:t>
      </w:r>
      <w:r>
        <w:t>arcy</w:t>
      </w:r>
      <w:proofErr w:type="spellEnd"/>
      <w:r>
        <w:t xml:space="preserve"> (</w:t>
      </w:r>
      <w:proofErr w:type="spellStart"/>
      <w:r>
        <w:t>mD</w:t>
      </w:r>
      <w:proofErr w:type="spellEnd"/>
      <w:r>
        <w:t>)</w:t>
      </w:r>
      <w:r w:rsidRPr="00C94C2F">
        <w:t xml:space="preserve"> and the </w:t>
      </w:r>
      <w:r>
        <w:t>Sandpiper Sandstone</w:t>
      </w:r>
      <w:r w:rsidRPr="00C94C2F">
        <w:t xml:space="preserve"> was estimated to have an average porosity of 22% and an average permeability of 1675 </w:t>
      </w:r>
      <w:proofErr w:type="spellStart"/>
      <w:r>
        <w:t>mD</w:t>
      </w:r>
      <w:proofErr w:type="spellEnd"/>
      <w:r>
        <w:t xml:space="preserve"> (</w:t>
      </w:r>
      <w:r>
        <w:rPr>
          <w:noProof/>
        </w:rPr>
        <w:t>Gibson-Poole, 2009)</w:t>
      </w:r>
      <w:r w:rsidRPr="00C94C2F">
        <w:t xml:space="preserve">. The sealing capacity of the Bathurst Island </w:t>
      </w:r>
      <w:r>
        <w:t xml:space="preserve">Group </w:t>
      </w:r>
      <w:r w:rsidRPr="00C94C2F">
        <w:t xml:space="preserve">was rated as good to excellent and capable of providing secure containment. </w:t>
      </w:r>
      <w:r>
        <w:t xml:space="preserve">As a result, Gibson-Poole </w:t>
      </w:r>
      <w:r>
        <w:rPr>
          <w:noProof/>
        </w:rPr>
        <w:t>(2009)</w:t>
      </w:r>
      <w:r w:rsidRPr="00C94C2F">
        <w:t xml:space="preserve"> concluded that a lack of structural trapping in the sub-basin promoted hydrodynamic trapping as the likely storage mechanism, with </w:t>
      </w:r>
      <w:r>
        <w:t xml:space="preserve">fluid </w:t>
      </w:r>
      <w:r w:rsidRPr="00C94C2F">
        <w:t xml:space="preserve">migration towards the </w:t>
      </w:r>
      <w:r>
        <w:t>southeast</w:t>
      </w:r>
      <w:r w:rsidRPr="00C94C2F">
        <w:t xml:space="preserve">. </w:t>
      </w:r>
      <w:r>
        <w:t>Both t</w:t>
      </w:r>
      <w:r w:rsidRPr="00C94C2F">
        <w:t xml:space="preserve">he </w:t>
      </w:r>
      <w:r>
        <w:rPr>
          <w:noProof/>
        </w:rPr>
        <w:t>Lang and Gibson-Poole (2001)</w:t>
      </w:r>
      <w:r w:rsidRPr="00C94C2F">
        <w:t xml:space="preserve"> and </w:t>
      </w:r>
      <w:r>
        <w:rPr>
          <w:noProof/>
        </w:rPr>
        <w:t>Gibson-Poole (2009)</w:t>
      </w:r>
      <w:r w:rsidRPr="00C94C2F">
        <w:t xml:space="preserve"> studies modelled the r</w:t>
      </w:r>
      <w:r>
        <w:t>eservoirs and seals using a 5</w:t>
      </w:r>
      <w:r w:rsidRPr="00C94C2F">
        <w:t xml:space="preserve"> x 5 km cell size. The properties of the cells were populated using</w:t>
      </w:r>
      <w:r>
        <w:t xml:space="preserve"> the</w:t>
      </w:r>
      <w:r w:rsidRPr="00C94C2F">
        <w:t xml:space="preserve"> averaged </w:t>
      </w:r>
      <w:proofErr w:type="spellStart"/>
      <w:r w:rsidRPr="00C94C2F">
        <w:t>V</w:t>
      </w:r>
      <w:r>
        <w:t>shale</w:t>
      </w:r>
      <w:proofErr w:type="spellEnd"/>
      <w:r w:rsidRPr="00C94C2F">
        <w:t xml:space="preserve"> and porosity values of each layer at the wells and extrapolated throughout the model using a sequential Gaussian simulation method. </w:t>
      </w:r>
    </w:p>
    <w:p w:rsidR="00AE0B1A" w:rsidRPr="00C94C2F" w:rsidRDefault="00AE0B1A" w:rsidP="00AE0B1A">
      <w:pPr>
        <w:pStyle w:val="BodyText"/>
      </w:pPr>
      <w:r w:rsidRPr="00C94C2F">
        <w:t>The general conclusion of the G</w:t>
      </w:r>
      <w:r>
        <w:t>EODISC studies</w:t>
      </w:r>
      <w:r w:rsidRPr="00C94C2F">
        <w:t xml:space="preserve"> of the Petrel Sub-basin was </w:t>
      </w:r>
      <w:r>
        <w:t xml:space="preserve">that </w:t>
      </w:r>
      <w:r w:rsidRPr="00C94C2F">
        <w:t>the Plover and Sandpiper ESSCIs were likely</w:t>
      </w:r>
      <w:r>
        <w:t xml:space="preserve"> to be good</w:t>
      </w:r>
      <w:r w:rsidRPr="00C94C2F">
        <w:t xml:space="preserve"> sites for CO</w:t>
      </w:r>
      <w:r w:rsidRPr="009D5B2E">
        <w:rPr>
          <w:rStyle w:val="Subscript"/>
        </w:rPr>
        <w:t>2</w:t>
      </w:r>
      <w:r w:rsidRPr="00C94C2F">
        <w:t xml:space="preserve"> </w:t>
      </w:r>
      <w:r>
        <w:t xml:space="preserve">geological </w:t>
      </w:r>
      <w:r w:rsidRPr="00C94C2F">
        <w:t>storage</w:t>
      </w:r>
      <w:r>
        <w:t xml:space="preserve"> (Lang and Gibson-Poole, 2001; Gibson-Poole et al., 2002)</w:t>
      </w:r>
      <w:r w:rsidRPr="00C94C2F">
        <w:t xml:space="preserve">. </w:t>
      </w:r>
      <w:r>
        <w:rPr>
          <w:noProof/>
        </w:rPr>
        <w:t>Gibson-Poole (2009)</w:t>
      </w:r>
      <w:r w:rsidRPr="00C94C2F">
        <w:t xml:space="preserve"> utilised the </w:t>
      </w:r>
      <w:r>
        <w:rPr>
          <w:noProof/>
        </w:rPr>
        <w:t xml:space="preserve">United States Department of Energy </w:t>
      </w:r>
      <w:r w:rsidRPr="00C94C2F">
        <w:t xml:space="preserve">methodology </w:t>
      </w:r>
      <w:r>
        <w:rPr>
          <w:noProof/>
        </w:rPr>
        <w:t xml:space="preserve">(DOE, 2007) </w:t>
      </w:r>
      <w:r w:rsidRPr="00C94C2F">
        <w:t xml:space="preserve">to calculate a total </w:t>
      </w:r>
      <w:r>
        <w:t>CO</w:t>
      </w:r>
      <w:r w:rsidRPr="009D5B2E">
        <w:rPr>
          <w:rStyle w:val="Subscript"/>
        </w:rPr>
        <w:t>2</w:t>
      </w:r>
      <w:r>
        <w:t xml:space="preserve"> storage </w:t>
      </w:r>
      <w:r w:rsidRPr="00C94C2F">
        <w:t xml:space="preserve">capacity of </w:t>
      </w:r>
      <w:r w:rsidRPr="00191CAF">
        <w:t xml:space="preserve">193,464 </w:t>
      </w:r>
      <w:r>
        <w:t>MT</w:t>
      </w:r>
      <w:r w:rsidRPr="00C94C2F">
        <w:t xml:space="preserve">, assuming only </w:t>
      </w:r>
      <w:r>
        <w:t>4</w:t>
      </w:r>
      <w:r w:rsidRPr="00C94C2F">
        <w:t>% of pore space was available</w:t>
      </w:r>
      <w:r>
        <w:t>.</w:t>
      </w:r>
    </w:p>
    <w:p w:rsidR="00AE0B1A" w:rsidRDefault="00AE0B1A" w:rsidP="00AE0B1A">
      <w:pPr>
        <w:pStyle w:val="BodyText"/>
        <w:sectPr w:rsidR="00AE0B1A" w:rsidSect="009A01C9">
          <w:footerReference w:type="even" r:id="rId30"/>
          <w:footerReference w:type="default" r:id="rId31"/>
          <w:pgSz w:w="11907" w:h="16840" w:code="9"/>
          <w:pgMar w:top="1985" w:right="1418" w:bottom="1418" w:left="1418" w:header="720" w:footer="397" w:gutter="0"/>
          <w:cols w:space="720"/>
          <w:docGrid w:linePitch="272"/>
        </w:sectPr>
      </w:pPr>
      <w:r w:rsidRPr="00C94C2F">
        <w:t xml:space="preserve">Based in large part on the work described above, the Carbon Storage Taskforce ranked the </w:t>
      </w:r>
      <w:r>
        <w:t>sub-</w:t>
      </w:r>
      <w:r w:rsidRPr="00C94C2F">
        <w:t xml:space="preserve">basin as a </w:t>
      </w:r>
      <w:r>
        <w:t>H</w:t>
      </w:r>
      <w:r w:rsidRPr="00C94C2F">
        <w:t xml:space="preserve">ighly </w:t>
      </w:r>
      <w:r>
        <w:t>S</w:t>
      </w:r>
      <w:r w:rsidRPr="00C94C2F">
        <w:t>uitable basin for CO</w:t>
      </w:r>
      <w:r w:rsidRPr="009D5B2E">
        <w:rPr>
          <w:rStyle w:val="Subscript"/>
        </w:rPr>
        <w:t>2</w:t>
      </w:r>
      <w:r w:rsidRPr="00C94C2F">
        <w:t xml:space="preserve"> storage </w:t>
      </w:r>
      <w:r>
        <w:rPr>
          <w:noProof/>
        </w:rPr>
        <w:t xml:space="preserve">(Carbon Storage Taskforce, 2009). </w:t>
      </w:r>
      <w:r>
        <w:t>T</w:t>
      </w:r>
      <w:r w:rsidRPr="00C94C2F">
        <w:t>h</w:t>
      </w:r>
      <w:r>
        <w:t xml:space="preserve">is </w:t>
      </w:r>
      <w:r w:rsidRPr="00C94C2F">
        <w:t xml:space="preserve">assessment was </w:t>
      </w:r>
      <w:r>
        <w:lastRenderedPageBreak/>
        <w:t>part of</w:t>
      </w:r>
      <w:r w:rsidRPr="00C94C2F">
        <w:t xml:space="preserve"> a nation-wide screening of Australia’s sedimentary basin</w:t>
      </w:r>
      <w:r>
        <w:t>s</w:t>
      </w:r>
      <w:r w:rsidRPr="00C94C2F">
        <w:t xml:space="preserve"> that ranked the</w:t>
      </w:r>
      <w:r>
        <w:t>m</w:t>
      </w:r>
      <w:r w:rsidRPr="00C94C2F">
        <w:t xml:space="preserve"> based solely on their geological potential for CO</w:t>
      </w:r>
      <w:r w:rsidRPr="009D5B2E">
        <w:rPr>
          <w:rStyle w:val="Subscript"/>
        </w:rPr>
        <w:t xml:space="preserve">2 </w:t>
      </w:r>
      <w:r>
        <w:t>storage. T</w:t>
      </w:r>
      <w:r w:rsidRPr="00C94C2F">
        <w:t xml:space="preserve">he ranking was achieved using a modified </w:t>
      </w:r>
      <w:r>
        <w:rPr>
          <w:noProof/>
        </w:rPr>
        <w:t>Bachu et al. (2007)</w:t>
      </w:r>
      <w:r w:rsidRPr="00C94C2F">
        <w:t xml:space="preserve"> methodology, only</w:t>
      </w:r>
      <w:r>
        <w:t xml:space="preserve"> assessing </w:t>
      </w:r>
      <w:r w:rsidRPr="00C94C2F">
        <w:t xml:space="preserve">the geology and not taking into account the influences of economic plans, existing infrastructure or proximity to significant emission sources, making it separate from the ranking of the GEODISC Project. </w:t>
      </w:r>
      <w:r>
        <w:t xml:space="preserve">The probabilistic </w:t>
      </w:r>
      <w:r w:rsidRPr="00C94C2F">
        <w:t xml:space="preserve">theoretical </w:t>
      </w:r>
      <w:r>
        <w:t>CO</w:t>
      </w:r>
      <w:r w:rsidRPr="007D62B5">
        <w:rPr>
          <w:rStyle w:val="Subscript"/>
        </w:rPr>
        <w:t>2</w:t>
      </w:r>
      <w:r>
        <w:t xml:space="preserve"> geological storage </w:t>
      </w:r>
      <w:r w:rsidRPr="00C94C2F">
        <w:t xml:space="preserve">capacity of </w:t>
      </w:r>
      <w:r w:rsidRPr="00191CAF">
        <w:t xml:space="preserve">55,300 </w:t>
      </w:r>
      <w:r>
        <w:t>MT</w:t>
      </w:r>
      <w:r w:rsidRPr="00C94C2F">
        <w:t xml:space="preserve"> </w:t>
      </w:r>
      <w:r>
        <w:t xml:space="preserve">(P50, or best estimate; i.e., </w:t>
      </w:r>
      <w:r w:rsidRPr="00C94C2F">
        <w:t>that 50% of the estimates/outcomes are expected to be</w:t>
      </w:r>
      <w:r>
        <w:t xml:space="preserve"> larger</w:t>
      </w:r>
      <w:r w:rsidRPr="00C94C2F">
        <w:t xml:space="preserve"> than this value</w:t>
      </w:r>
      <w:r>
        <w:t xml:space="preserve">) reported by the Carbon Storage Taskforce for </w:t>
      </w:r>
      <w:r w:rsidRPr="00C94C2F">
        <w:t xml:space="preserve">the Petrel Sub-basin </w:t>
      </w:r>
      <w:r>
        <w:t>is</w:t>
      </w:r>
      <w:r w:rsidRPr="00C94C2F">
        <w:t xml:space="preserve"> very </w:t>
      </w:r>
      <w:r>
        <w:t xml:space="preserve">large. This </w:t>
      </w:r>
      <w:r w:rsidRPr="00C94C2F">
        <w:t>calculat</w:t>
      </w:r>
      <w:r>
        <w:t>ion was</w:t>
      </w:r>
      <w:r w:rsidRPr="00C94C2F">
        <w:t xml:space="preserve"> based on the </w:t>
      </w:r>
      <w:r>
        <w:rPr>
          <w:noProof/>
        </w:rPr>
        <w:t xml:space="preserve">DOE (2007) method (see </w:t>
      </w:r>
      <w:r w:rsidR="00B30F18">
        <w:fldChar w:fldCharType="begin"/>
      </w:r>
      <w:r w:rsidR="00B30F18">
        <w:rPr>
          <w:noProof/>
        </w:rPr>
        <w:instrText xml:space="preserve"> REF _Ref380156231 \h </w:instrText>
      </w:r>
      <w:r w:rsidR="00B30F18">
        <w:fldChar w:fldCharType="separate"/>
      </w:r>
      <w:r w:rsidR="00F64E4F">
        <w:t xml:space="preserve">Table </w:t>
      </w:r>
      <w:r w:rsidR="00F64E4F">
        <w:rPr>
          <w:noProof/>
        </w:rPr>
        <w:t>3</w:t>
      </w:r>
      <w:r w:rsidR="00F64E4F">
        <w:t>.</w:t>
      </w:r>
      <w:r w:rsidR="00F64E4F">
        <w:rPr>
          <w:noProof/>
        </w:rPr>
        <w:t>1</w:t>
      </w:r>
      <w:r w:rsidR="00B30F18">
        <w:fldChar w:fldCharType="end"/>
      </w:r>
      <w:r w:rsidR="00463DE7">
        <w:t xml:space="preserve"> </w:t>
      </w:r>
      <w:r>
        <w:t>for results)</w:t>
      </w:r>
      <w:r w:rsidRPr="00DE0603">
        <w:t xml:space="preserve">. </w:t>
      </w:r>
      <w:r>
        <w:t xml:space="preserve">As stated in Section </w:t>
      </w:r>
      <w:r>
        <w:fldChar w:fldCharType="begin"/>
      </w:r>
      <w:r>
        <w:instrText xml:space="preserve"> REF _Ref373144291 \r \h </w:instrText>
      </w:r>
      <w:r>
        <w:fldChar w:fldCharType="separate"/>
      </w:r>
      <w:r w:rsidR="00F64E4F">
        <w:t>1.4</w:t>
      </w:r>
      <w:r>
        <w:fldChar w:fldCharType="end"/>
      </w:r>
      <w:r>
        <w:t>, the present study aims</w:t>
      </w:r>
      <w:r w:rsidRPr="00C94C2F">
        <w:t xml:space="preserve"> to </w:t>
      </w:r>
      <w:r>
        <w:t xml:space="preserve">refine and improve </w:t>
      </w:r>
      <w:r w:rsidRPr="00C94C2F">
        <w:t xml:space="preserve">the theoretical storage capacity of the Petrel Sub-basin </w:t>
      </w:r>
      <w:r>
        <w:t xml:space="preserve">through a more detailed geological analysis, </w:t>
      </w:r>
      <w:r w:rsidRPr="00C94C2F">
        <w:t>a</w:t>
      </w:r>
      <w:r>
        <w:t>s well as</w:t>
      </w:r>
      <w:r w:rsidRPr="00C94C2F">
        <w:t xml:space="preserve"> identify data and knowledge gaps through an evaluation of existing literature and data coverage from publically</w:t>
      </w:r>
      <w:r>
        <w:t xml:space="preserve"> available datasets.</w:t>
      </w:r>
    </w:p>
    <w:p w:rsidR="00AE0B1A" w:rsidRDefault="00AE0B1A" w:rsidP="00AE0B1A">
      <w:pPr>
        <w:pStyle w:val="Tabletitle"/>
      </w:pPr>
      <w:bookmarkStart w:id="236" w:name="_Ref380156250"/>
      <w:bookmarkStart w:id="237" w:name="_Toc372790374"/>
      <w:bookmarkStart w:id="238" w:name="_Toc378252828"/>
      <w:bookmarkStart w:id="239" w:name="_Toc378253152"/>
      <w:bookmarkStart w:id="240" w:name="_Toc378253476"/>
      <w:bookmarkStart w:id="241" w:name="_Toc378253800"/>
      <w:bookmarkStart w:id="242" w:name="_Toc378254124"/>
      <w:bookmarkStart w:id="243" w:name="_Toc378254448"/>
      <w:bookmarkStart w:id="244" w:name="_Toc378254772"/>
      <w:bookmarkStart w:id="245" w:name="_Toc378255096"/>
      <w:bookmarkStart w:id="246" w:name="_Toc378255445"/>
      <w:r>
        <w:lastRenderedPageBreak/>
        <w:t xml:space="preserve">Table </w:t>
      </w:r>
      <w:fldSimple w:instr=" STYLEREF 1 \s ">
        <w:r w:rsidR="00F64E4F">
          <w:rPr>
            <w:noProof/>
          </w:rPr>
          <w:t>3</w:t>
        </w:r>
      </w:fldSimple>
      <w:r>
        <w:t>.</w:t>
      </w:r>
      <w:fldSimple w:instr=" SEQ Table \* ARABIC \s 1 ">
        <w:r w:rsidR="00F64E4F">
          <w:rPr>
            <w:noProof/>
          </w:rPr>
          <w:t>2</w:t>
        </w:r>
      </w:fldSimple>
      <w:bookmarkEnd w:id="236"/>
      <w:r>
        <w:t xml:space="preserve"> </w:t>
      </w:r>
      <w:r w:rsidRPr="006C46D1">
        <w:t xml:space="preserve">Sequence stratigraphic framework after Colwell and Kennard (1996) and Gibson-Poole (2009) and the formation top interpretation of this study. *Note: Formation biostratigraphy was based on the Bonaparte Basin </w:t>
      </w:r>
      <w:proofErr w:type="spellStart"/>
      <w:r w:rsidRPr="006C46D1">
        <w:t>Biozona</w:t>
      </w:r>
      <w:r>
        <w:t>tion</w:t>
      </w:r>
      <w:proofErr w:type="spellEnd"/>
      <w:r>
        <w:t xml:space="preserve"> and Stratigraphy Chart 33 </w:t>
      </w:r>
      <w:r w:rsidRPr="00C94C2F">
        <w:t>(</w:t>
      </w:r>
      <w:proofErr w:type="spellStart"/>
      <w:r w:rsidRPr="00C94C2F">
        <w:t>Nicoll</w:t>
      </w:r>
      <w:proofErr w:type="spellEnd"/>
      <w:r w:rsidRPr="00C94C2F">
        <w:t xml:space="preserve"> et al., 2009</w:t>
      </w:r>
      <w:r>
        <w:t>).</w:t>
      </w:r>
      <w:bookmarkEnd w:id="237"/>
      <w:bookmarkEnd w:id="238"/>
      <w:bookmarkEnd w:id="239"/>
      <w:bookmarkEnd w:id="240"/>
      <w:bookmarkEnd w:id="241"/>
      <w:bookmarkEnd w:id="242"/>
      <w:bookmarkEnd w:id="243"/>
      <w:bookmarkEnd w:id="244"/>
      <w:bookmarkEnd w:id="245"/>
      <w:bookmarkEnd w:id="246"/>
    </w:p>
    <w:tbl>
      <w:tblPr>
        <w:tblStyle w:val="TableGAHeaderRow"/>
        <w:tblW w:w="13467" w:type="dxa"/>
        <w:tblLayout w:type="fixed"/>
        <w:tblLook w:val="04A0" w:firstRow="1" w:lastRow="0" w:firstColumn="1" w:lastColumn="0" w:noHBand="0" w:noVBand="1"/>
        <w:tblCaption w:val="Table 3.2"/>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843"/>
        <w:gridCol w:w="1276"/>
        <w:gridCol w:w="1134"/>
        <w:gridCol w:w="3402"/>
        <w:gridCol w:w="2693"/>
        <w:gridCol w:w="3119"/>
      </w:tblGrid>
      <w:tr w:rsidR="00AE0B1A" w:rsidRPr="0047117B" w:rsidTr="00AE0B1A">
        <w:trPr>
          <w:cnfStyle w:val="100000000000" w:firstRow="1" w:lastRow="0" w:firstColumn="0" w:lastColumn="0" w:oddVBand="0" w:evenVBand="0" w:oddHBand="0" w:evenHBand="0" w:firstRowFirstColumn="0" w:firstRowLastColumn="0" w:lastRowFirstColumn="0" w:lastRowLastColumn="0"/>
          <w:tblHeader/>
        </w:trPr>
        <w:tc>
          <w:tcPr>
            <w:tcW w:w="1843" w:type="dxa"/>
          </w:tcPr>
          <w:p w:rsidR="00AE0B1A" w:rsidRPr="0047117B" w:rsidRDefault="00AE0B1A" w:rsidP="00FD0A94">
            <w:pPr>
              <w:pStyle w:val="Tabletextleft"/>
            </w:pPr>
            <w:r w:rsidRPr="0047117B">
              <w:t>Colwell and Kennard (1996)</w:t>
            </w:r>
          </w:p>
          <w:p w:rsidR="00AE0B1A" w:rsidRPr="0047117B" w:rsidRDefault="00AE0B1A" w:rsidP="00FD0A94">
            <w:pPr>
              <w:pStyle w:val="Tabletextleft"/>
            </w:pPr>
            <w:r>
              <w:t>Sequence b</w:t>
            </w:r>
            <w:r w:rsidRPr="0047117B">
              <w:t>oundaries</w:t>
            </w:r>
          </w:p>
        </w:tc>
        <w:tc>
          <w:tcPr>
            <w:tcW w:w="2410" w:type="dxa"/>
            <w:gridSpan w:val="2"/>
          </w:tcPr>
          <w:p w:rsidR="00AE0B1A" w:rsidRPr="0047117B" w:rsidRDefault="00AE0B1A" w:rsidP="00FD0A94">
            <w:pPr>
              <w:pStyle w:val="Tabletextleft"/>
            </w:pPr>
            <w:r w:rsidRPr="0047117B">
              <w:t>Gibson-Poole (2009) Sequences</w:t>
            </w:r>
            <w:r>
              <w:t xml:space="preserve"> and system tracts</w:t>
            </w:r>
          </w:p>
        </w:tc>
        <w:tc>
          <w:tcPr>
            <w:tcW w:w="3402" w:type="dxa"/>
          </w:tcPr>
          <w:p w:rsidR="00AE0B1A" w:rsidRPr="0047117B" w:rsidRDefault="00AE0B1A" w:rsidP="00FD0A94">
            <w:pPr>
              <w:pStyle w:val="Tabletextleft"/>
            </w:pPr>
            <w:r w:rsidRPr="0047117B">
              <w:t>Biostratigraphy (This study)*</w:t>
            </w:r>
          </w:p>
        </w:tc>
        <w:tc>
          <w:tcPr>
            <w:tcW w:w="2693" w:type="dxa"/>
          </w:tcPr>
          <w:p w:rsidR="00AE0B1A" w:rsidRPr="0047117B" w:rsidRDefault="00AE0B1A" w:rsidP="00FD0A94">
            <w:pPr>
              <w:pStyle w:val="Tabletextleft"/>
            </w:pPr>
            <w:r w:rsidRPr="0047117B">
              <w:t>Formation (This study)</w:t>
            </w:r>
          </w:p>
        </w:tc>
        <w:tc>
          <w:tcPr>
            <w:tcW w:w="3119" w:type="dxa"/>
          </w:tcPr>
          <w:p w:rsidR="00AE0B1A" w:rsidRPr="0047117B" w:rsidRDefault="00AE0B1A" w:rsidP="00FD0A94">
            <w:pPr>
              <w:pStyle w:val="Tabletextleft"/>
            </w:pPr>
            <w:r w:rsidRPr="0047117B">
              <w:t>Reservoir and seal (This study)</w:t>
            </w:r>
          </w:p>
        </w:tc>
      </w:tr>
      <w:tr w:rsidR="00AE0B1A" w:rsidRPr="0047117B" w:rsidTr="00AE0B1A">
        <w:trPr>
          <w:cnfStyle w:val="000000100000" w:firstRow="0" w:lastRow="0" w:firstColumn="0" w:lastColumn="0" w:oddVBand="0" w:evenVBand="0" w:oddHBand="1" w:evenHBand="0" w:firstRowFirstColumn="0" w:firstRowLastColumn="0" w:lastRowFirstColumn="0" w:lastRowLastColumn="0"/>
          <w:cantSplit/>
        </w:trPr>
        <w:tc>
          <w:tcPr>
            <w:tcW w:w="1843" w:type="dxa"/>
            <w:vMerge w:val="restart"/>
          </w:tcPr>
          <w:p w:rsidR="00AE0B1A" w:rsidRPr="0047117B" w:rsidRDefault="00AE0B1A" w:rsidP="00FD0A94">
            <w:pPr>
              <w:pStyle w:val="Tabletextleft"/>
            </w:pPr>
            <w:r w:rsidRPr="0047117B">
              <w:t>Bathurst Island Sequence</w:t>
            </w:r>
          </w:p>
        </w:tc>
        <w:tc>
          <w:tcPr>
            <w:tcW w:w="1276" w:type="dxa"/>
            <w:noWrap/>
          </w:tcPr>
          <w:p w:rsidR="00AE0B1A" w:rsidRPr="00F60B69" w:rsidRDefault="00AE0B1A" w:rsidP="002F4AE8">
            <w:pPr>
              <w:pStyle w:val="Tabletextleft"/>
            </w:pPr>
            <w:r w:rsidRPr="00F60B69">
              <w:t>SEQUENCE 8</w:t>
            </w:r>
          </w:p>
        </w:tc>
        <w:tc>
          <w:tcPr>
            <w:tcW w:w="1134" w:type="dxa"/>
            <w:noWrap/>
          </w:tcPr>
          <w:p w:rsidR="00AE0B1A" w:rsidRPr="0047117B" w:rsidRDefault="00AE0B1A" w:rsidP="002F4AE8">
            <w:pPr>
              <w:pStyle w:val="Tabletextleft"/>
            </w:pPr>
            <w:r w:rsidRPr="0047117B">
              <w:t>HST</w:t>
            </w:r>
          </w:p>
        </w:tc>
        <w:tc>
          <w:tcPr>
            <w:tcW w:w="3402" w:type="dxa"/>
          </w:tcPr>
          <w:p w:rsidR="00AE0B1A" w:rsidRPr="00AE5C2D" w:rsidRDefault="00AE0B1A" w:rsidP="002F4AE8">
            <w:pPr>
              <w:pStyle w:val="Tabletextleft"/>
              <w:rPr>
                <w:rStyle w:val="Italic"/>
              </w:rPr>
            </w:pPr>
            <w:proofErr w:type="spellStart"/>
            <w:r w:rsidRPr="00AE5C2D">
              <w:rPr>
                <w:rStyle w:val="Italic"/>
              </w:rPr>
              <w:t>Muderongia</w:t>
            </w:r>
            <w:proofErr w:type="spellEnd"/>
            <w:r w:rsidRPr="00AE5C2D">
              <w:rPr>
                <w:rStyle w:val="Italic"/>
              </w:rPr>
              <w:t xml:space="preserve"> </w:t>
            </w:r>
            <w:proofErr w:type="spellStart"/>
            <w:r w:rsidRPr="00AE5C2D">
              <w:rPr>
                <w:rStyle w:val="Italic"/>
              </w:rPr>
              <w:t>tetracantha</w:t>
            </w:r>
            <w:proofErr w:type="spellEnd"/>
            <w:r w:rsidRPr="00AE5C2D">
              <w:rPr>
                <w:rStyle w:val="Italic"/>
              </w:rPr>
              <w:t xml:space="preserve"> </w:t>
            </w:r>
            <w:r w:rsidRPr="002F4AE8">
              <w:t>to</w:t>
            </w:r>
          </w:p>
          <w:p w:rsidR="00AE0B1A" w:rsidRPr="00AB5B14" w:rsidRDefault="00AE0B1A" w:rsidP="002F4AE8">
            <w:pPr>
              <w:pStyle w:val="Tabletextleft"/>
              <w:rPr>
                <w:b/>
                <w:bCs/>
                <w:color w:val="000000"/>
              </w:rPr>
            </w:pPr>
            <w:proofErr w:type="spellStart"/>
            <w:r w:rsidRPr="00AE5C2D">
              <w:rPr>
                <w:rStyle w:val="Italic"/>
              </w:rPr>
              <w:t>Manumiella</w:t>
            </w:r>
            <w:proofErr w:type="spellEnd"/>
            <w:r w:rsidRPr="00AE5C2D">
              <w:rPr>
                <w:rStyle w:val="Italic"/>
              </w:rPr>
              <w:t xml:space="preserve"> </w:t>
            </w:r>
            <w:proofErr w:type="spellStart"/>
            <w:r w:rsidRPr="00AE5C2D">
              <w:rPr>
                <w:rStyle w:val="Italic"/>
              </w:rPr>
              <w:t>druggii</w:t>
            </w:r>
            <w:proofErr w:type="spellEnd"/>
          </w:p>
        </w:tc>
        <w:tc>
          <w:tcPr>
            <w:tcW w:w="2693" w:type="dxa"/>
          </w:tcPr>
          <w:p w:rsidR="00AE0B1A" w:rsidRPr="00F60B69" w:rsidRDefault="00AE0B1A" w:rsidP="002F4AE8">
            <w:pPr>
              <w:pStyle w:val="Tabletextleft"/>
            </w:pPr>
            <w:proofErr w:type="spellStart"/>
            <w:r w:rsidRPr="00F60B69">
              <w:t>Wangarlu</w:t>
            </w:r>
            <w:proofErr w:type="spellEnd"/>
            <w:r w:rsidRPr="00F60B69">
              <w:t xml:space="preserve"> Formation</w:t>
            </w:r>
          </w:p>
        </w:tc>
        <w:tc>
          <w:tcPr>
            <w:tcW w:w="3119" w:type="dxa"/>
          </w:tcPr>
          <w:p w:rsidR="00AE0B1A" w:rsidRPr="0047117B" w:rsidRDefault="00AE0B1A" w:rsidP="002F4AE8">
            <w:pPr>
              <w:pStyle w:val="Tabletextleft"/>
            </w:pPr>
            <w:r w:rsidRPr="0047117B">
              <w:t>Cretaceous seal</w:t>
            </w:r>
          </w:p>
        </w:tc>
      </w:tr>
      <w:tr w:rsidR="00AE0B1A" w:rsidRPr="0047117B" w:rsidTr="00AE0B1A">
        <w:trPr>
          <w:cnfStyle w:val="000000010000" w:firstRow="0" w:lastRow="0" w:firstColumn="0" w:lastColumn="0" w:oddVBand="0" w:evenVBand="0" w:oddHBand="0" w:evenHBand="1" w:firstRowFirstColumn="0" w:firstRowLastColumn="0" w:lastRowFirstColumn="0" w:lastRowLastColumn="0"/>
          <w:cantSplit/>
        </w:trPr>
        <w:tc>
          <w:tcPr>
            <w:tcW w:w="1843" w:type="dxa"/>
            <w:vMerge/>
          </w:tcPr>
          <w:p w:rsidR="00AE0B1A" w:rsidRPr="0047117B" w:rsidRDefault="00AE0B1A" w:rsidP="00FD0A94">
            <w:pPr>
              <w:pStyle w:val="Tabletextleft"/>
            </w:pPr>
          </w:p>
        </w:tc>
        <w:tc>
          <w:tcPr>
            <w:tcW w:w="1276" w:type="dxa"/>
            <w:vMerge w:val="restart"/>
            <w:noWrap/>
            <w:hideMark/>
          </w:tcPr>
          <w:p w:rsidR="00AE0B1A" w:rsidRPr="00F60B69" w:rsidRDefault="00AE0B1A" w:rsidP="002F4AE8">
            <w:pPr>
              <w:pStyle w:val="Tabletextleft"/>
            </w:pPr>
            <w:r w:rsidRPr="00F60B69">
              <w:t>SEQUENCE 7</w:t>
            </w:r>
          </w:p>
        </w:tc>
        <w:tc>
          <w:tcPr>
            <w:tcW w:w="1134" w:type="dxa"/>
            <w:vMerge w:val="restart"/>
            <w:noWrap/>
            <w:hideMark/>
          </w:tcPr>
          <w:p w:rsidR="00AE0B1A" w:rsidRPr="0047117B" w:rsidRDefault="00AE0B1A" w:rsidP="002F4AE8">
            <w:pPr>
              <w:pStyle w:val="Tabletextleft"/>
            </w:pPr>
            <w:r w:rsidRPr="0047117B">
              <w:t>HST</w:t>
            </w:r>
          </w:p>
          <w:p w:rsidR="00AE0B1A" w:rsidRPr="0047117B" w:rsidRDefault="00AE0B1A" w:rsidP="002F4AE8">
            <w:pPr>
              <w:pStyle w:val="Tabletextleft"/>
            </w:pPr>
            <w:r w:rsidRPr="0047117B">
              <w:t>TST</w:t>
            </w:r>
          </w:p>
        </w:tc>
        <w:tc>
          <w:tcPr>
            <w:tcW w:w="3402" w:type="dxa"/>
            <w:vMerge w:val="restart"/>
          </w:tcPr>
          <w:p w:rsidR="00AE0B1A" w:rsidRPr="009D5B2E" w:rsidRDefault="00AE0B1A" w:rsidP="002F4AE8">
            <w:pPr>
              <w:pStyle w:val="Tabletextleft"/>
              <w:rPr>
                <w:rStyle w:val="Italic"/>
              </w:rPr>
            </w:pPr>
            <w:proofErr w:type="spellStart"/>
            <w:r w:rsidRPr="009D5B2E">
              <w:rPr>
                <w:rStyle w:val="Italic"/>
              </w:rPr>
              <w:t>Systematophora</w:t>
            </w:r>
            <w:proofErr w:type="spellEnd"/>
            <w:r w:rsidRPr="009D5B2E">
              <w:rPr>
                <w:rStyle w:val="Italic"/>
              </w:rPr>
              <w:t xml:space="preserve"> </w:t>
            </w:r>
            <w:proofErr w:type="spellStart"/>
            <w:r w:rsidRPr="009D5B2E">
              <w:rPr>
                <w:rStyle w:val="Italic"/>
              </w:rPr>
              <w:t>areolata</w:t>
            </w:r>
            <w:proofErr w:type="spellEnd"/>
            <w:r w:rsidRPr="009D5B2E">
              <w:rPr>
                <w:rStyle w:val="Italic"/>
              </w:rPr>
              <w:t xml:space="preserve"> </w:t>
            </w:r>
            <w:r w:rsidRPr="00AB5B14">
              <w:t>to</w:t>
            </w:r>
          </w:p>
          <w:p w:rsidR="00AE0B1A" w:rsidRPr="00AB5B14" w:rsidRDefault="00AE0B1A" w:rsidP="002F4AE8">
            <w:pPr>
              <w:pStyle w:val="Tabletextleft"/>
              <w:rPr>
                <w:b/>
                <w:bCs/>
                <w:color w:val="000000"/>
              </w:rPr>
            </w:pPr>
            <w:proofErr w:type="spellStart"/>
            <w:r w:rsidRPr="009D5B2E">
              <w:rPr>
                <w:rStyle w:val="Italic"/>
              </w:rPr>
              <w:t>Dinconodinium</w:t>
            </w:r>
            <w:proofErr w:type="spellEnd"/>
            <w:r w:rsidRPr="009D5B2E">
              <w:rPr>
                <w:rStyle w:val="Italic"/>
              </w:rPr>
              <w:t xml:space="preserve"> </w:t>
            </w:r>
            <w:proofErr w:type="spellStart"/>
            <w:r w:rsidRPr="009D5B2E">
              <w:rPr>
                <w:rStyle w:val="Italic"/>
              </w:rPr>
              <w:t>davidii</w:t>
            </w:r>
            <w:proofErr w:type="spellEnd"/>
          </w:p>
        </w:tc>
        <w:tc>
          <w:tcPr>
            <w:tcW w:w="2693" w:type="dxa"/>
          </w:tcPr>
          <w:p w:rsidR="00AE0B1A" w:rsidRPr="00F60B69" w:rsidRDefault="00AE0B1A" w:rsidP="002F4AE8">
            <w:pPr>
              <w:pStyle w:val="Tabletextleft"/>
            </w:pPr>
            <w:r w:rsidRPr="00F60B69">
              <w:t>Darwin Formation</w:t>
            </w:r>
          </w:p>
        </w:tc>
        <w:tc>
          <w:tcPr>
            <w:tcW w:w="3119" w:type="dxa"/>
          </w:tcPr>
          <w:p w:rsidR="00AE0B1A" w:rsidRPr="0047117B" w:rsidRDefault="00AE0B1A" w:rsidP="002F4AE8">
            <w:pPr>
              <w:pStyle w:val="Tabletextleft"/>
              <w:rPr>
                <w:i/>
              </w:rPr>
            </w:pPr>
            <w:r w:rsidRPr="0047117B">
              <w:t>Cretaceous seal</w:t>
            </w:r>
          </w:p>
        </w:tc>
      </w:tr>
      <w:tr w:rsidR="00AE0B1A" w:rsidRPr="0047117B" w:rsidTr="00AE0B1A">
        <w:trPr>
          <w:cnfStyle w:val="000000100000" w:firstRow="0" w:lastRow="0" w:firstColumn="0" w:lastColumn="0" w:oddVBand="0" w:evenVBand="0" w:oddHBand="1" w:evenHBand="0" w:firstRowFirstColumn="0" w:firstRowLastColumn="0" w:lastRowFirstColumn="0" w:lastRowLastColumn="0"/>
          <w:cantSplit/>
        </w:trPr>
        <w:tc>
          <w:tcPr>
            <w:tcW w:w="1843" w:type="dxa"/>
            <w:vMerge/>
          </w:tcPr>
          <w:p w:rsidR="00AE0B1A" w:rsidRPr="0047117B" w:rsidRDefault="00AE0B1A" w:rsidP="00FD0A94">
            <w:pPr>
              <w:pStyle w:val="Tabletextleft"/>
            </w:pPr>
          </w:p>
        </w:tc>
        <w:tc>
          <w:tcPr>
            <w:tcW w:w="1276" w:type="dxa"/>
            <w:vMerge/>
            <w:noWrap/>
          </w:tcPr>
          <w:p w:rsidR="00AE0B1A" w:rsidRPr="00FD0A94" w:rsidRDefault="00AE0B1A" w:rsidP="002F4AE8">
            <w:pPr>
              <w:pStyle w:val="Tabletextleft"/>
              <w:rPr>
                <w:b/>
              </w:rPr>
            </w:pPr>
          </w:p>
        </w:tc>
        <w:tc>
          <w:tcPr>
            <w:tcW w:w="1134" w:type="dxa"/>
            <w:vMerge/>
            <w:noWrap/>
          </w:tcPr>
          <w:p w:rsidR="00AE0B1A" w:rsidRPr="0047117B" w:rsidRDefault="00AE0B1A" w:rsidP="002F4AE8">
            <w:pPr>
              <w:pStyle w:val="Tabletextleft"/>
            </w:pPr>
          </w:p>
        </w:tc>
        <w:tc>
          <w:tcPr>
            <w:tcW w:w="3402" w:type="dxa"/>
            <w:vMerge/>
          </w:tcPr>
          <w:p w:rsidR="00AE0B1A" w:rsidRPr="00AB5B14" w:rsidRDefault="00AE0B1A" w:rsidP="002F4AE8">
            <w:pPr>
              <w:pStyle w:val="Tabletextleft"/>
              <w:rPr>
                <w:b/>
                <w:bCs/>
                <w:color w:val="000000"/>
              </w:rPr>
            </w:pPr>
          </w:p>
        </w:tc>
        <w:tc>
          <w:tcPr>
            <w:tcW w:w="2693" w:type="dxa"/>
          </w:tcPr>
          <w:p w:rsidR="00AE0B1A" w:rsidRPr="00F60B69" w:rsidRDefault="00AE0B1A" w:rsidP="002F4AE8">
            <w:pPr>
              <w:pStyle w:val="Tabletextleft"/>
            </w:pPr>
            <w:r w:rsidRPr="00F60B69">
              <w:t>Echuca Shoals Formation</w:t>
            </w:r>
          </w:p>
        </w:tc>
        <w:tc>
          <w:tcPr>
            <w:tcW w:w="3119" w:type="dxa"/>
          </w:tcPr>
          <w:p w:rsidR="00AE0B1A" w:rsidRPr="0047117B" w:rsidRDefault="00AE0B1A" w:rsidP="002F4AE8">
            <w:pPr>
              <w:pStyle w:val="Tabletextleft"/>
              <w:rPr>
                <w:b/>
                <w:bCs/>
                <w:color w:val="000000"/>
              </w:rPr>
            </w:pPr>
            <w:r w:rsidRPr="0047117B">
              <w:t>Cretaceous seal</w:t>
            </w:r>
          </w:p>
        </w:tc>
      </w:tr>
      <w:tr w:rsidR="00AE0B1A" w:rsidRPr="0047117B" w:rsidTr="00AE0B1A">
        <w:trPr>
          <w:cnfStyle w:val="000000010000" w:firstRow="0" w:lastRow="0" w:firstColumn="0" w:lastColumn="0" w:oddVBand="0" w:evenVBand="0" w:oddHBand="0" w:evenHBand="1" w:firstRowFirstColumn="0" w:firstRowLastColumn="0" w:lastRowFirstColumn="0" w:lastRowLastColumn="0"/>
          <w:cantSplit/>
        </w:trPr>
        <w:tc>
          <w:tcPr>
            <w:tcW w:w="1843" w:type="dxa"/>
            <w:vMerge w:val="restart"/>
          </w:tcPr>
          <w:p w:rsidR="00AE0B1A" w:rsidRPr="0047117B" w:rsidRDefault="00AE0B1A" w:rsidP="00FD0A94">
            <w:pPr>
              <w:pStyle w:val="Tabletextleft"/>
            </w:pPr>
            <w:r w:rsidRPr="0047117B">
              <w:t>Flamingo Sequence</w:t>
            </w:r>
          </w:p>
        </w:tc>
        <w:tc>
          <w:tcPr>
            <w:tcW w:w="1276" w:type="dxa"/>
            <w:noWrap/>
          </w:tcPr>
          <w:p w:rsidR="00AE0B1A" w:rsidRPr="00F60B69" w:rsidRDefault="00AE0B1A" w:rsidP="002F4AE8">
            <w:pPr>
              <w:pStyle w:val="Tabletextleft"/>
            </w:pPr>
            <w:r w:rsidRPr="00F60B69">
              <w:t>SEQUENCE 6</w:t>
            </w:r>
          </w:p>
        </w:tc>
        <w:tc>
          <w:tcPr>
            <w:tcW w:w="1134" w:type="dxa"/>
            <w:noWrap/>
          </w:tcPr>
          <w:p w:rsidR="00AE0B1A" w:rsidRPr="0047117B" w:rsidRDefault="00AE0B1A" w:rsidP="002F4AE8">
            <w:pPr>
              <w:pStyle w:val="Tabletextleft"/>
            </w:pPr>
            <w:r w:rsidRPr="0047117B">
              <w:t>HST</w:t>
            </w:r>
          </w:p>
          <w:p w:rsidR="00AE0B1A" w:rsidRPr="0047117B" w:rsidRDefault="00AE0B1A" w:rsidP="002F4AE8">
            <w:pPr>
              <w:pStyle w:val="Tabletextleft"/>
            </w:pPr>
            <w:r w:rsidRPr="0047117B">
              <w:t>TST</w:t>
            </w:r>
          </w:p>
          <w:p w:rsidR="00AE0B1A" w:rsidRPr="0047117B" w:rsidRDefault="00AE0B1A" w:rsidP="002F4AE8">
            <w:pPr>
              <w:pStyle w:val="Tabletextleft"/>
            </w:pPr>
            <w:r w:rsidRPr="0047117B">
              <w:t>LST</w:t>
            </w:r>
          </w:p>
        </w:tc>
        <w:tc>
          <w:tcPr>
            <w:tcW w:w="3402" w:type="dxa"/>
            <w:vMerge w:val="restart"/>
          </w:tcPr>
          <w:p w:rsidR="00AE0B1A" w:rsidRPr="009D5B2E" w:rsidRDefault="00AE0B1A" w:rsidP="002F4AE8">
            <w:pPr>
              <w:pStyle w:val="Tabletextleft"/>
              <w:rPr>
                <w:rStyle w:val="Italic"/>
              </w:rPr>
            </w:pPr>
            <w:proofErr w:type="spellStart"/>
            <w:r w:rsidRPr="009D5B2E">
              <w:rPr>
                <w:rStyle w:val="Italic"/>
              </w:rPr>
              <w:t>Pseudoceratium</w:t>
            </w:r>
            <w:proofErr w:type="spellEnd"/>
            <w:r w:rsidRPr="009D5B2E">
              <w:rPr>
                <w:rStyle w:val="Italic"/>
              </w:rPr>
              <w:t xml:space="preserve"> </w:t>
            </w:r>
            <w:proofErr w:type="spellStart"/>
            <w:r w:rsidRPr="009D5B2E">
              <w:rPr>
                <w:rStyle w:val="Italic"/>
              </w:rPr>
              <w:t>iehiense</w:t>
            </w:r>
            <w:proofErr w:type="spellEnd"/>
            <w:r w:rsidRPr="009D5B2E">
              <w:rPr>
                <w:rStyle w:val="Italic"/>
              </w:rPr>
              <w:t xml:space="preserve"> </w:t>
            </w:r>
            <w:r w:rsidRPr="00AB5B14">
              <w:t>to</w:t>
            </w:r>
          </w:p>
          <w:p w:rsidR="00AE0B1A" w:rsidRPr="00AB5B14" w:rsidRDefault="00AE0B1A" w:rsidP="002F4AE8">
            <w:pPr>
              <w:pStyle w:val="Tabletextleft"/>
              <w:rPr>
                <w:b/>
                <w:bCs/>
                <w:color w:val="000000"/>
              </w:rPr>
            </w:pPr>
            <w:proofErr w:type="spellStart"/>
            <w:r w:rsidRPr="009D5B2E">
              <w:rPr>
                <w:rStyle w:val="Italic"/>
              </w:rPr>
              <w:t>Egmontodinium</w:t>
            </w:r>
            <w:proofErr w:type="spellEnd"/>
            <w:r w:rsidRPr="009D5B2E">
              <w:rPr>
                <w:rStyle w:val="Italic"/>
              </w:rPr>
              <w:t xml:space="preserve"> </w:t>
            </w:r>
            <w:proofErr w:type="spellStart"/>
            <w:r w:rsidRPr="009D5B2E">
              <w:rPr>
                <w:rStyle w:val="Italic"/>
              </w:rPr>
              <w:t>torynum</w:t>
            </w:r>
            <w:proofErr w:type="spellEnd"/>
          </w:p>
        </w:tc>
        <w:tc>
          <w:tcPr>
            <w:tcW w:w="2693" w:type="dxa"/>
            <w:vMerge w:val="restart"/>
          </w:tcPr>
          <w:p w:rsidR="00AE0B1A" w:rsidRPr="00F60B69" w:rsidRDefault="00AE0B1A" w:rsidP="002F4AE8">
            <w:pPr>
              <w:pStyle w:val="Tabletextleft"/>
            </w:pPr>
            <w:r w:rsidRPr="00F60B69">
              <w:t>Sandpiper Sandstone</w:t>
            </w:r>
          </w:p>
        </w:tc>
        <w:tc>
          <w:tcPr>
            <w:tcW w:w="3119" w:type="dxa"/>
            <w:vMerge w:val="restart"/>
          </w:tcPr>
          <w:p w:rsidR="00AE0B1A" w:rsidRPr="0047117B" w:rsidRDefault="00AE0B1A" w:rsidP="002F4AE8">
            <w:pPr>
              <w:pStyle w:val="Tabletextleft"/>
              <w:rPr>
                <w:i/>
                <w:iCs/>
                <w:color w:val="000000"/>
              </w:rPr>
            </w:pPr>
            <w:r w:rsidRPr="0047117B">
              <w:t>Cretaceous reservoir</w:t>
            </w:r>
          </w:p>
        </w:tc>
      </w:tr>
      <w:tr w:rsidR="00AE0B1A" w:rsidRPr="0047117B" w:rsidTr="00AE0B1A">
        <w:trPr>
          <w:cnfStyle w:val="000000100000" w:firstRow="0" w:lastRow="0" w:firstColumn="0" w:lastColumn="0" w:oddVBand="0" w:evenVBand="0" w:oddHBand="1" w:evenHBand="0" w:firstRowFirstColumn="0" w:firstRowLastColumn="0" w:lastRowFirstColumn="0" w:lastRowLastColumn="0"/>
          <w:cantSplit/>
        </w:trPr>
        <w:tc>
          <w:tcPr>
            <w:tcW w:w="1843" w:type="dxa"/>
            <w:vMerge/>
          </w:tcPr>
          <w:p w:rsidR="00AE0B1A" w:rsidRPr="0047117B" w:rsidRDefault="00AE0B1A" w:rsidP="00FD0A94">
            <w:pPr>
              <w:pStyle w:val="Tabletextleft"/>
            </w:pPr>
          </w:p>
        </w:tc>
        <w:tc>
          <w:tcPr>
            <w:tcW w:w="1276" w:type="dxa"/>
            <w:noWrap/>
          </w:tcPr>
          <w:p w:rsidR="00AE0B1A" w:rsidRPr="00F60B69" w:rsidRDefault="00AE0B1A" w:rsidP="002F4AE8">
            <w:pPr>
              <w:pStyle w:val="Tabletextleft"/>
            </w:pPr>
            <w:r w:rsidRPr="00F60B69">
              <w:t>SEQUENCE 5</w:t>
            </w:r>
          </w:p>
        </w:tc>
        <w:tc>
          <w:tcPr>
            <w:tcW w:w="1134" w:type="dxa"/>
            <w:noWrap/>
          </w:tcPr>
          <w:p w:rsidR="00AE0B1A" w:rsidRPr="0047117B" w:rsidRDefault="00AE0B1A" w:rsidP="002F4AE8">
            <w:pPr>
              <w:pStyle w:val="Tabletextleft"/>
            </w:pPr>
            <w:r w:rsidRPr="0047117B">
              <w:t>HST</w:t>
            </w:r>
          </w:p>
          <w:p w:rsidR="00AE0B1A" w:rsidRPr="0047117B" w:rsidRDefault="00AE0B1A" w:rsidP="002F4AE8">
            <w:pPr>
              <w:pStyle w:val="Tabletextleft"/>
            </w:pPr>
            <w:r w:rsidRPr="0047117B">
              <w:t>TST</w:t>
            </w:r>
          </w:p>
          <w:p w:rsidR="00AE0B1A" w:rsidRPr="0047117B" w:rsidRDefault="00AE0B1A" w:rsidP="002F4AE8">
            <w:pPr>
              <w:pStyle w:val="Tabletextleft"/>
            </w:pPr>
            <w:r w:rsidRPr="0047117B">
              <w:t>LST</w:t>
            </w:r>
          </w:p>
        </w:tc>
        <w:tc>
          <w:tcPr>
            <w:tcW w:w="3402" w:type="dxa"/>
            <w:vMerge/>
          </w:tcPr>
          <w:p w:rsidR="00AE0B1A" w:rsidRPr="00AB5B14" w:rsidRDefault="00AE0B1A" w:rsidP="002F4AE8">
            <w:pPr>
              <w:pStyle w:val="Tabletextleft"/>
              <w:rPr>
                <w:iCs/>
                <w:color w:val="000000"/>
              </w:rPr>
            </w:pPr>
          </w:p>
        </w:tc>
        <w:tc>
          <w:tcPr>
            <w:tcW w:w="2693" w:type="dxa"/>
            <w:vMerge/>
          </w:tcPr>
          <w:p w:rsidR="00AE0B1A" w:rsidRPr="00FD0A94" w:rsidRDefault="00AE0B1A" w:rsidP="002F4AE8">
            <w:pPr>
              <w:pStyle w:val="Tabletextleft"/>
              <w:rPr>
                <w:b/>
              </w:rPr>
            </w:pPr>
          </w:p>
        </w:tc>
        <w:tc>
          <w:tcPr>
            <w:tcW w:w="3119" w:type="dxa"/>
            <w:vMerge/>
          </w:tcPr>
          <w:p w:rsidR="00AE0B1A" w:rsidRPr="0047117B" w:rsidRDefault="00AE0B1A" w:rsidP="002F4AE8">
            <w:pPr>
              <w:pStyle w:val="Tabletextleft"/>
              <w:rPr>
                <w:iCs/>
                <w:color w:val="000000"/>
              </w:rPr>
            </w:pPr>
          </w:p>
        </w:tc>
      </w:tr>
      <w:tr w:rsidR="00AE0B1A" w:rsidRPr="0047117B" w:rsidTr="00AE0B1A">
        <w:trPr>
          <w:cnfStyle w:val="000000010000" w:firstRow="0" w:lastRow="0" w:firstColumn="0" w:lastColumn="0" w:oddVBand="0" w:evenVBand="0" w:oddHBand="0" w:evenHBand="1" w:firstRowFirstColumn="0" w:firstRowLastColumn="0" w:lastRowFirstColumn="0" w:lastRowLastColumn="0"/>
          <w:cantSplit/>
        </w:trPr>
        <w:tc>
          <w:tcPr>
            <w:tcW w:w="1843" w:type="dxa"/>
            <w:vMerge/>
          </w:tcPr>
          <w:p w:rsidR="00AE0B1A" w:rsidRPr="0047117B" w:rsidRDefault="00AE0B1A" w:rsidP="00FD0A94">
            <w:pPr>
              <w:pStyle w:val="Tabletextleft"/>
            </w:pPr>
          </w:p>
        </w:tc>
        <w:tc>
          <w:tcPr>
            <w:tcW w:w="1276" w:type="dxa"/>
            <w:noWrap/>
          </w:tcPr>
          <w:p w:rsidR="00AE0B1A" w:rsidRPr="00F60B69" w:rsidRDefault="00AE0B1A" w:rsidP="002F4AE8">
            <w:pPr>
              <w:pStyle w:val="Tabletextleft"/>
            </w:pPr>
            <w:r w:rsidRPr="00F60B69">
              <w:t>SEQUENCE 4</w:t>
            </w:r>
          </w:p>
        </w:tc>
        <w:tc>
          <w:tcPr>
            <w:tcW w:w="1134" w:type="dxa"/>
            <w:noWrap/>
          </w:tcPr>
          <w:p w:rsidR="00AE0B1A" w:rsidRPr="0047117B" w:rsidRDefault="00AE0B1A" w:rsidP="002F4AE8">
            <w:pPr>
              <w:pStyle w:val="Tabletextleft"/>
            </w:pPr>
            <w:r w:rsidRPr="0047117B">
              <w:t>HST</w:t>
            </w:r>
          </w:p>
          <w:p w:rsidR="00AE0B1A" w:rsidRPr="0047117B" w:rsidRDefault="00AE0B1A" w:rsidP="002F4AE8">
            <w:pPr>
              <w:pStyle w:val="Tabletextleft"/>
            </w:pPr>
            <w:r w:rsidRPr="0047117B">
              <w:t>TST</w:t>
            </w:r>
          </w:p>
          <w:p w:rsidR="00AE0B1A" w:rsidRPr="0047117B" w:rsidRDefault="00AE0B1A" w:rsidP="002F4AE8">
            <w:pPr>
              <w:pStyle w:val="Tabletextleft"/>
            </w:pPr>
            <w:r w:rsidRPr="0047117B">
              <w:t>HST</w:t>
            </w:r>
          </w:p>
          <w:p w:rsidR="00AE0B1A" w:rsidRPr="0047117B" w:rsidRDefault="00AE0B1A" w:rsidP="002F4AE8">
            <w:pPr>
              <w:pStyle w:val="Tabletextleft"/>
            </w:pPr>
            <w:r w:rsidRPr="0047117B">
              <w:t>TST</w:t>
            </w:r>
          </w:p>
        </w:tc>
        <w:tc>
          <w:tcPr>
            <w:tcW w:w="3402" w:type="dxa"/>
            <w:vMerge w:val="restart"/>
          </w:tcPr>
          <w:p w:rsidR="00AE0B1A" w:rsidRPr="009D5B2E" w:rsidRDefault="00AE0B1A" w:rsidP="002F4AE8">
            <w:pPr>
              <w:pStyle w:val="Tabletextleft"/>
              <w:rPr>
                <w:rStyle w:val="Italic"/>
              </w:rPr>
            </w:pPr>
            <w:proofErr w:type="spellStart"/>
            <w:r w:rsidRPr="009D5B2E">
              <w:rPr>
                <w:rStyle w:val="Italic"/>
              </w:rPr>
              <w:t>Wanaea</w:t>
            </w:r>
            <w:proofErr w:type="spellEnd"/>
            <w:r w:rsidRPr="009D5B2E">
              <w:rPr>
                <w:rStyle w:val="Italic"/>
              </w:rPr>
              <w:t xml:space="preserve"> </w:t>
            </w:r>
            <w:proofErr w:type="spellStart"/>
            <w:r w:rsidRPr="009D5B2E">
              <w:rPr>
                <w:rStyle w:val="Italic"/>
              </w:rPr>
              <w:t>spectabilis</w:t>
            </w:r>
            <w:proofErr w:type="spellEnd"/>
            <w:r w:rsidRPr="009D5B2E">
              <w:rPr>
                <w:rStyle w:val="Italic"/>
              </w:rPr>
              <w:t xml:space="preserve">, </w:t>
            </w:r>
            <w:r w:rsidRPr="00AB5B14">
              <w:t>middle</w:t>
            </w:r>
            <w:r w:rsidRPr="009D5B2E">
              <w:rPr>
                <w:rStyle w:val="Italic"/>
              </w:rPr>
              <w:t xml:space="preserve"> </w:t>
            </w:r>
            <w:proofErr w:type="spellStart"/>
            <w:r w:rsidRPr="009D5B2E">
              <w:rPr>
                <w:rStyle w:val="Italic"/>
              </w:rPr>
              <w:t>Murospora</w:t>
            </w:r>
            <w:proofErr w:type="spellEnd"/>
            <w:r w:rsidRPr="009D5B2E">
              <w:rPr>
                <w:rStyle w:val="Italic"/>
              </w:rPr>
              <w:t xml:space="preserve"> </w:t>
            </w:r>
            <w:proofErr w:type="spellStart"/>
            <w:r w:rsidRPr="009D5B2E">
              <w:rPr>
                <w:rStyle w:val="Italic"/>
              </w:rPr>
              <w:t>florida</w:t>
            </w:r>
            <w:proofErr w:type="spellEnd"/>
            <w:r w:rsidRPr="009D5B2E">
              <w:rPr>
                <w:rStyle w:val="Italic"/>
              </w:rPr>
              <w:t xml:space="preserve"> </w:t>
            </w:r>
            <w:r w:rsidRPr="00AB5B14">
              <w:t>to</w:t>
            </w:r>
          </w:p>
          <w:p w:rsidR="00AE0B1A" w:rsidRPr="00AB5B14" w:rsidRDefault="00AE0B1A" w:rsidP="002F4AE8">
            <w:pPr>
              <w:pStyle w:val="Tabletextleft"/>
              <w:rPr>
                <w:b/>
                <w:bCs/>
                <w:color w:val="000000"/>
              </w:rPr>
            </w:pPr>
            <w:proofErr w:type="spellStart"/>
            <w:r w:rsidRPr="009D5B2E">
              <w:rPr>
                <w:rStyle w:val="Italic"/>
              </w:rPr>
              <w:t>Dingodinium</w:t>
            </w:r>
            <w:proofErr w:type="spellEnd"/>
            <w:r w:rsidRPr="009D5B2E">
              <w:rPr>
                <w:rStyle w:val="Italic"/>
              </w:rPr>
              <w:t xml:space="preserve"> </w:t>
            </w:r>
            <w:proofErr w:type="spellStart"/>
            <w:r w:rsidRPr="009D5B2E">
              <w:rPr>
                <w:rStyle w:val="Italic"/>
              </w:rPr>
              <w:t>jurassicum</w:t>
            </w:r>
            <w:proofErr w:type="spellEnd"/>
            <w:r w:rsidRPr="009D5B2E">
              <w:rPr>
                <w:rStyle w:val="Italic"/>
              </w:rPr>
              <w:t xml:space="preserve">, </w:t>
            </w:r>
            <w:r w:rsidRPr="009D5B2E">
              <w:t>middle</w:t>
            </w:r>
            <w:r w:rsidRPr="009D5B2E">
              <w:rPr>
                <w:rStyle w:val="Italic"/>
              </w:rPr>
              <w:t xml:space="preserve"> </w:t>
            </w:r>
            <w:proofErr w:type="spellStart"/>
            <w:r w:rsidRPr="009D5B2E">
              <w:rPr>
                <w:rStyle w:val="Italic"/>
              </w:rPr>
              <w:t>Retitriletes</w:t>
            </w:r>
            <w:proofErr w:type="spellEnd"/>
            <w:r w:rsidRPr="009D5B2E">
              <w:rPr>
                <w:rStyle w:val="Italic"/>
              </w:rPr>
              <w:t xml:space="preserve"> </w:t>
            </w:r>
            <w:proofErr w:type="spellStart"/>
            <w:r w:rsidRPr="009D5B2E">
              <w:rPr>
                <w:rStyle w:val="Italic"/>
              </w:rPr>
              <w:t>watherooensis</w:t>
            </w:r>
            <w:proofErr w:type="spellEnd"/>
          </w:p>
        </w:tc>
        <w:tc>
          <w:tcPr>
            <w:tcW w:w="2693" w:type="dxa"/>
          </w:tcPr>
          <w:p w:rsidR="00AE0B1A" w:rsidRPr="00F60B69" w:rsidRDefault="00AE0B1A" w:rsidP="002F4AE8">
            <w:pPr>
              <w:pStyle w:val="Tabletextleft"/>
            </w:pPr>
            <w:r w:rsidRPr="00F60B69">
              <w:t>upper Frigate Shale (informal)</w:t>
            </w:r>
          </w:p>
        </w:tc>
        <w:tc>
          <w:tcPr>
            <w:tcW w:w="3119" w:type="dxa"/>
          </w:tcPr>
          <w:p w:rsidR="00AE0B1A" w:rsidRPr="0047117B" w:rsidRDefault="00AE0B1A" w:rsidP="002F4AE8">
            <w:pPr>
              <w:pStyle w:val="Tabletextleft"/>
              <w:rPr>
                <w:i/>
              </w:rPr>
            </w:pPr>
            <w:r w:rsidRPr="0047117B">
              <w:t>Jurassic seal</w:t>
            </w:r>
          </w:p>
        </w:tc>
      </w:tr>
      <w:tr w:rsidR="00AE0B1A" w:rsidRPr="0047117B" w:rsidTr="00AE0B1A">
        <w:trPr>
          <w:cnfStyle w:val="000000100000" w:firstRow="0" w:lastRow="0" w:firstColumn="0" w:lastColumn="0" w:oddVBand="0" w:evenVBand="0" w:oddHBand="1" w:evenHBand="0" w:firstRowFirstColumn="0" w:firstRowLastColumn="0" w:lastRowFirstColumn="0" w:lastRowLastColumn="0"/>
          <w:cantSplit/>
        </w:trPr>
        <w:tc>
          <w:tcPr>
            <w:tcW w:w="1843" w:type="dxa"/>
            <w:vMerge/>
          </w:tcPr>
          <w:p w:rsidR="00AE0B1A" w:rsidRPr="0047117B" w:rsidRDefault="00AE0B1A" w:rsidP="00FD0A94">
            <w:pPr>
              <w:pStyle w:val="Tabletextleft"/>
            </w:pPr>
          </w:p>
        </w:tc>
        <w:tc>
          <w:tcPr>
            <w:tcW w:w="1276" w:type="dxa"/>
            <w:noWrap/>
            <w:hideMark/>
          </w:tcPr>
          <w:p w:rsidR="00AE0B1A" w:rsidRPr="00F60B69" w:rsidRDefault="00AE0B1A" w:rsidP="002F4AE8">
            <w:pPr>
              <w:pStyle w:val="Tabletextleft"/>
            </w:pPr>
            <w:r w:rsidRPr="00F60B69">
              <w:t>SEQUENCE 3</w:t>
            </w:r>
          </w:p>
        </w:tc>
        <w:tc>
          <w:tcPr>
            <w:tcW w:w="1134" w:type="dxa"/>
            <w:noWrap/>
            <w:hideMark/>
          </w:tcPr>
          <w:p w:rsidR="00AE0B1A" w:rsidRPr="0047117B" w:rsidRDefault="00AE0B1A" w:rsidP="002F4AE8">
            <w:pPr>
              <w:pStyle w:val="Tabletextleft"/>
            </w:pPr>
            <w:r w:rsidRPr="0047117B">
              <w:t>HST</w:t>
            </w:r>
          </w:p>
          <w:p w:rsidR="00AE0B1A" w:rsidRPr="0047117B" w:rsidRDefault="00AE0B1A" w:rsidP="002F4AE8">
            <w:pPr>
              <w:pStyle w:val="Tabletextleft"/>
            </w:pPr>
            <w:r w:rsidRPr="0047117B">
              <w:t>TST</w:t>
            </w:r>
          </w:p>
        </w:tc>
        <w:tc>
          <w:tcPr>
            <w:tcW w:w="3402" w:type="dxa"/>
            <w:vMerge/>
          </w:tcPr>
          <w:p w:rsidR="00AE0B1A" w:rsidRPr="00AB5B14" w:rsidRDefault="00AE0B1A" w:rsidP="002F4AE8">
            <w:pPr>
              <w:pStyle w:val="Tabletextleft"/>
              <w:rPr>
                <w:b/>
                <w:bCs/>
                <w:color w:val="000000"/>
              </w:rPr>
            </w:pPr>
          </w:p>
        </w:tc>
        <w:tc>
          <w:tcPr>
            <w:tcW w:w="2693" w:type="dxa"/>
          </w:tcPr>
          <w:p w:rsidR="00AE0B1A" w:rsidRPr="00F60B69" w:rsidRDefault="00AE0B1A" w:rsidP="002F4AE8">
            <w:pPr>
              <w:pStyle w:val="Tabletextleft"/>
            </w:pPr>
            <w:r w:rsidRPr="00F60B69">
              <w:t>lower Frigate Shale (informal)</w:t>
            </w:r>
          </w:p>
        </w:tc>
        <w:tc>
          <w:tcPr>
            <w:tcW w:w="3119" w:type="dxa"/>
          </w:tcPr>
          <w:p w:rsidR="00AE0B1A" w:rsidRPr="0047117B" w:rsidRDefault="00AE0B1A" w:rsidP="002F4AE8">
            <w:pPr>
              <w:pStyle w:val="Tabletextleft"/>
              <w:rPr>
                <w:iCs/>
                <w:color w:val="000000"/>
              </w:rPr>
            </w:pPr>
            <w:r w:rsidRPr="0047117B">
              <w:t>Jurassic reservoir</w:t>
            </w:r>
          </w:p>
        </w:tc>
      </w:tr>
      <w:tr w:rsidR="00AE0B1A" w:rsidRPr="0047117B" w:rsidTr="00AE0B1A">
        <w:trPr>
          <w:cnfStyle w:val="000000010000" w:firstRow="0" w:lastRow="0" w:firstColumn="0" w:lastColumn="0" w:oddVBand="0" w:evenVBand="0" w:oddHBand="0" w:evenHBand="1" w:firstRowFirstColumn="0" w:firstRowLastColumn="0" w:lastRowFirstColumn="0" w:lastRowLastColumn="0"/>
          <w:cantSplit/>
        </w:trPr>
        <w:tc>
          <w:tcPr>
            <w:tcW w:w="1843" w:type="dxa"/>
            <w:vMerge w:val="restart"/>
          </w:tcPr>
          <w:p w:rsidR="00AE0B1A" w:rsidRPr="0047117B" w:rsidRDefault="00AE0B1A" w:rsidP="00FD0A94">
            <w:pPr>
              <w:pStyle w:val="Tabletextleft"/>
            </w:pPr>
            <w:r w:rsidRPr="0047117B">
              <w:t>Plover Sequence</w:t>
            </w:r>
          </w:p>
        </w:tc>
        <w:tc>
          <w:tcPr>
            <w:tcW w:w="1276" w:type="dxa"/>
            <w:noWrap/>
            <w:hideMark/>
          </w:tcPr>
          <w:p w:rsidR="00AE0B1A" w:rsidRPr="00F60B69" w:rsidRDefault="00AE0B1A" w:rsidP="002F4AE8">
            <w:pPr>
              <w:pStyle w:val="Tabletextleft"/>
            </w:pPr>
            <w:r w:rsidRPr="00F60B69">
              <w:t>SEQUENCE 2</w:t>
            </w:r>
          </w:p>
        </w:tc>
        <w:tc>
          <w:tcPr>
            <w:tcW w:w="1134" w:type="dxa"/>
            <w:noWrap/>
            <w:hideMark/>
          </w:tcPr>
          <w:p w:rsidR="00AE0B1A" w:rsidRPr="0047117B" w:rsidRDefault="00AE0B1A" w:rsidP="002F4AE8">
            <w:pPr>
              <w:pStyle w:val="Tabletextleft"/>
            </w:pPr>
            <w:r w:rsidRPr="0047117B">
              <w:t>HST</w:t>
            </w:r>
          </w:p>
          <w:p w:rsidR="00AE0B1A" w:rsidRPr="0047117B" w:rsidRDefault="00AE0B1A" w:rsidP="002F4AE8">
            <w:pPr>
              <w:pStyle w:val="Tabletextleft"/>
            </w:pPr>
            <w:r w:rsidRPr="0047117B">
              <w:t>TST</w:t>
            </w:r>
          </w:p>
          <w:p w:rsidR="00AE0B1A" w:rsidRPr="0047117B" w:rsidRDefault="00AE0B1A" w:rsidP="002F4AE8">
            <w:pPr>
              <w:pStyle w:val="Tabletextleft"/>
            </w:pPr>
            <w:r w:rsidRPr="0047117B">
              <w:t>HST</w:t>
            </w:r>
          </w:p>
          <w:p w:rsidR="00AE0B1A" w:rsidRPr="0047117B" w:rsidRDefault="00AE0B1A" w:rsidP="002F4AE8">
            <w:pPr>
              <w:pStyle w:val="Tabletextleft"/>
            </w:pPr>
            <w:r w:rsidRPr="0047117B">
              <w:t>TST</w:t>
            </w:r>
          </w:p>
          <w:p w:rsidR="00AE0B1A" w:rsidRPr="0047117B" w:rsidRDefault="00AE0B1A" w:rsidP="002F4AE8">
            <w:pPr>
              <w:pStyle w:val="Tabletextleft"/>
            </w:pPr>
            <w:r w:rsidRPr="0047117B">
              <w:t>LST</w:t>
            </w:r>
          </w:p>
        </w:tc>
        <w:tc>
          <w:tcPr>
            <w:tcW w:w="3402" w:type="dxa"/>
          </w:tcPr>
          <w:p w:rsidR="00AE0B1A" w:rsidRPr="009D5B2E" w:rsidRDefault="00AE0B1A" w:rsidP="002F4AE8">
            <w:pPr>
              <w:pStyle w:val="Tabletextleft"/>
              <w:rPr>
                <w:rStyle w:val="Italic"/>
              </w:rPr>
            </w:pPr>
            <w:proofErr w:type="spellStart"/>
            <w:r w:rsidRPr="009D5B2E">
              <w:rPr>
                <w:rStyle w:val="Italic"/>
              </w:rPr>
              <w:t>Wanaea</w:t>
            </w:r>
            <w:proofErr w:type="spellEnd"/>
            <w:r w:rsidRPr="009D5B2E">
              <w:rPr>
                <w:rStyle w:val="Italic"/>
              </w:rPr>
              <w:t xml:space="preserve"> </w:t>
            </w:r>
            <w:proofErr w:type="spellStart"/>
            <w:r w:rsidRPr="009D5B2E">
              <w:rPr>
                <w:rStyle w:val="Italic"/>
              </w:rPr>
              <w:t>digitata</w:t>
            </w:r>
            <w:proofErr w:type="spellEnd"/>
            <w:r w:rsidRPr="009D5B2E">
              <w:rPr>
                <w:rStyle w:val="Italic"/>
              </w:rPr>
              <w:t xml:space="preserve">, </w:t>
            </w:r>
            <w:proofErr w:type="spellStart"/>
            <w:r w:rsidRPr="009D5B2E">
              <w:rPr>
                <w:rStyle w:val="Italic"/>
              </w:rPr>
              <w:t>Ternia</w:t>
            </w:r>
            <w:proofErr w:type="spellEnd"/>
            <w:r w:rsidRPr="009D5B2E">
              <w:rPr>
                <w:rStyle w:val="Italic"/>
              </w:rPr>
              <w:t xml:space="preserve"> </w:t>
            </w:r>
            <w:proofErr w:type="spellStart"/>
            <w:r w:rsidRPr="009D5B2E">
              <w:rPr>
                <w:rStyle w:val="Italic"/>
              </w:rPr>
              <w:t>Balmei</w:t>
            </w:r>
            <w:proofErr w:type="spellEnd"/>
            <w:r w:rsidRPr="009D5B2E">
              <w:rPr>
                <w:rStyle w:val="Italic"/>
              </w:rPr>
              <w:t xml:space="preserve"> </w:t>
            </w:r>
            <w:r w:rsidRPr="00AB5B14">
              <w:t>to</w:t>
            </w:r>
          </w:p>
          <w:p w:rsidR="00AE0B1A" w:rsidRPr="00AB5B14" w:rsidRDefault="00AE0B1A" w:rsidP="002F4AE8">
            <w:pPr>
              <w:pStyle w:val="Tabletextleft"/>
              <w:rPr>
                <w:b/>
                <w:bCs/>
                <w:color w:val="000000"/>
              </w:rPr>
            </w:pPr>
            <w:proofErr w:type="spellStart"/>
            <w:r w:rsidRPr="009D5B2E">
              <w:rPr>
                <w:rStyle w:val="Italic"/>
              </w:rPr>
              <w:t>Rigaudella</w:t>
            </w:r>
            <w:proofErr w:type="spellEnd"/>
            <w:r w:rsidRPr="009D5B2E">
              <w:rPr>
                <w:rStyle w:val="Italic"/>
              </w:rPr>
              <w:t xml:space="preserve"> </w:t>
            </w:r>
            <w:proofErr w:type="spellStart"/>
            <w:r w:rsidRPr="009D5B2E">
              <w:rPr>
                <w:rStyle w:val="Italic"/>
              </w:rPr>
              <w:t>aemula</w:t>
            </w:r>
            <w:proofErr w:type="spellEnd"/>
            <w:r w:rsidRPr="009D5B2E">
              <w:rPr>
                <w:rStyle w:val="Italic"/>
              </w:rPr>
              <w:t xml:space="preserve">, </w:t>
            </w:r>
            <w:proofErr w:type="spellStart"/>
            <w:r w:rsidRPr="009D5B2E">
              <w:rPr>
                <w:rStyle w:val="Italic"/>
              </w:rPr>
              <w:t>Ctenidodinium</w:t>
            </w:r>
            <w:proofErr w:type="spellEnd"/>
            <w:r w:rsidRPr="009D5B2E">
              <w:rPr>
                <w:rStyle w:val="Italic"/>
              </w:rPr>
              <w:t xml:space="preserve"> </w:t>
            </w:r>
            <w:proofErr w:type="spellStart"/>
            <w:r w:rsidRPr="009D5B2E">
              <w:rPr>
                <w:rStyle w:val="Italic"/>
              </w:rPr>
              <w:t>ancorum</w:t>
            </w:r>
            <w:proofErr w:type="spellEnd"/>
          </w:p>
        </w:tc>
        <w:tc>
          <w:tcPr>
            <w:tcW w:w="2693" w:type="dxa"/>
          </w:tcPr>
          <w:p w:rsidR="00AE0B1A" w:rsidRPr="00F60B69" w:rsidRDefault="00AE0B1A" w:rsidP="002F4AE8">
            <w:pPr>
              <w:pStyle w:val="Tabletextleft"/>
            </w:pPr>
            <w:proofErr w:type="spellStart"/>
            <w:r w:rsidRPr="00F60B69">
              <w:t>Elang</w:t>
            </w:r>
            <w:proofErr w:type="spellEnd"/>
            <w:r w:rsidRPr="00F60B69">
              <w:t xml:space="preserve"> Formation</w:t>
            </w:r>
          </w:p>
        </w:tc>
        <w:tc>
          <w:tcPr>
            <w:tcW w:w="3119" w:type="dxa"/>
          </w:tcPr>
          <w:p w:rsidR="00AE0B1A" w:rsidRPr="0047117B" w:rsidRDefault="00AE0B1A" w:rsidP="002F4AE8">
            <w:pPr>
              <w:pStyle w:val="Tabletextleft"/>
              <w:rPr>
                <w:i/>
              </w:rPr>
            </w:pPr>
            <w:r w:rsidRPr="0047117B">
              <w:t>Jurassic reservoir</w:t>
            </w:r>
          </w:p>
        </w:tc>
      </w:tr>
      <w:tr w:rsidR="00AE0B1A" w:rsidRPr="0047117B" w:rsidTr="00AE0B1A">
        <w:trPr>
          <w:cnfStyle w:val="000000100000" w:firstRow="0" w:lastRow="0" w:firstColumn="0" w:lastColumn="0" w:oddVBand="0" w:evenVBand="0" w:oddHBand="1" w:evenHBand="0" w:firstRowFirstColumn="0" w:firstRowLastColumn="0" w:lastRowFirstColumn="0" w:lastRowLastColumn="0"/>
          <w:cantSplit/>
        </w:trPr>
        <w:tc>
          <w:tcPr>
            <w:tcW w:w="1843" w:type="dxa"/>
            <w:vMerge/>
          </w:tcPr>
          <w:p w:rsidR="00AE0B1A" w:rsidRPr="0047117B" w:rsidRDefault="00AE0B1A" w:rsidP="00AE0B1A">
            <w:pPr>
              <w:spacing w:line="240" w:lineRule="atLeast"/>
              <w:jc w:val="center"/>
              <w:rPr>
                <w:color w:val="000000"/>
              </w:rPr>
            </w:pPr>
          </w:p>
        </w:tc>
        <w:tc>
          <w:tcPr>
            <w:tcW w:w="1276" w:type="dxa"/>
            <w:noWrap/>
            <w:hideMark/>
          </w:tcPr>
          <w:p w:rsidR="00AE0B1A" w:rsidRPr="00F60B69" w:rsidRDefault="00AE0B1A" w:rsidP="002F4AE8">
            <w:pPr>
              <w:pStyle w:val="Tabletextleft"/>
            </w:pPr>
            <w:r w:rsidRPr="00F60B69">
              <w:t>SEQUENCE 1</w:t>
            </w:r>
          </w:p>
        </w:tc>
        <w:tc>
          <w:tcPr>
            <w:tcW w:w="1134" w:type="dxa"/>
            <w:noWrap/>
            <w:hideMark/>
          </w:tcPr>
          <w:p w:rsidR="00AE0B1A" w:rsidRPr="0047117B" w:rsidRDefault="00AE0B1A" w:rsidP="002F4AE8">
            <w:pPr>
              <w:pStyle w:val="Tabletextleft"/>
            </w:pPr>
            <w:r w:rsidRPr="0047117B">
              <w:t>HST</w:t>
            </w:r>
          </w:p>
          <w:p w:rsidR="00AE0B1A" w:rsidRPr="0047117B" w:rsidRDefault="00AE0B1A" w:rsidP="002F4AE8">
            <w:pPr>
              <w:pStyle w:val="Tabletextleft"/>
            </w:pPr>
            <w:r w:rsidRPr="0047117B">
              <w:t>TST</w:t>
            </w:r>
          </w:p>
          <w:p w:rsidR="00AE0B1A" w:rsidRPr="0047117B" w:rsidRDefault="00AE0B1A" w:rsidP="002F4AE8">
            <w:pPr>
              <w:pStyle w:val="Tabletextleft"/>
            </w:pPr>
            <w:r w:rsidRPr="0047117B">
              <w:t>LST</w:t>
            </w:r>
          </w:p>
        </w:tc>
        <w:tc>
          <w:tcPr>
            <w:tcW w:w="3402" w:type="dxa"/>
          </w:tcPr>
          <w:p w:rsidR="00AE0B1A" w:rsidRPr="009D5B2E" w:rsidRDefault="00AE0B1A" w:rsidP="002F4AE8">
            <w:pPr>
              <w:pStyle w:val="Tabletextleft"/>
              <w:rPr>
                <w:rStyle w:val="Italic"/>
              </w:rPr>
            </w:pPr>
            <w:proofErr w:type="spellStart"/>
            <w:r w:rsidRPr="009D5B2E">
              <w:rPr>
                <w:rStyle w:val="Italic"/>
              </w:rPr>
              <w:t>Corollina</w:t>
            </w:r>
            <w:proofErr w:type="spellEnd"/>
            <w:r w:rsidRPr="009D5B2E">
              <w:rPr>
                <w:rStyle w:val="Italic"/>
              </w:rPr>
              <w:t xml:space="preserve"> </w:t>
            </w:r>
            <w:proofErr w:type="spellStart"/>
            <w:r w:rsidRPr="009D5B2E">
              <w:rPr>
                <w:rStyle w:val="Italic"/>
              </w:rPr>
              <w:t>torosa</w:t>
            </w:r>
            <w:proofErr w:type="spellEnd"/>
            <w:r w:rsidRPr="009D5B2E">
              <w:rPr>
                <w:rStyle w:val="Italic"/>
              </w:rPr>
              <w:t xml:space="preserve"> </w:t>
            </w:r>
            <w:r w:rsidRPr="00AB5B14">
              <w:t>to</w:t>
            </w:r>
          </w:p>
          <w:p w:rsidR="00AE0B1A" w:rsidRPr="009D5B2E" w:rsidRDefault="00AE0B1A" w:rsidP="002F4AE8">
            <w:pPr>
              <w:pStyle w:val="Tabletextleft"/>
              <w:rPr>
                <w:rStyle w:val="Italic"/>
              </w:rPr>
            </w:pPr>
            <w:proofErr w:type="spellStart"/>
            <w:r w:rsidRPr="009D5B2E">
              <w:rPr>
                <w:rStyle w:val="Italic"/>
              </w:rPr>
              <w:t>Contignisporites</w:t>
            </w:r>
            <w:proofErr w:type="spellEnd"/>
            <w:r w:rsidRPr="009D5B2E">
              <w:rPr>
                <w:rStyle w:val="Italic"/>
              </w:rPr>
              <w:t xml:space="preserve"> </w:t>
            </w:r>
            <w:proofErr w:type="spellStart"/>
            <w:r w:rsidRPr="009D5B2E">
              <w:rPr>
                <w:rStyle w:val="Italic"/>
              </w:rPr>
              <w:t>cooksoniae</w:t>
            </w:r>
            <w:proofErr w:type="spellEnd"/>
          </w:p>
        </w:tc>
        <w:tc>
          <w:tcPr>
            <w:tcW w:w="2693" w:type="dxa"/>
          </w:tcPr>
          <w:p w:rsidR="00AE0B1A" w:rsidRPr="00F60B69" w:rsidRDefault="00AE0B1A" w:rsidP="002F4AE8">
            <w:pPr>
              <w:pStyle w:val="Tabletextleft"/>
            </w:pPr>
            <w:r w:rsidRPr="00F60B69">
              <w:t>Plover Formation</w:t>
            </w:r>
          </w:p>
        </w:tc>
        <w:tc>
          <w:tcPr>
            <w:tcW w:w="3119" w:type="dxa"/>
          </w:tcPr>
          <w:p w:rsidR="00AE0B1A" w:rsidRPr="0047117B" w:rsidRDefault="00AE0B1A" w:rsidP="002F4AE8">
            <w:pPr>
              <w:pStyle w:val="Tabletextleft"/>
              <w:rPr>
                <w:i/>
                <w:iCs/>
                <w:color w:val="000000"/>
              </w:rPr>
            </w:pPr>
            <w:r w:rsidRPr="0047117B">
              <w:t>Jurassic reservoir</w:t>
            </w:r>
          </w:p>
        </w:tc>
      </w:tr>
    </w:tbl>
    <w:p w:rsidR="00AE0B1A" w:rsidRDefault="00AE0B1A" w:rsidP="00186E04">
      <w:pPr>
        <w:pStyle w:val="BodyText"/>
        <w:sectPr w:rsidR="00AE0B1A" w:rsidSect="009A01C9">
          <w:footerReference w:type="even" r:id="rId32"/>
          <w:footerReference w:type="default" r:id="rId33"/>
          <w:pgSz w:w="16840" w:h="11907" w:orient="landscape" w:code="9"/>
          <w:pgMar w:top="1418" w:right="1418" w:bottom="1418" w:left="1418" w:header="720" w:footer="397" w:gutter="0"/>
          <w:cols w:space="720"/>
          <w:docGrid w:linePitch="272"/>
        </w:sectPr>
      </w:pPr>
    </w:p>
    <w:p w:rsidR="00AE0B1A" w:rsidRPr="00B7542F" w:rsidRDefault="00AE0B1A" w:rsidP="00AE0B1A">
      <w:pPr>
        <w:pStyle w:val="Heading1"/>
      </w:pPr>
      <w:bookmarkStart w:id="247" w:name="_Toc372790304"/>
      <w:bookmarkStart w:id="248" w:name="_Toc378252887"/>
      <w:bookmarkStart w:id="249" w:name="_Toc378253211"/>
      <w:bookmarkStart w:id="250" w:name="_Toc378253535"/>
      <w:bookmarkStart w:id="251" w:name="_Toc378253859"/>
      <w:bookmarkStart w:id="252" w:name="_Toc378254183"/>
      <w:bookmarkStart w:id="253" w:name="_Toc378254507"/>
      <w:bookmarkStart w:id="254" w:name="_Toc378254831"/>
      <w:bookmarkStart w:id="255" w:name="_Toc378255155"/>
      <w:bookmarkStart w:id="256" w:name="_Toc383758213"/>
      <w:r w:rsidRPr="006B5A62">
        <w:lastRenderedPageBreak/>
        <w:t>Datasets</w:t>
      </w:r>
      <w:r w:rsidRPr="00B7542F">
        <w:t xml:space="preserve"> and Methodology</w:t>
      </w:r>
      <w:bookmarkEnd w:id="247"/>
      <w:bookmarkEnd w:id="248"/>
      <w:bookmarkEnd w:id="249"/>
      <w:bookmarkEnd w:id="250"/>
      <w:bookmarkEnd w:id="251"/>
      <w:bookmarkEnd w:id="252"/>
      <w:bookmarkEnd w:id="253"/>
      <w:bookmarkEnd w:id="254"/>
      <w:bookmarkEnd w:id="255"/>
      <w:bookmarkEnd w:id="256"/>
    </w:p>
    <w:p w:rsidR="00AE0B1A" w:rsidRDefault="00AE0B1A" w:rsidP="00AE0B1A">
      <w:pPr>
        <w:pStyle w:val="BodyText"/>
      </w:pPr>
      <w:r w:rsidRPr="000347E4">
        <w:t>The current assessment focuses on the geological aspects of the sub-basin for CO</w:t>
      </w:r>
      <w:r w:rsidRPr="009D5B2E">
        <w:rPr>
          <w:rStyle w:val="Subscript"/>
        </w:rPr>
        <w:t>2</w:t>
      </w:r>
      <w:r w:rsidRPr="000347E4">
        <w:t xml:space="preserve"> </w:t>
      </w:r>
      <w:r>
        <w:t xml:space="preserve">geological </w:t>
      </w:r>
      <w:r w:rsidRPr="000347E4">
        <w:t xml:space="preserve">storage and does not include economic suitability, or details any potential impacts or </w:t>
      </w:r>
      <w:r>
        <w:t>overlaps</w:t>
      </w:r>
      <w:r w:rsidRPr="000347E4">
        <w:t xml:space="preserve"> </w:t>
      </w:r>
      <w:r>
        <w:t xml:space="preserve">or coincidences </w:t>
      </w:r>
      <w:r w:rsidRPr="000347E4">
        <w:t>with other natural resources. A regional sub-basin assessment methodology, typical of those commonly used by the petroleum industry for the exploration of oil and gas, was adapted for a CO</w:t>
      </w:r>
      <w:r w:rsidRPr="009D5B2E">
        <w:rPr>
          <w:rStyle w:val="Subscript"/>
        </w:rPr>
        <w:t>2</w:t>
      </w:r>
      <w:r w:rsidRPr="000347E4">
        <w:t xml:space="preserve"> stora</w:t>
      </w:r>
      <w:r>
        <w:t>ge assessment and is su</w:t>
      </w:r>
      <w:r w:rsidRPr="000347E4">
        <w:t>m</w:t>
      </w:r>
      <w:r>
        <w:t>ma</w:t>
      </w:r>
      <w:r w:rsidRPr="000347E4">
        <w:t xml:space="preserve">rised in </w:t>
      </w:r>
      <w:r>
        <w:fldChar w:fldCharType="begin"/>
      </w:r>
      <w:r>
        <w:instrText xml:space="preserve"> REF _Ref372289196 \h </w:instrText>
      </w:r>
      <w:r>
        <w:fldChar w:fldCharType="separate"/>
      </w:r>
      <w:r w:rsidR="00F64E4F">
        <w:t xml:space="preserve">Figure </w:t>
      </w:r>
      <w:r w:rsidR="00F64E4F">
        <w:rPr>
          <w:noProof/>
        </w:rPr>
        <w:t>4</w:t>
      </w:r>
      <w:r w:rsidR="00F64E4F">
        <w:t>.</w:t>
      </w:r>
      <w:r w:rsidR="00F64E4F">
        <w:rPr>
          <w:noProof/>
        </w:rPr>
        <w:t>1</w:t>
      </w:r>
      <w:r>
        <w:fldChar w:fldCharType="end"/>
      </w:r>
      <w:r w:rsidRPr="000347E4">
        <w:t>. Static geological modelling and dynamic reservoir simulation</w:t>
      </w:r>
      <w:r>
        <w:t>s</w:t>
      </w:r>
      <w:r w:rsidRPr="000347E4">
        <w:t xml:space="preserve"> were key steps in this appraisal. The modelling workflow is defined in </w:t>
      </w:r>
      <w:r>
        <w:fldChar w:fldCharType="begin"/>
      </w:r>
      <w:r>
        <w:instrText xml:space="preserve"> REF _Ref372289202 \h </w:instrText>
      </w:r>
      <w:r>
        <w:fldChar w:fldCharType="separate"/>
      </w:r>
      <w:r w:rsidR="00F64E4F">
        <w:t xml:space="preserve">Figure </w:t>
      </w:r>
      <w:r w:rsidR="00F64E4F">
        <w:rPr>
          <w:noProof/>
        </w:rPr>
        <w:t>4</w:t>
      </w:r>
      <w:r w:rsidR="00F64E4F">
        <w:t>.</w:t>
      </w:r>
      <w:r w:rsidR="00F64E4F">
        <w:rPr>
          <w:noProof/>
        </w:rPr>
        <w:t>2</w:t>
      </w:r>
      <w:r>
        <w:fldChar w:fldCharType="end"/>
      </w:r>
      <w:r w:rsidRPr="000347E4">
        <w:t>.</w:t>
      </w:r>
    </w:p>
    <w:p w:rsidR="00AE0B1A" w:rsidRPr="00D96785" w:rsidRDefault="00AE0B1A" w:rsidP="00AE0B1A">
      <w:pPr>
        <w:pStyle w:val="Heading2"/>
      </w:pPr>
      <w:bookmarkStart w:id="257" w:name="_Toc372790305"/>
      <w:bookmarkStart w:id="258" w:name="_Toc378252888"/>
      <w:bookmarkStart w:id="259" w:name="_Toc378253212"/>
      <w:bookmarkStart w:id="260" w:name="_Toc378253536"/>
      <w:bookmarkStart w:id="261" w:name="_Toc378253860"/>
      <w:bookmarkStart w:id="262" w:name="_Toc378254184"/>
      <w:bookmarkStart w:id="263" w:name="_Toc378254508"/>
      <w:bookmarkStart w:id="264" w:name="_Toc378254832"/>
      <w:bookmarkStart w:id="265" w:name="_Toc378255156"/>
      <w:bookmarkStart w:id="266" w:name="_Toc383758214"/>
      <w:r w:rsidRPr="006B5A62">
        <w:t>Datasets</w:t>
      </w:r>
      <w:bookmarkEnd w:id="257"/>
      <w:bookmarkEnd w:id="258"/>
      <w:bookmarkEnd w:id="259"/>
      <w:bookmarkEnd w:id="260"/>
      <w:bookmarkEnd w:id="261"/>
      <w:bookmarkEnd w:id="262"/>
      <w:bookmarkEnd w:id="263"/>
      <w:bookmarkEnd w:id="264"/>
      <w:bookmarkEnd w:id="265"/>
      <w:bookmarkEnd w:id="266"/>
    </w:p>
    <w:p w:rsidR="00AE0B1A" w:rsidRPr="00D96785" w:rsidRDefault="00AE0B1A" w:rsidP="00AE0B1A">
      <w:pPr>
        <w:pStyle w:val="BodyText"/>
      </w:pPr>
      <w:r w:rsidRPr="00D96785">
        <w:t xml:space="preserve">The study examined a 300 </w:t>
      </w:r>
      <w:r>
        <w:t>x</w:t>
      </w:r>
      <w:r w:rsidRPr="00D96785">
        <w:t xml:space="preserve"> 300 km area, much larger than the main area of interest of 80 </w:t>
      </w:r>
      <w:r>
        <w:t>x</w:t>
      </w:r>
      <w:r w:rsidRPr="00D96785">
        <w:t xml:space="preserve"> 100 km, to prevent possible geological model boundary issues for the dynamic modelling stage (</w:t>
      </w:r>
      <w:r w:rsidR="003838AC">
        <w:fldChar w:fldCharType="begin"/>
      </w:r>
      <w:r w:rsidR="003838AC">
        <w:instrText xml:space="preserve"> REF _Ref372288044 \h </w:instrText>
      </w:r>
      <w:r w:rsidR="003838AC">
        <w:fldChar w:fldCharType="separate"/>
      </w:r>
      <w:r w:rsidR="00F64E4F">
        <w:t>Figure </w:t>
      </w:r>
      <w:r w:rsidR="00F64E4F">
        <w:rPr>
          <w:noProof/>
        </w:rPr>
        <w:t>1</w:t>
      </w:r>
      <w:r w:rsidR="00F64E4F">
        <w:t>.</w:t>
      </w:r>
      <w:r w:rsidR="00F64E4F">
        <w:rPr>
          <w:noProof/>
        </w:rPr>
        <w:t>4</w:t>
      </w:r>
      <w:r w:rsidR="003838AC">
        <w:fldChar w:fldCharType="end"/>
      </w:r>
      <w:r w:rsidRPr="00D96785">
        <w:t>). Within the study area all publically available data w</w:t>
      </w:r>
      <w:r>
        <w:t>ere</w:t>
      </w:r>
      <w:r w:rsidRPr="00D96785">
        <w:t xml:space="preserve"> used, including 2D and 3D seismic, wireline logs, core, sidewall core and cuttings samples, </w:t>
      </w:r>
      <w:r>
        <w:t>as well as</w:t>
      </w:r>
      <w:r w:rsidRPr="00D96785">
        <w:t xml:space="preserve"> </w:t>
      </w:r>
      <w:r>
        <w:t>borehole</w:t>
      </w:r>
      <w:r w:rsidRPr="00D96785">
        <w:t xml:space="preserve"> data extracted from</w:t>
      </w:r>
      <w:r>
        <w:t xml:space="preserve"> well completion reports and</w:t>
      </w:r>
      <w:r w:rsidRPr="00D96785">
        <w:t xml:space="preserve"> Geoscience Australia</w:t>
      </w:r>
      <w:r>
        <w:t>’s</w:t>
      </w:r>
      <w:r w:rsidRPr="00D96785">
        <w:t xml:space="preserve"> </w:t>
      </w:r>
      <w:r>
        <w:t xml:space="preserve">national data holdings </w:t>
      </w:r>
      <w:r w:rsidRPr="00D96785">
        <w:t>(biostratigraphy, lithological assessments, reservoir porosity, pressure and temperature data</w:t>
      </w:r>
      <w:r>
        <w:t>,</w:t>
      </w:r>
      <w:r w:rsidRPr="00D96785">
        <w:t xml:space="preserve"> etc.</w:t>
      </w:r>
      <w:r>
        <w:t>).</w:t>
      </w:r>
    </w:p>
    <w:p w:rsidR="00AE0B1A" w:rsidRDefault="00AE0B1A" w:rsidP="00AE0B1A">
      <w:pPr>
        <w:pStyle w:val="Figuresandimagescentred"/>
      </w:pPr>
      <w:r>
        <w:rPr>
          <w:noProof/>
        </w:rPr>
        <w:drawing>
          <wp:inline distT="0" distB="0" distL="0" distR="0" wp14:anchorId="298F4425" wp14:editId="7835F577">
            <wp:extent cx="5417185" cy="3865245"/>
            <wp:effectExtent l="0" t="0" r="0" b="1905"/>
            <wp:docPr id="9" name="Picture 9" descr="Due to the complexity of this document and the niche scientific target audience, no alternative description has been provided. Please email Geoscience Australia at clientservices@ga.gov.au for an alternative description."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3-7199-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17185" cy="3865245"/>
                    </a:xfrm>
                    <a:prstGeom prst="rect">
                      <a:avLst/>
                    </a:prstGeom>
                    <a:noFill/>
                    <a:ln>
                      <a:noFill/>
                    </a:ln>
                  </pic:spPr>
                </pic:pic>
              </a:graphicData>
            </a:graphic>
          </wp:inline>
        </w:drawing>
      </w:r>
    </w:p>
    <w:p w:rsidR="00AE0B1A" w:rsidRPr="00255748" w:rsidRDefault="00AE0B1A" w:rsidP="00AE0B1A">
      <w:pPr>
        <w:pStyle w:val="Caption"/>
      </w:pPr>
      <w:bookmarkStart w:id="267" w:name="_Ref372289196"/>
      <w:bookmarkStart w:id="268" w:name="_Toc373094998"/>
      <w:bookmarkStart w:id="269" w:name="_Toc378252728"/>
      <w:bookmarkStart w:id="270" w:name="_Toc378253052"/>
      <w:bookmarkStart w:id="271" w:name="_Toc378253376"/>
      <w:bookmarkStart w:id="272" w:name="_Toc378253700"/>
      <w:bookmarkStart w:id="273" w:name="_Toc378254024"/>
      <w:bookmarkStart w:id="274" w:name="_Toc378254348"/>
      <w:bookmarkStart w:id="275" w:name="_Toc378254672"/>
      <w:bookmarkStart w:id="276" w:name="_Toc378254996"/>
      <w:bookmarkStart w:id="277" w:name="_Toc378255345"/>
      <w:r>
        <w:t xml:space="preserve">Figure </w:t>
      </w:r>
      <w:fldSimple w:instr=" STYLEREF 1 \s ">
        <w:r w:rsidR="00F64E4F">
          <w:rPr>
            <w:noProof/>
          </w:rPr>
          <w:t>4</w:t>
        </w:r>
      </w:fldSimple>
      <w:r w:rsidR="00AE5C2D">
        <w:t>.</w:t>
      </w:r>
      <w:fldSimple w:instr=" SEQ Figure \* ARABIC \s 1 ">
        <w:r w:rsidR="00F64E4F">
          <w:rPr>
            <w:noProof/>
          </w:rPr>
          <w:t>1</w:t>
        </w:r>
      </w:fldSimple>
      <w:bookmarkEnd w:id="267"/>
      <w:r>
        <w:t xml:space="preserve"> </w:t>
      </w:r>
      <w:r w:rsidRPr="00654C25">
        <w:t>The overall workflow undertaken as part of the Petrel Sub-basin CO</w:t>
      </w:r>
      <w:r w:rsidRPr="00E67B77">
        <w:rPr>
          <w:rStyle w:val="Subscript"/>
        </w:rPr>
        <w:t xml:space="preserve">2 </w:t>
      </w:r>
      <w:r w:rsidRPr="00654C25">
        <w:t>storage study.</w:t>
      </w:r>
      <w:bookmarkEnd w:id="268"/>
      <w:bookmarkEnd w:id="269"/>
      <w:bookmarkEnd w:id="270"/>
      <w:bookmarkEnd w:id="271"/>
      <w:bookmarkEnd w:id="272"/>
      <w:bookmarkEnd w:id="273"/>
      <w:bookmarkEnd w:id="274"/>
      <w:bookmarkEnd w:id="275"/>
      <w:bookmarkEnd w:id="276"/>
      <w:bookmarkEnd w:id="277"/>
    </w:p>
    <w:p w:rsidR="00AE0B1A" w:rsidRDefault="00AE0B1A" w:rsidP="00AE0B1A">
      <w:pPr>
        <w:pStyle w:val="Figuresandimagescentred"/>
      </w:pPr>
      <w:r>
        <w:rPr>
          <w:noProof/>
        </w:rPr>
        <w:lastRenderedPageBreak/>
        <w:drawing>
          <wp:inline distT="0" distB="0" distL="0" distR="0" wp14:anchorId="4916C5A6" wp14:editId="09A94F0B">
            <wp:extent cx="4318000" cy="5257800"/>
            <wp:effectExtent l="0" t="0" r="6350" b="0"/>
            <wp:docPr id="2061" name="Picture 2061" descr="Due to the complexity of this document and the niche scientific target audience, no alternative description has been provided. Please email Geoscience Australia at clientservices@ga.gov.au for an alternative description."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6finaldocs\0.REVIEW GA Record Summary + Appendices Internal  Review\Reviewed Draft\Figures\13-7199-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18000" cy="5257800"/>
                    </a:xfrm>
                    <a:prstGeom prst="rect">
                      <a:avLst/>
                    </a:prstGeom>
                    <a:noFill/>
                    <a:ln>
                      <a:noFill/>
                    </a:ln>
                  </pic:spPr>
                </pic:pic>
              </a:graphicData>
            </a:graphic>
          </wp:inline>
        </w:drawing>
      </w:r>
    </w:p>
    <w:p w:rsidR="00AE0B1A" w:rsidRPr="00D06525" w:rsidRDefault="00AE0B1A" w:rsidP="00AE0B1A">
      <w:pPr>
        <w:pStyle w:val="Caption"/>
      </w:pPr>
      <w:bookmarkStart w:id="278" w:name="_Ref372289202"/>
      <w:bookmarkStart w:id="279" w:name="_Toc373094999"/>
      <w:bookmarkStart w:id="280" w:name="_Toc378252729"/>
      <w:bookmarkStart w:id="281" w:name="_Toc378253053"/>
      <w:bookmarkStart w:id="282" w:name="_Toc378253377"/>
      <w:bookmarkStart w:id="283" w:name="_Toc378253701"/>
      <w:bookmarkStart w:id="284" w:name="_Toc378254025"/>
      <w:bookmarkStart w:id="285" w:name="_Toc378254349"/>
      <w:bookmarkStart w:id="286" w:name="_Toc378254673"/>
      <w:bookmarkStart w:id="287" w:name="_Toc378254997"/>
      <w:bookmarkStart w:id="288" w:name="_Toc378255346"/>
      <w:r>
        <w:t xml:space="preserve">Figure </w:t>
      </w:r>
      <w:fldSimple w:instr=" STYLEREF 1 \s ">
        <w:r w:rsidR="00F64E4F">
          <w:rPr>
            <w:noProof/>
          </w:rPr>
          <w:t>4</w:t>
        </w:r>
      </w:fldSimple>
      <w:r w:rsidR="00AE5C2D">
        <w:t>.</w:t>
      </w:r>
      <w:fldSimple w:instr=" SEQ Figure \* ARABIC \s 1 ">
        <w:r w:rsidR="00F64E4F">
          <w:rPr>
            <w:noProof/>
          </w:rPr>
          <w:t>2</w:t>
        </w:r>
      </w:fldSimple>
      <w:bookmarkEnd w:id="278"/>
      <w:r>
        <w:t xml:space="preserve"> </w:t>
      </w:r>
      <w:r w:rsidRPr="001F1945">
        <w:t>The modelling workflow undertaken as part of the Petrel Sub-basin CO</w:t>
      </w:r>
      <w:r w:rsidRPr="00E67B77">
        <w:rPr>
          <w:rStyle w:val="Subscript"/>
        </w:rPr>
        <w:t>2</w:t>
      </w:r>
      <w:r w:rsidRPr="001F1945">
        <w:t xml:space="preserve"> storage study.</w:t>
      </w:r>
      <w:bookmarkEnd w:id="279"/>
      <w:bookmarkEnd w:id="280"/>
      <w:bookmarkEnd w:id="281"/>
      <w:bookmarkEnd w:id="282"/>
      <w:bookmarkEnd w:id="283"/>
      <w:bookmarkEnd w:id="284"/>
      <w:bookmarkEnd w:id="285"/>
      <w:bookmarkEnd w:id="286"/>
      <w:bookmarkEnd w:id="287"/>
      <w:bookmarkEnd w:id="288"/>
    </w:p>
    <w:p w:rsidR="00AE0B1A" w:rsidRDefault="00AE0B1A" w:rsidP="00AE0B1A">
      <w:pPr>
        <w:pStyle w:val="BodyText"/>
      </w:pPr>
      <w:r w:rsidRPr="00D96785">
        <w:t xml:space="preserve">Seismic </w:t>
      </w:r>
      <w:r>
        <w:t xml:space="preserve">data </w:t>
      </w:r>
      <w:r w:rsidRPr="00D96785">
        <w:t>coverage over the sub-basin is highly variable in quality and spacing (</w:t>
      </w:r>
      <w:r>
        <w:fldChar w:fldCharType="begin"/>
      </w:r>
      <w:r>
        <w:instrText xml:space="preserve"> REF _Ref372289121 \h </w:instrText>
      </w:r>
      <w:r>
        <w:fldChar w:fldCharType="separate"/>
      </w:r>
      <w:r w:rsidR="00F64E4F">
        <w:t xml:space="preserve">Figure </w:t>
      </w:r>
      <w:r w:rsidR="00F64E4F">
        <w:rPr>
          <w:noProof/>
        </w:rPr>
        <w:t>4</w:t>
      </w:r>
      <w:r w:rsidR="00F64E4F">
        <w:t>.</w:t>
      </w:r>
      <w:r w:rsidR="00F64E4F">
        <w:rPr>
          <w:noProof/>
        </w:rPr>
        <w:t>4</w:t>
      </w:r>
      <w:r>
        <w:fldChar w:fldCharType="end"/>
      </w:r>
      <w:r w:rsidRPr="00D96785">
        <w:t>)</w:t>
      </w:r>
      <w:r>
        <w:t xml:space="preserve">; </w:t>
      </w:r>
      <w:r w:rsidRPr="00D96785">
        <w:t xml:space="preserve">coverage was moderate over the central and eastern </w:t>
      </w:r>
      <w:r>
        <w:t>regions</w:t>
      </w:r>
      <w:r w:rsidRPr="00D96785">
        <w:t xml:space="preserve"> of the sub-basin, </w:t>
      </w:r>
      <w:r>
        <w:t>and</w:t>
      </w:r>
      <w:r w:rsidRPr="00D96785">
        <w:t xml:space="preserve"> very low in the southeast, with only a few lines </w:t>
      </w:r>
      <w:r>
        <w:t>available</w:t>
      </w:r>
      <w:r w:rsidRPr="00D96785">
        <w:t xml:space="preserve"> (Appendix A). The Petrel Sub-basin also has five 3D seismic surveys located over the Petrel gas field, Shakespeare 1, </w:t>
      </w:r>
      <w:proofErr w:type="spellStart"/>
      <w:r w:rsidRPr="00D96785">
        <w:t>Blacktip</w:t>
      </w:r>
      <w:proofErr w:type="spellEnd"/>
      <w:r w:rsidRPr="00D96785">
        <w:t xml:space="preserve"> 1 and Barnett 1 wells</w:t>
      </w:r>
      <w:r>
        <w:t>, and</w:t>
      </w:r>
      <w:r w:rsidRPr="00D96785">
        <w:t xml:space="preserve"> </w:t>
      </w:r>
      <w:r>
        <w:t xml:space="preserve">the </w:t>
      </w:r>
      <w:r w:rsidRPr="00D96785">
        <w:t>Thresher 3D seismic</w:t>
      </w:r>
      <w:r>
        <w:t xml:space="preserve"> volume</w:t>
      </w:r>
      <w:r w:rsidRPr="00D96785">
        <w:t xml:space="preserve"> to the immediate west of </w:t>
      </w:r>
      <w:r>
        <w:t xml:space="preserve">the </w:t>
      </w:r>
      <w:r w:rsidRPr="00D96785">
        <w:t>Barnett 1</w:t>
      </w:r>
      <w:r>
        <w:t xml:space="preserve"> well</w:t>
      </w:r>
      <w:r w:rsidRPr="00D96785">
        <w:t xml:space="preserve">. As they are located outside the main area of interest </w:t>
      </w:r>
      <w:r>
        <w:t xml:space="preserve">for </w:t>
      </w:r>
      <w:r w:rsidRPr="00D96785">
        <w:t xml:space="preserve">this study, the Barnett, </w:t>
      </w:r>
      <w:proofErr w:type="spellStart"/>
      <w:r w:rsidRPr="00D96785">
        <w:t>Blacktip</w:t>
      </w:r>
      <w:proofErr w:type="spellEnd"/>
      <w:r w:rsidRPr="00D96785">
        <w:t xml:space="preserve"> and Thresher 3D seismic </w:t>
      </w:r>
      <w:r>
        <w:t>data</w:t>
      </w:r>
      <w:r w:rsidRPr="00D96785">
        <w:t xml:space="preserve"> were not used.</w:t>
      </w:r>
      <w:r>
        <w:t xml:space="preserve"> A total of</w:t>
      </w:r>
      <w:r w:rsidRPr="00D96785">
        <w:t xml:space="preserve"> </w:t>
      </w:r>
      <w:r>
        <w:t>34</w:t>
      </w:r>
      <w:r w:rsidRPr="00D96785">
        <w:t xml:space="preserve"> wells intersected the Mesozoic formations in the offshore Petrel Sub-basin and of these </w:t>
      </w:r>
      <w:r>
        <w:t>18</w:t>
      </w:r>
      <w:r w:rsidRPr="00D96785">
        <w:t xml:space="preserve"> had sufficient datasets that could be utilised for both the </w:t>
      </w:r>
      <w:proofErr w:type="spellStart"/>
      <w:r w:rsidRPr="00D96785">
        <w:t>petrophysical</w:t>
      </w:r>
      <w:proofErr w:type="spellEnd"/>
      <w:r w:rsidRPr="00D96785">
        <w:t xml:space="preserve"> (Appendix B) and </w:t>
      </w:r>
      <w:proofErr w:type="spellStart"/>
      <w:r w:rsidRPr="00D96785">
        <w:t>sedimentological</w:t>
      </w:r>
      <w:proofErr w:type="spellEnd"/>
      <w:r w:rsidRPr="00D96785">
        <w:t xml:space="preserve"> (Appendix C) studies (</w:t>
      </w:r>
      <w:r>
        <w:fldChar w:fldCharType="begin"/>
      </w:r>
      <w:r>
        <w:instrText xml:space="preserve"> REF _Ref372289251 \h </w:instrText>
      </w:r>
      <w:r>
        <w:fldChar w:fldCharType="separate"/>
      </w:r>
      <w:r w:rsidR="00F64E4F">
        <w:t xml:space="preserve">Figure </w:t>
      </w:r>
      <w:r w:rsidR="00F64E4F">
        <w:rPr>
          <w:noProof/>
        </w:rPr>
        <w:t>4</w:t>
      </w:r>
      <w:r w:rsidR="00F64E4F">
        <w:t>.</w:t>
      </w:r>
      <w:r w:rsidR="00F64E4F">
        <w:rPr>
          <w:noProof/>
        </w:rPr>
        <w:t>3</w:t>
      </w:r>
      <w:r>
        <w:fldChar w:fldCharType="end"/>
      </w:r>
      <w:r>
        <w:t xml:space="preserve">; </w:t>
      </w:r>
      <w:r w:rsidR="00B30F18">
        <w:fldChar w:fldCharType="begin"/>
      </w:r>
      <w:r w:rsidR="00B30F18">
        <w:instrText xml:space="preserve"> REF _Ref380156392 \h </w:instrText>
      </w:r>
      <w:r w:rsidR="00B30F18">
        <w:fldChar w:fldCharType="separate"/>
      </w:r>
      <w:r w:rsidR="00F64E4F">
        <w:t xml:space="preserve">Table </w:t>
      </w:r>
      <w:r w:rsidR="00F64E4F">
        <w:rPr>
          <w:noProof/>
        </w:rPr>
        <w:t>4</w:t>
      </w:r>
      <w:r w:rsidR="00F64E4F">
        <w:t>.</w:t>
      </w:r>
      <w:r w:rsidR="00F64E4F">
        <w:rPr>
          <w:noProof/>
        </w:rPr>
        <w:t>1</w:t>
      </w:r>
      <w:r w:rsidR="00B30F18">
        <w:fldChar w:fldCharType="end"/>
      </w:r>
      <w:r>
        <w:t xml:space="preserve">; </w:t>
      </w:r>
      <w:r w:rsidR="0095117B">
        <w:t>Supplementary Report</w:t>
      </w:r>
      <w:r>
        <w:t xml:space="preserve"> 1</w:t>
      </w:r>
      <w:r w:rsidRPr="00D96785">
        <w:t xml:space="preserve">). </w:t>
      </w:r>
    </w:p>
    <w:p w:rsidR="00AE0B1A" w:rsidRDefault="00AE0B1A" w:rsidP="00AE0B1A">
      <w:pPr>
        <w:pStyle w:val="Figuresandimagescentred"/>
      </w:pPr>
      <w:r w:rsidRPr="00F76380">
        <w:rPr>
          <w:noProof/>
        </w:rPr>
        <w:lastRenderedPageBreak/>
        <w:drawing>
          <wp:inline distT="0" distB="0" distL="0" distR="0" wp14:anchorId="3F4A1563" wp14:editId="1823603E">
            <wp:extent cx="4442460" cy="3472461"/>
            <wp:effectExtent l="0" t="0" r="0" b="0"/>
            <wp:docPr id="2063" name="Picture 2063" descr="Due to the complexity of this document and the niche scientific target audience, no alternative description has been provided. Please email Geoscience Australia at clientservices@ga.gov.au for an alternative description." title="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6finaldocs\0.REVIEW GA Record Summary + Appendices Internal  Review\Reviewed Draft\Figures\13-7199-1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1508" t="30193" r="11375" b="27138"/>
                    <a:stretch/>
                  </pic:blipFill>
                  <pic:spPr bwMode="auto">
                    <a:xfrm>
                      <a:off x="0" y="0"/>
                      <a:ext cx="4442460" cy="3472461"/>
                    </a:xfrm>
                    <a:prstGeom prst="rect">
                      <a:avLst/>
                    </a:prstGeom>
                    <a:noFill/>
                    <a:ln>
                      <a:noFill/>
                    </a:ln>
                    <a:extLst>
                      <a:ext uri="{53640926-AAD7-44D8-BBD7-CCE9431645EC}">
                        <a14:shadowObscured xmlns:a14="http://schemas.microsoft.com/office/drawing/2010/main"/>
                      </a:ext>
                    </a:extLst>
                  </pic:spPr>
                </pic:pic>
              </a:graphicData>
            </a:graphic>
          </wp:inline>
        </w:drawing>
      </w:r>
    </w:p>
    <w:p w:rsidR="00AE0B1A" w:rsidRPr="00255748" w:rsidRDefault="00AE0B1A" w:rsidP="00AE0B1A">
      <w:pPr>
        <w:pStyle w:val="Caption"/>
      </w:pPr>
      <w:bookmarkStart w:id="289" w:name="_Ref372289251"/>
      <w:bookmarkStart w:id="290" w:name="_Toc373095000"/>
      <w:bookmarkStart w:id="291" w:name="_Toc378252730"/>
      <w:bookmarkStart w:id="292" w:name="_Toc378253054"/>
      <w:bookmarkStart w:id="293" w:name="_Toc378253378"/>
      <w:bookmarkStart w:id="294" w:name="_Toc378253702"/>
      <w:bookmarkStart w:id="295" w:name="_Toc378254026"/>
      <w:bookmarkStart w:id="296" w:name="_Toc378254350"/>
      <w:bookmarkStart w:id="297" w:name="_Toc378254674"/>
      <w:bookmarkStart w:id="298" w:name="_Toc378254998"/>
      <w:bookmarkStart w:id="299" w:name="_Toc378255347"/>
      <w:r>
        <w:t xml:space="preserve">Figure </w:t>
      </w:r>
      <w:fldSimple w:instr=" STYLEREF 1 \s ">
        <w:r w:rsidR="00F64E4F">
          <w:rPr>
            <w:noProof/>
          </w:rPr>
          <w:t>4</w:t>
        </w:r>
      </w:fldSimple>
      <w:r w:rsidR="00AE5C2D">
        <w:t>.</w:t>
      </w:r>
      <w:fldSimple w:instr=" SEQ Figure \* ARABIC \s 1 ">
        <w:r w:rsidR="00F64E4F">
          <w:rPr>
            <w:noProof/>
          </w:rPr>
          <w:t>3</w:t>
        </w:r>
      </w:fldSimple>
      <w:bookmarkEnd w:id="289"/>
      <w:r>
        <w:t xml:space="preserve"> </w:t>
      </w:r>
      <w:r w:rsidRPr="008552AF">
        <w:t xml:space="preserve">Wells of Petrel Sub-basin. Key wells for the </w:t>
      </w:r>
      <w:proofErr w:type="spellStart"/>
      <w:r w:rsidRPr="008552AF">
        <w:t>petrophysical</w:t>
      </w:r>
      <w:proofErr w:type="spellEnd"/>
      <w:r w:rsidRPr="008552AF">
        <w:t xml:space="preserve"> and </w:t>
      </w:r>
      <w:proofErr w:type="spellStart"/>
      <w:r w:rsidRPr="008552AF">
        <w:t>sedimentological</w:t>
      </w:r>
      <w:proofErr w:type="spellEnd"/>
      <w:r w:rsidRPr="008552AF">
        <w:t xml:space="preserve"> analyses as part of the Petrel Sub-basin CO</w:t>
      </w:r>
      <w:r w:rsidRPr="00B353D1">
        <w:t>2</w:t>
      </w:r>
      <w:r w:rsidRPr="008552AF">
        <w:t xml:space="preserve"> storage study are hig</w:t>
      </w:r>
      <w:r w:rsidR="00A97140">
        <w:t>hlighted in yellow. See Appendices</w:t>
      </w:r>
      <w:r w:rsidRPr="008552AF">
        <w:t xml:space="preserve"> A</w:t>
      </w:r>
      <w:r w:rsidR="00A97140">
        <w:t>, B and C</w:t>
      </w:r>
      <w:r w:rsidRPr="008552AF">
        <w:t xml:space="preserve"> for further information.</w:t>
      </w:r>
      <w:bookmarkEnd w:id="290"/>
      <w:bookmarkEnd w:id="291"/>
      <w:bookmarkEnd w:id="292"/>
      <w:bookmarkEnd w:id="293"/>
      <w:bookmarkEnd w:id="294"/>
      <w:bookmarkEnd w:id="295"/>
      <w:bookmarkEnd w:id="296"/>
      <w:bookmarkEnd w:id="297"/>
      <w:bookmarkEnd w:id="298"/>
      <w:bookmarkEnd w:id="299"/>
    </w:p>
    <w:p w:rsidR="00AE0B1A" w:rsidRDefault="00AE0B1A" w:rsidP="00AE0B1A">
      <w:pPr>
        <w:pStyle w:val="Figuresandimagescentred"/>
      </w:pPr>
      <w:r w:rsidRPr="009D5B2E">
        <w:rPr>
          <w:noProof/>
        </w:rPr>
        <w:drawing>
          <wp:inline distT="0" distB="0" distL="0" distR="0" wp14:anchorId="202FE5DE" wp14:editId="68924A17">
            <wp:extent cx="5184000" cy="3931200"/>
            <wp:effectExtent l="0" t="0" r="0" b="0"/>
            <wp:docPr id="2066" name="Picture 2066" descr="Due to the complexity of this document and the niche scientific target audience, no alternative description has been provided. Please email Geoscience Australia at clientservices@ga.gov.au for an alternative description."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6finaldocs\0.REVIEW GA Record Summary + Appendices Internal  Review\Reviewed Draft\Figures\13-7199-1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84000" cy="3931200"/>
                    </a:xfrm>
                    <a:prstGeom prst="rect">
                      <a:avLst/>
                    </a:prstGeom>
                    <a:noFill/>
                    <a:ln>
                      <a:noFill/>
                    </a:ln>
                  </pic:spPr>
                </pic:pic>
              </a:graphicData>
            </a:graphic>
          </wp:inline>
        </w:drawing>
      </w:r>
    </w:p>
    <w:p w:rsidR="00AE0B1A" w:rsidRPr="00255748" w:rsidRDefault="00AE0B1A" w:rsidP="00AE0B1A">
      <w:pPr>
        <w:pStyle w:val="Caption"/>
      </w:pPr>
      <w:bookmarkStart w:id="300" w:name="_Ref372289121"/>
      <w:bookmarkStart w:id="301" w:name="_Toc373095001"/>
      <w:bookmarkStart w:id="302" w:name="_Toc378252731"/>
      <w:bookmarkStart w:id="303" w:name="_Toc378253055"/>
      <w:bookmarkStart w:id="304" w:name="_Toc378253379"/>
      <w:bookmarkStart w:id="305" w:name="_Toc378253703"/>
      <w:bookmarkStart w:id="306" w:name="_Toc378254027"/>
      <w:bookmarkStart w:id="307" w:name="_Toc378254351"/>
      <w:bookmarkStart w:id="308" w:name="_Toc378254675"/>
      <w:bookmarkStart w:id="309" w:name="_Toc378254999"/>
      <w:bookmarkStart w:id="310" w:name="_Toc378255348"/>
      <w:r>
        <w:t xml:space="preserve">Figure </w:t>
      </w:r>
      <w:fldSimple w:instr=" STYLEREF 1 \s ">
        <w:r w:rsidR="00F64E4F">
          <w:rPr>
            <w:noProof/>
          </w:rPr>
          <w:t>4</w:t>
        </w:r>
      </w:fldSimple>
      <w:r w:rsidR="00AE5C2D">
        <w:t>.</w:t>
      </w:r>
      <w:fldSimple w:instr=" SEQ Figure \* ARABIC \s 1 ">
        <w:r w:rsidR="00F64E4F">
          <w:rPr>
            <w:noProof/>
          </w:rPr>
          <w:t>4</w:t>
        </w:r>
      </w:fldSimple>
      <w:bookmarkEnd w:id="300"/>
      <w:r>
        <w:t xml:space="preserve"> </w:t>
      </w:r>
      <w:r w:rsidRPr="003F25C5">
        <w:t>The seismic coverage over the Petrel Sub-basin. The seismic survey, GA336, acquired as pre-competitive data in this study is shown in red. Key 3D seismic surveys are labelled. See Appendix A for further information.</w:t>
      </w:r>
      <w:bookmarkEnd w:id="301"/>
      <w:bookmarkEnd w:id="302"/>
      <w:bookmarkEnd w:id="303"/>
      <w:bookmarkEnd w:id="304"/>
      <w:bookmarkEnd w:id="305"/>
      <w:bookmarkEnd w:id="306"/>
      <w:bookmarkEnd w:id="307"/>
      <w:bookmarkEnd w:id="308"/>
      <w:bookmarkEnd w:id="309"/>
      <w:bookmarkEnd w:id="310"/>
    </w:p>
    <w:p w:rsidR="00AE0B1A" w:rsidRDefault="00AE0B1A" w:rsidP="00AE0B1A">
      <w:pPr>
        <w:pStyle w:val="Tabletitle"/>
      </w:pPr>
      <w:bookmarkStart w:id="311" w:name="_Ref380156392"/>
      <w:bookmarkStart w:id="312" w:name="_Toc372790375"/>
      <w:bookmarkStart w:id="313" w:name="_Toc378252829"/>
      <w:bookmarkStart w:id="314" w:name="_Toc378253153"/>
      <w:bookmarkStart w:id="315" w:name="_Toc378253477"/>
      <w:bookmarkStart w:id="316" w:name="_Toc378253801"/>
      <w:bookmarkStart w:id="317" w:name="_Toc378254125"/>
      <w:bookmarkStart w:id="318" w:name="_Toc378254449"/>
      <w:bookmarkStart w:id="319" w:name="_Toc378254773"/>
      <w:bookmarkStart w:id="320" w:name="_Toc378255097"/>
      <w:bookmarkStart w:id="321" w:name="_Toc378255446"/>
      <w:r>
        <w:lastRenderedPageBreak/>
        <w:t xml:space="preserve">Table </w:t>
      </w:r>
      <w:fldSimple w:instr=" STYLEREF 1 \s ">
        <w:r w:rsidR="00F64E4F">
          <w:rPr>
            <w:noProof/>
          </w:rPr>
          <w:t>4</w:t>
        </w:r>
      </w:fldSimple>
      <w:r>
        <w:t>.</w:t>
      </w:r>
      <w:fldSimple w:instr=" SEQ Table \* ARABIC \s 1 ">
        <w:r w:rsidR="00F64E4F">
          <w:rPr>
            <w:noProof/>
          </w:rPr>
          <w:t>1</w:t>
        </w:r>
      </w:fldSimple>
      <w:bookmarkEnd w:id="311"/>
      <w:r>
        <w:t xml:space="preserve"> Names</w:t>
      </w:r>
      <w:r w:rsidRPr="00E831C1">
        <w:t>, record numbers and data available for key wells used in this study. Formation tops in these wells were used for the</w:t>
      </w:r>
      <w:r>
        <w:t xml:space="preserve"> seismic interpretation and </w:t>
      </w:r>
      <w:proofErr w:type="spellStart"/>
      <w:r>
        <w:t>pal</w:t>
      </w:r>
      <w:r w:rsidR="00F649CD">
        <w:t>a</w:t>
      </w:r>
      <w:r w:rsidRPr="00E831C1">
        <w:t>eogeographic</w:t>
      </w:r>
      <w:proofErr w:type="spellEnd"/>
      <w:r w:rsidRPr="00E831C1">
        <w:t xml:space="preserve"> analysis. Databases RESFACS and STRATDAT, refer to Geoscience</w:t>
      </w:r>
      <w:r w:rsidRPr="00F76380">
        <w:t xml:space="preserve"> </w:t>
      </w:r>
      <w:r w:rsidRPr="00772B42">
        <w:t>Australia well databases</w:t>
      </w:r>
      <w:r>
        <w:t xml:space="preserve">. </w:t>
      </w:r>
      <w:r w:rsidRPr="006B5B7F">
        <w:t>For further detail regarding</w:t>
      </w:r>
      <w:r>
        <w:t xml:space="preserve"> petrography (PETROG) </w:t>
      </w:r>
      <w:r w:rsidRPr="006B5B7F">
        <w:t>mineral mapping (MM), bulk volatile chemistry from fluid inclusions</w:t>
      </w:r>
      <w:r>
        <w:t xml:space="preserve"> </w:t>
      </w:r>
      <w:r w:rsidRPr="006B5B7F">
        <w:t xml:space="preserve">(FIS) and </w:t>
      </w:r>
      <w:proofErr w:type="spellStart"/>
      <w:r w:rsidRPr="006B5B7F">
        <w:t>hyperspectral</w:t>
      </w:r>
      <w:proofErr w:type="spellEnd"/>
      <w:r w:rsidRPr="006B5B7F">
        <w:t xml:space="preserve"> </w:t>
      </w:r>
      <w:proofErr w:type="spellStart"/>
      <w:r w:rsidRPr="006B5B7F">
        <w:t>spectroradiometer</w:t>
      </w:r>
      <w:proofErr w:type="spellEnd"/>
      <w:r w:rsidRPr="006B5B7F">
        <w:t xml:space="preserve"> analysis</w:t>
      </w:r>
      <w:r>
        <w:t xml:space="preserve"> </w:t>
      </w:r>
      <w:r w:rsidRPr="006B5B7F">
        <w:t xml:space="preserve">(HAS), </w:t>
      </w:r>
      <w:proofErr w:type="spellStart"/>
      <w:r>
        <w:t>Petrophysics</w:t>
      </w:r>
      <w:proofErr w:type="spellEnd"/>
      <w:r>
        <w:t xml:space="preserve"> (</w:t>
      </w:r>
      <w:r w:rsidRPr="00255748">
        <w:t>PETROP)</w:t>
      </w:r>
      <w:r w:rsidRPr="006B5B7F">
        <w:t xml:space="preserve"> </w:t>
      </w:r>
      <w:r>
        <w:t>and Sedimentology (SED); R</w:t>
      </w:r>
      <w:r w:rsidRPr="006B5B7F">
        <w:t xml:space="preserve">efer to Appendices C, </w:t>
      </w:r>
      <w:r>
        <w:t>E, D, F, B</w:t>
      </w:r>
      <w:r w:rsidRPr="006B5B7F">
        <w:t xml:space="preserve"> and </w:t>
      </w:r>
      <w:r>
        <w:t>C</w:t>
      </w:r>
      <w:r w:rsidRPr="006B5B7F">
        <w:t xml:space="preserve"> </w:t>
      </w:r>
      <w:r>
        <w:t>respectively.</w:t>
      </w:r>
      <w:bookmarkEnd w:id="312"/>
      <w:bookmarkEnd w:id="313"/>
      <w:bookmarkEnd w:id="314"/>
      <w:bookmarkEnd w:id="315"/>
      <w:bookmarkEnd w:id="316"/>
      <w:bookmarkEnd w:id="317"/>
      <w:bookmarkEnd w:id="318"/>
      <w:bookmarkEnd w:id="319"/>
      <w:bookmarkEnd w:id="320"/>
      <w:bookmarkEnd w:id="321"/>
    </w:p>
    <w:tbl>
      <w:tblPr>
        <w:tblStyle w:val="TableGAHeaderRow"/>
        <w:tblW w:w="0" w:type="auto"/>
        <w:tblLook w:val="04A0" w:firstRow="1" w:lastRow="0" w:firstColumn="1" w:lastColumn="0" w:noHBand="0" w:noVBand="1"/>
        <w:tblCaption w:val="Table 4.2"/>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668"/>
        <w:gridCol w:w="1158"/>
        <w:gridCol w:w="1286"/>
        <w:gridCol w:w="759"/>
        <w:gridCol w:w="1041"/>
        <w:gridCol w:w="501"/>
        <w:gridCol w:w="478"/>
        <w:gridCol w:w="595"/>
        <w:gridCol w:w="1017"/>
        <w:gridCol w:w="625"/>
      </w:tblGrid>
      <w:tr w:rsidR="00AE0B1A" w:rsidRPr="00B85230" w:rsidTr="00AE0B1A">
        <w:trPr>
          <w:cnfStyle w:val="100000000000" w:firstRow="1" w:lastRow="0" w:firstColumn="0" w:lastColumn="0" w:oddVBand="0" w:evenVBand="0" w:oddHBand="0" w:evenHBand="0" w:firstRowFirstColumn="0" w:firstRowLastColumn="0" w:lastRowFirstColumn="0" w:lastRowLastColumn="0"/>
          <w:cantSplit w:val="0"/>
          <w:tblHeader/>
        </w:trPr>
        <w:tc>
          <w:tcPr>
            <w:tcW w:w="1669" w:type="dxa"/>
          </w:tcPr>
          <w:p w:rsidR="00AE0B1A" w:rsidRPr="00B85230" w:rsidRDefault="00AE0B1A" w:rsidP="00B85230">
            <w:pPr>
              <w:pStyle w:val="Tabletextleft"/>
            </w:pPr>
            <w:r w:rsidRPr="00B85230">
              <w:t>WELL NAME</w:t>
            </w:r>
          </w:p>
        </w:tc>
        <w:tc>
          <w:tcPr>
            <w:tcW w:w="1158" w:type="dxa"/>
          </w:tcPr>
          <w:p w:rsidR="00AE0B1A" w:rsidRPr="00B85230" w:rsidRDefault="00AE0B1A" w:rsidP="00B85230">
            <w:pPr>
              <w:pStyle w:val="Tabletextleft"/>
            </w:pPr>
            <w:r w:rsidRPr="00B85230">
              <w:t>RESFACS</w:t>
            </w:r>
          </w:p>
        </w:tc>
        <w:tc>
          <w:tcPr>
            <w:tcW w:w="1286" w:type="dxa"/>
          </w:tcPr>
          <w:p w:rsidR="00AE0B1A" w:rsidRPr="00B85230" w:rsidRDefault="00AE0B1A" w:rsidP="00B85230">
            <w:pPr>
              <w:pStyle w:val="Tabletextleft"/>
            </w:pPr>
            <w:r w:rsidRPr="00B85230">
              <w:t>STRATDAT</w:t>
            </w:r>
          </w:p>
        </w:tc>
        <w:tc>
          <w:tcPr>
            <w:tcW w:w="759" w:type="dxa"/>
          </w:tcPr>
          <w:p w:rsidR="00AE0B1A" w:rsidRPr="00B85230" w:rsidRDefault="00AE0B1A" w:rsidP="00B85230">
            <w:pPr>
              <w:pStyle w:val="Tabletextleft"/>
            </w:pPr>
            <w:r w:rsidRPr="00B85230">
              <w:t>CORE</w:t>
            </w:r>
          </w:p>
        </w:tc>
        <w:tc>
          <w:tcPr>
            <w:tcW w:w="1041" w:type="dxa"/>
          </w:tcPr>
          <w:p w:rsidR="00AE0B1A" w:rsidRPr="00B85230" w:rsidRDefault="00AE0B1A" w:rsidP="00B85230">
            <w:pPr>
              <w:pStyle w:val="Tabletextleft"/>
            </w:pPr>
            <w:r w:rsidRPr="00B85230">
              <w:t>PETROG</w:t>
            </w:r>
          </w:p>
        </w:tc>
        <w:tc>
          <w:tcPr>
            <w:tcW w:w="501" w:type="dxa"/>
          </w:tcPr>
          <w:p w:rsidR="00AE0B1A" w:rsidRPr="00B85230" w:rsidRDefault="00AE0B1A" w:rsidP="00B85230">
            <w:pPr>
              <w:pStyle w:val="Tabletextleft"/>
            </w:pPr>
            <w:r w:rsidRPr="00B85230">
              <w:t>MM</w:t>
            </w:r>
          </w:p>
        </w:tc>
        <w:tc>
          <w:tcPr>
            <w:tcW w:w="478" w:type="dxa"/>
          </w:tcPr>
          <w:p w:rsidR="00AE0B1A" w:rsidRPr="00B85230" w:rsidDel="00E26D3D" w:rsidRDefault="00AE0B1A" w:rsidP="00B85230">
            <w:pPr>
              <w:pStyle w:val="Tabletextleft"/>
            </w:pPr>
            <w:r w:rsidRPr="00B85230">
              <w:t>FIS</w:t>
            </w:r>
          </w:p>
        </w:tc>
        <w:tc>
          <w:tcPr>
            <w:tcW w:w="595" w:type="dxa"/>
          </w:tcPr>
          <w:p w:rsidR="00AE0B1A" w:rsidRPr="00B85230" w:rsidRDefault="00AE0B1A" w:rsidP="00B85230">
            <w:pPr>
              <w:pStyle w:val="Tabletextleft"/>
            </w:pPr>
            <w:r w:rsidRPr="00B85230">
              <w:t>HAS</w:t>
            </w:r>
          </w:p>
        </w:tc>
        <w:tc>
          <w:tcPr>
            <w:tcW w:w="1017" w:type="dxa"/>
          </w:tcPr>
          <w:p w:rsidR="00AE0B1A" w:rsidRPr="00B85230" w:rsidRDefault="00AE0B1A" w:rsidP="00B85230">
            <w:pPr>
              <w:pStyle w:val="Tabletextleft"/>
            </w:pPr>
            <w:r w:rsidRPr="00B85230">
              <w:t>PETROP</w:t>
            </w:r>
          </w:p>
        </w:tc>
        <w:tc>
          <w:tcPr>
            <w:tcW w:w="625" w:type="dxa"/>
          </w:tcPr>
          <w:p w:rsidR="00AE0B1A" w:rsidRPr="00B85230" w:rsidRDefault="00AE0B1A" w:rsidP="00B85230">
            <w:pPr>
              <w:pStyle w:val="Tabletextleft"/>
            </w:pPr>
            <w:r w:rsidRPr="00B85230">
              <w:t>SED</w:t>
            </w:r>
          </w:p>
        </w:tc>
      </w:tr>
      <w:tr w:rsidR="00AE0B1A" w:rsidRPr="00B85230" w:rsidTr="00AE0B1A">
        <w:trPr>
          <w:cnfStyle w:val="000000100000" w:firstRow="0" w:lastRow="0" w:firstColumn="0" w:lastColumn="0" w:oddVBand="0" w:evenVBand="0" w:oddHBand="1" w:evenHBand="0" w:firstRowFirstColumn="0" w:firstRowLastColumn="0" w:lastRowFirstColumn="0" w:lastRowLastColumn="0"/>
        </w:trPr>
        <w:tc>
          <w:tcPr>
            <w:tcW w:w="1669" w:type="dxa"/>
          </w:tcPr>
          <w:p w:rsidR="00AE0B1A" w:rsidRPr="00B85230" w:rsidRDefault="00AE0B1A" w:rsidP="00B85230">
            <w:pPr>
              <w:pStyle w:val="Tabletextleft"/>
            </w:pPr>
            <w:r w:rsidRPr="00B85230">
              <w:t xml:space="preserve">Billabong 1 </w:t>
            </w:r>
          </w:p>
        </w:tc>
        <w:tc>
          <w:tcPr>
            <w:tcW w:w="1158" w:type="dxa"/>
          </w:tcPr>
          <w:p w:rsidR="00AE0B1A" w:rsidRPr="00B85230" w:rsidRDefault="00AE0B1A" w:rsidP="00B85230">
            <w:pPr>
              <w:pStyle w:val="Tabletextright"/>
            </w:pPr>
            <w:r w:rsidRPr="00B85230">
              <w:t>26</w:t>
            </w:r>
          </w:p>
        </w:tc>
        <w:tc>
          <w:tcPr>
            <w:tcW w:w="1286" w:type="dxa"/>
          </w:tcPr>
          <w:p w:rsidR="00AE0B1A" w:rsidRPr="00B85230" w:rsidRDefault="00AE0B1A" w:rsidP="00B85230">
            <w:pPr>
              <w:pStyle w:val="Tabletextright"/>
            </w:pPr>
            <w:r w:rsidRPr="00B85230">
              <w:t>32</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010000" w:firstRow="0" w:lastRow="0" w:firstColumn="0" w:lastColumn="0" w:oddVBand="0" w:evenVBand="0" w:oddHBand="0" w:evenHBand="1" w:firstRowFirstColumn="0" w:firstRowLastColumn="0" w:lastRowFirstColumn="0" w:lastRowLastColumn="0"/>
        </w:trPr>
        <w:tc>
          <w:tcPr>
            <w:tcW w:w="1669" w:type="dxa"/>
          </w:tcPr>
          <w:p w:rsidR="00AE0B1A" w:rsidRPr="00B85230" w:rsidRDefault="00AE0B1A" w:rsidP="00B85230">
            <w:pPr>
              <w:pStyle w:val="Tabletextleft"/>
            </w:pPr>
            <w:r w:rsidRPr="00B85230">
              <w:t>Bougainville 1</w:t>
            </w:r>
          </w:p>
        </w:tc>
        <w:tc>
          <w:tcPr>
            <w:tcW w:w="1158" w:type="dxa"/>
          </w:tcPr>
          <w:p w:rsidR="00AE0B1A" w:rsidRPr="00B85230" w:rsidRDefault="00AE0B1A" w:rsidP="00B85230">
            <w:pPr>
              <w:pStyle w:val="Tabletextright"/>
            </w:pPr>
            <w:r w:rsidRPr="00B85230">
              <w:t>74</w:t>
            </w:r>
          </w:p>
        </w:tc>
        <w:tc>
          <w:tcPr>
            <w:tcW w:w="1286" w:type="dxa"/>
          </w:tcPr>
          <w:p w:rsidR="00AE0B1A" w:rsidRPr="00B85230" w:rsidRDefault="00AE0B1A" w:rsidP="00B85230">
            <w:pPr>
              <w:pStyle w:val="Tabletextright"/>
            </w:pPr>
            <w:r w:rsidRPr="00B85230">
              <w:t>37</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r w:rsidRPr="00B85230">
              <w:sym w:font="Wingdings" w:char="F06C"/>
            </w:r>
          </w:p>
        </w:tc>
        <w:tc>
          <w:tcPr>
            <w:tcW w:w="478" w:type="dxa"/>
          </w:tcPr>
          <w:p w:rsidR="00AE0B1A" w:rsidRPr="00B85230" w:rsidRDefault="00AE0B1A" w:rsidP="00B85230">
            <w:pPr>
              <w:pStyle w:val="Tabletextright"/>
            </w:pPr>
            <w:r w:rsidRPr="00B85230">
              <w:sym w:font="Wingdings" w:char="F06C"/>
            </w: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100000" w:firstRow="0" w:lastRow="0" w:firstColumn="0" w:lastColumn="0" w:oddVBand="0" w:evenVBand="0" w:oddHBand="1" w:evenHBand="0" w:firstRowFirstColumn="0" w:firstRowLastColumn="0" w:lastRowFirstColumn="0" w:lastRowLastColumn="0"/>
        </w:trPr>
        <w:tc>
          <w:tcPr>
            <w:tcW w:w="1669" w:type="dxa"/>
          </w:tcPr>
          <w:p w:rsidR="00AE0B1A" w:rsidRPr="00B85230" w:rsidRDefault="00AE0B1A" w:rsidP="00B85230">
            <w:pPr>
              <w:pStyle w:val="Tabletextleft"/>
            </w:pPr>
            <w:r w:rsidRPr="00B85230">
              <w:t>Curlew 1</w:t>
            </w:r>
          </w:p>
        </w:tc>
        <w:tc>
          <w:tcPr>
            <w:tcW w:w="1158" w:type="dxa"/>
          </w:tcPr>
          <w:p w:rsidR="00AE0B1A" w:rsidRPr="00B85230" w:rsidRDefault="00AE0B1A" w:rsidP="00B85230">
            <w:pPr>
              <w:pStyle w:val="Tabletextright"/>
            </w:pPr>
            <w:r w:rsidRPr="00B85230">
              <w:t>74</w:t>
            </w:r>
          </w:p>
        </w:tc>
        <w:tc>
          <w:tcPr>
            <w:tcW w:w="1286" w:type="dxa"/>
          </w:tcPr>
          <w:p w:rsidR="00AE0B1A" w:rsidRPr="00B85230" w:rsidRDefault="00AE0B1A" w:rsidP="00B85230">
            <w:pPr>
              <w:pStyle w:val="Tabletextright"/>
            </w:pPr>
            <w:r w:rsidRPr="00B85230">
              <w:t>28</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010000" w:firstRow="0" w:lastRow="0" w:firstColumn="0" w:lastColumn="0" w:oddVBand="0" w:evenVBand="0" w:oddHBand="0" w:evenHBand="1" w:firstRowFirstColumn="0" w:firstRowLastColumn="0" w:lastRowFirstColumn="0" w:lastRowLastColumn="0"/>
        </w:trPr>
        <w:tc>
          <w:tcPr>
            <w:tcW w:w="1669" w:type="dxa"/>
          </w:tcPr>
          <w:p w:rsidR="00AE0B1A" w:rsidRPr="00B85230" w:rsidRDefault="00AE0B1A" w:rsidP="00B85230">
            <w:pPr>
              <w:pStyle w:val="Tabletextleft"/>
            </w:pPr>
            <w:proofErr w:type="spellStart"/>
            <w:r w:rsidRPr="00B85230">
              <w:t>Fishburn</w:t>
            </w:r>
            <w:proofErr w:type="spellEnd"/>
            <w:r w:rsidRPr="00B85230">
              <w:t xml:space="preserve"> 1</w:t>
            </w:r>
          </w:p>
        </w:tc>
        <w:tc>
          <w:tcPr>
            <w:tcW w:w="1158" w:type="dxa"/>
          </w:tcPr>
          <w:p w:rsidR="00AE0B1A" w:rsidRPr="00B85230" w:rsidRDefault="00AE0B1A" w:rsidP="00B85230">
            <w:pPr>
              <w:pStyle w:val="Tabletextright"/>
            </w:pPr>
            <w:r w:rsidRPr="00B85230">
              <w:t>151</w:t>
            </w:r>
          </w:p>
        </w:tc>
        <w:tc>
          <w:tcPr>
            <w:tcW w:w="1286" w:type="dxa"/>
          </w:tcPr>
          <w:p w:rsidR="00AE0B1A" w:rsidRPr="00B85230" w:rsidRDefault="00AE0B1A" w:rsidP="00B85230">
            <w:pPr>
              <w:pStyle w:val="Tabletextright"/>
            </w:pPr>
            <w:r w:rsidRPr="00B85230">
              <w:t>88</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100000" w:firstRow="0" w:lastRow="0" w:firstColumn="0" w:lastColumn="0" w:oddVBand="0" w:evenVBand="0" w:oddHBand="1" w:evenHBand="0" w:firstRowFirstColumn="0" w:firstRowLastColumn="0" w:lastRowFirstColumn="0" w:lastRowLastColumn="0"/>
        </w:trPr>
        <w:tc>
          <w:tcPr>
            <w:tcW w:w="1669" w:type="dxa"/>
          </w:tcPr>
          <w:p w:rsidR="00AE0B1A" w:rsidRPr="00B85230" w:rsidRDefault="00AE0B1A" w:rsidP="00B85230">
            <w:pPr>
              <w:pStyle w:val="Tabletextleft"/>
            </w:pPr>
            <w:r w:rsidRPr="00B85230">
              <w:t>Flat Top 1</w:t>
            </w:r>
          </w:p>
        </w:tc>
        <w:tc>
          <w:tcPr>
            <w:tcW w:w="1158" w:type="dxa"/>
          </w:tcPr>
          <w:p w:rsidR="00AE0B1A" w:rsidRPr="00B85230" w:rsidRDefault="00AE0B1A" w:rsidP="00B85230">
            <w:pPr>
              <w:pStyle w:val="Tabletextright"/>
            </w:pPr>
            <w:r w:rsidRPr="00B85230">
              <w:t>55</w:t>
            </w:r>
          </w:p>
        </w:tc>
        <w:tc>
          <w:tcPr>
            <w:tcW w:w="1286" w:type="dxa"/>
          </w:tcPr>
          <w:p w:rsidR="00AE0B1A" w:rsidRPr="00B85230" w:rsidRDefault="00AE0B1A" w:rsidP="00B85230">
            <w:pPr>
              <w:pStyle w:val="Tabletextright"/>
            </w:pPr>
            <w:r w:rsidRPr="00B85230">
              <w:t>84</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r w:rsidRPr="00B85230">
              <w:sym w:font="Wingdings" w:char="F06C"/>
            </w:r>
          </w:p>
        </w:tc>
        <w:tc>
          <w:tcPr>
            <w:tcW w:w="478" w:type="dxa"/>
          </w:tcPr>
          <w:p w:rsidR="00AE0B1A" w:rsidRPr="00B85230" w:rsidRDefault="00AE0B1A" w:rsidP="00B85230">
            <w:pPr>
              <w:pStyle w:val="Tabletextright"/>
            </w:pPr>
            <w:r w:rsidRPr="00B85230">
              <w:sym w:font="Wingdings" w:char="F06C"/>
            </w: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010000" w:firstRow="0" w:lastRow="0" w:firstColumn="0" w:lastColumn="0" w:oddVBand="0" w:evenVBand="0" w:oddHBand="0" w:evenHBand="1" w:firstRowFirstColumn="0" w:firstRowLastColumn="0" w:lastRowFirstColumn="0" w:lastRowLastColumn="0"/>
        </w:trPr>
        <w:tc>
          <w:tcPr>
            <w:tcW w:w="1669" w:type="dxa"/>
          </w:tcPr>
          <w:p w:rsidR="00AE0B1A" w:rsidRPr="00B85230" w:rsidRDefault="00AE0B1A" w:rsidP="00B85230">
            <w:pPr>
              <w:pStyle w:val="Tabletextleft"/>
            </w:pPr>
            <w:r w:rsidRPr="00B85230">
              <w:t>Frigate 1</w:t>
            </w:r>
          </w:p>
        </w:tc>
        <w:tc>
          <w:tcPr>
            <w:tcW w:w="1158" w:type="dxa"/>
          </w:tcPr>
          <w:p w:rsidR="00AE0B1A" w:rsidRPr="00B85230" w:rsidRDefault="00AE0B1A" w:rsidP="00B85230">
            <w:pPr>
              <w:pStyle w:val="Tabletextright"/>
            </w:pPr>
            <w:r w:rsidRPr="00B85230">
              <w:t>77</w:t>
            </w:r>
          </w:p>
        </w:tc>
        <w:tc>
          <w:tcPr>
            <w:tcW w:w="1286" w:type="dxa"/>
          </w:tcPr>
          <w:p w:rsidR="00AE0B1A" w:rsidRPr="00B85230" w:rsidRDefault="00AE0B1A" w:rsidP="00B85230">
            <w:pPr>
              <w:pStyle w:val="Tabletextright"/>
            </w:pPr>
            <w:r w:rsidRPr="00B85230">
              <w:t>25</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100000" w:firstRow="0" w:lastRow="0" w:firstColumn="0" w:lastColumn="0" w:oddVBand="0" w:evenVBand="0" w:oddHBand="1" w:evenHBand="0" w:firstRowFirstColumn="0" w:firstRowLastColumn="0" w:lastRowFirstColumn="0" w:lastRowLastColumn="0"/>
        </w:trPr>
        <w:tc>
          <w:tcPr>
            <w:tcW w:w="1669" w:type="dxa"/>
          </w:tcPr>
          <w:p w:rsidR="00AE0B1A" w:rsidRPr="00B85230" w:rsidRDefault="00AE0B1A" w:rsidP="00B85230">
            <w:pPr>
              <w:pStyle w:val="Tabletextleft"/>
            </w:pPr>
            <w:r w:rsidRPr="00B85230">
              <w:t>Gull 1</w:t>
            </w:r>
          </w:p>
        </w:tc>
        <w:tc>
          <w:tcPr>
            <w:tcW w:w="1158" w:type="dxa"/>
          </w:tcPr>
          <w:p w:rsidR="00AE0B1A" w:rsidRPr="00B85230" w:rsidRDefault="00AE0B1A" w:rsidP="00B85230">
            <w:pPr>
              <w:pStyle w:val="Tabletextright"/>
            </w:pPr>
            <w:r w:rsidRPr="00B85230">
              <w:t>120</w:t>
            </w:r>
          </w:p>
        </w:tc>
        <w:tc>
          <w:tcPr>
            <w:tcW w:w="1286" w:type="dxa"/>
          </w:tcPr>
          <w:p w:rsidR="00AE0B1A" w:rsidRPr="00B85230" w:rsidRDefault="00AE0B1A" w:rsidP="00B85230">
            <w:pPr>
              <w:pStyle w:val="Tabletextright"/>
            </w:pPr>
            <w:r w:rsidRPr="00B85230">
              <w:t>74</w:t>
            </w:r>
          </w:p>
        </w:tc>
        <w:tc>
          <w:tcPr>
            <w:tcW w:w="759" w:type="dxa"/>
          </w:tcPr>
          <w:p w:rsidR="00AE0B1A" w:rsidRPr="00B85230" w:rsidRDefault="00AE0B1A" w:rsidP="00B85230">
            <w:pPr>
              <w:pStyle w:val="Tabletextright"/>
            </w:pPr>
            <w:r w:rsidRPr="00B85230">
              <w:sym w:font="Wingdings" w:char="F06C"/>
            </w:r>
          </w:p>
        </w:tc>
        <w:tc>
          <w:tcPr>
            <w:tcW w:w="1041" w:type="dxa"/>
          </w:tcPr>
          <w:p w:rsidR="00AE0B1A" w:rsidRPr="00B85230" w:rsidRDefault="00AE0B1A" w:rsidP="00B85230">
            <w:pPr>
              <w:pStyle w:val="Tabletextright"/>
            </w:pPr>
            <w:r w:rsidRPr="00B85230">
              <w:sym w:font="Wingdings" w:char="F06C"/>
            </w:r>
          </w:p>
        </w:tc>
        <w:tc>
          <w:tcPr>
            <w:tcW w:w="501" w:type="dxa"/>
          </w:tcPr>
          <w:p w:rsidR="00AE0B1A" w:rsidRPr="00B85230" w:rsidRDefault="00AE0B1A" w:rsidP="00B85230">
            <w:pPr>
              <w:pStyle w:val="Tabletextright"/>
            </w:pPr>
            <w:r w:rsidRPr="00B85230">
              <w:sym w:font="Wingdings" w:char="F06C"/>
            </w: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r w:rsidRPr="00B85230">
              <w:sym w:font="Wingdings" w:char="F06C"/>
            </w: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010000" w:firstRow="0" w:lastRow="0" w:firstColumn="0" w:lastColumn="0" w:oddVBand="0" w:evenVBand="0" w:oddHBand="0" w:evenHBand="1" w:firstRowFirstColumn="0" w:firstRowLastColumn="0" w:lastRowFirstColumn="0" w:lastRowLastColumn="0"/>
        </w:trPr>
        <w:tc>
          <w:tcPr>
            <w:tcW w:w="1669" w:type="dxa"/>
          </w:tcPr>
          <w:p w:rsidR="00AE0B1A" w:rsidRPr="00B85230" w:rsidRDefault="00AE0B1A" w:rsidP="00B85230">
            <w:pPr>
              <w:pStyle w:val="Tabletextleft"/>
            </w:pPr>
            <w:r w:rsidRPr="00B85230">
              <w:t>Helvetius 1 ST2</w:t>
            </w:r>
          </w:p>
        </w:tc>
        <w:tc>
          <w:tcPr>
            <w:tcW w:w="1158" w:type="dxa"/>
          </w:tcPr>
          <w:p w:rsidR="00AE0B1A" w:rsidRPr="00B85230" w:rsidRDefault="00AE0B1A" w:rsidP="00B85230">
            <w:pPr>
              <w:pStyle w:val="Tabletextright"/>
            </w:pPr>
            <w:r w:rsidRPr="00B85230">
              <w:t>5</w:t>
            </w:r>
          </w:p>
        </w:tc>
        <w:tc>
          <w:tcPr>
            <w:tcW w:w="1286" w:type="dxa"/>
          </w:tcPr>
          <w:p w:rsidR="00AE0B1A" w:rsidRPr="00B85230" w:rsidRDefault="00AE0B1A" w:rsidP="00B85230">
            <w:pPr>
              <w:pStyle w:val="Tabletextright"/>
            </w:pP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100000" w:firstRow="0" w:lastRow="0" w:firstColumn="0" w:lastColumn="0" w:oddVBand="0" w:evenVBand="0" w:oddHBand="1" w:evenHBand="0" w:firstRowFirstColumn="0" w:firstRowLastColumn="0" w:lastRowFirstColumn="0" w:lastRowLastColumn="0"/>
        </w:trPr>
        <w:tc>
          <w:tcPr>
            <w:tcW w:w="1669" w:type="dxa"/>
          </w:tcPr>
          <w:p w:rsidR="00AE0B1A" w:rsidRPr="00B85230" w:rsidRDefault="00AE0B1A" w:rsidP="00B85230">
            <w:pPr>
              <w:pStyle w:val="Tabletextleft"/>
            </w:pPr>
            <w:r w:rsidRPr="00B85230">
              <w:t>Jacaranda 1</w:t>
            </w:r>
          </w:p>
        </w:tc>
        <w:tc>
          <w:tcPr>
            <w:tcW w:w="1158" w:type="dxa"/>
          </w:tcPr>
          <w:p w:rsidR="00AE0B1A" w:rsidRPr="00B85230" w:rsidRDefault="00AE0B1A" w:rsidP="00B85230">
            <w:pPr>
              <w:pStyle w:val="Tabletextright"/>
            </w:pPr>
            <w:r w:rsidRPr="00B85230">
              <w:t>88</w:t>
            </w:r>
          </w:p>
        </w:tc>
        <w:tc>
          <w:tcPr>
            <w:tcW w:w="1286" w:type="dxa"/>
          </w:tcPr>
          <w:p w:rsidR="00AE0B1A" w:rsidRPr="00B85230" w:rsidRDefault="00AE0B1A" w:rsidP="00B85230">
            <w:pPr>
              <w:pStyle w:val="Tabletextright"/>
            </w:pPr>
            <w:r w:rsidRPr="00B85230">
              <w:t>67</w:t>
            </w:r>
          </w:p>
        </w:tc>
        <w:tc>
          <w:tcPr>
            <w:tcW w:w="759" w:type="dxa"/>
          </w:tcPr>
          <w:p w:rsidR="00AE0B1A" w:rsidRPr="00B85230" w:rsidRDefault="00AE0B1A" w:rsidP="00B85230">
            <w:pPr>
              <w:pStyle w:val="Tabletextright"/>
            </w:pPr>
            <w:r w:rsidRPr="00B85230">
              <w:sym w:font="Wingdings" w:char="F06C"/>
            </w:r>
          </w:p>
        </w:tc>
        <w:tc>
          <w:tcPr>
            <w:tcW w:w="1041" w:type="dxa"/>
          </w:tcPr>
          <w:p w:rsidR="00AE0B1A" w:rsidRPr="00B85230" w:rsidRDefault="00AE0B1A" w:rsidP="00B85230">
            <w:pPr>
              <w:pStyle w:val="Tabletextright"/>
            </w:pPr>
            <w:r w:rsidRPr="00B85230">
              <w:sym w:font="Wingdings" w:char="F06C"/>
            </w: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010000" w:firstRow="0" w:lastRow="0" w:firstColumn="0" w:lastColumn="0" w:oddVBand="0" w:evenVBand="0" w:oddHBand="0" w:evenHBand="1" w:firstRowFirstColumn="0" w:firstRowLastColumn="0" w:lastRowFirstColumn="0" w:lastRowLastColumn="0"/>
        </w:trPr>
        <w:tc>
          <w:tcPr>
            <w:tcW w:w="1669" w:type="dxa"/>
          </w:tcPr>
          <w:p w:rsidR="00AE0B1A" w:rsidRPr="00B85230" w:rsidRDefault="00AE0B1A" w:rsidP="00B85230">
            <w:pPr>
              <w:pStyle w:val="Tabletextleft"/>
            </w:pPr>
            <w:r w:rsidRPr="00B85230">
              <w:t>Newby 1</w:t>
            </w:r>
          </w:p>
        </w:tc>
        <w:tc>
          <w:tcPr>
            <w:tcW w:w="1158" w:type="dxa"/>
          </w:tcPr>
          <w:p w:rsidR="00AE0B1A" w:rsidRPr="00B85230" w:rsidRDefault="00AE0B1A" w:rsidP="00B85230">
            <w:pPr>
              <w:pStyle w:val="Tabletextright"/>
            </w:pPr>
            <w:r w:rsidRPr="00B85230">
              <w:t>9</w:t>
            </w:r>
          </w:p>
        </w:tc>
        <w:tc>
          <w:tcPr>
            <w:tcW w:w="1286" w:type="dxa"/>
          </w:tcPr>
          <w:p w:rsidR="00AE0B1A" w:rsidRPr="00B85230" w:rsidRDefault="00AE0B1A" w:rsidP="00B85230">
            <w:pPr>
              <w:pStyle w:val="Tabletextright"/>
            </w:pPr>
            <w:r w:rsidRPr="00B85230">
              <w:t>12</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r w:rsidRPr="00B85230">
              <w:sym w:font="Wingdings" w:char="F06C"/>
            </w: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100000" w:firstRow="0" w:lastRow="0" w:firstColumn="0" w:lastColumn="0" w:oddVBand="0" w:evenVBand="0" w:oddHBand="1" w:evenHBand="0" w:firstRowFirstColumn="0" w:firstRowLastColumn="0" w:lastRowFirstColumn="0" w:lastRowLastColumn="0"/>
        </w:trPr>
        <w:tc>
          <w:tcPr>
            <w:tcW w:w="1669" w:type="dxa"/>
          </w:tcPr>
          <w:p w:rsidR="00AE0B1A" w:rsidRPr="00B85230" w:rsidRDefault="00AE0B1A" w:rsidP="00B85230">
            <w:pPr>
              <w:pStyle w:val="Tabletextleft"/>
            </w:pPr>
            <w:r w:rsidRPr="00B85230">
              <w:t>Penguin 1</w:t>
            </w:r>
          </w:p>
        </w:tc>
        <w:tc>
          <w:tcPr>
            <w:tcW w:w="1158" w:type="dxa"/>
          </w:tcPr>
          <w:p w:rsidR="00AE0B1A" w:rsidRPr="00B85230" w:rsidRDefault="00AE0B1A" w:rsidP="00B85230">
            <w:pPr>
              <w:pStyle w:val="Tabletextright"/>
            </w:pPr>
            <w:r w:rsidRPr="00B85230">
              <w:t>94</w:t>
            </w:r>
          </w:p>
        </w:tc>
        <w:tc>
          <w:tcPr>
            <w:tcW w:w="1286" w:type="dxa"/>
          </w:tcPr>
          <w:p w:rsidR="00AE0B1A" w:rsidRPr="00B85230" w:rsidRDefault="00AE0B1A" w:rsidP="00B85230">
            <w:pPr>
              <w:pStyle w:val="Tabletextright"/>
            </w:pPr>
            <w:r w:rsidRPr="00B85230">
              <w:t>84</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r w:rsidRPr="00B85230">
              <w:sym w:font="Wingdings" w:char="F06C"/>
            </w: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010000" w:firstRow="0" w:lastRow="0" w:firstColumn="0" w:lastColumn="0" w:oddVBand="0" w:evenVBand="0" w:oddHBand="0" w:evenHBand="1" w:firstRowFirstColumn="0" w:firstRowLastColumn="0" w:lastRowFirstColumn="0" w:lastRowLastColumn="0"/>
        </w:trPr>
        <w:tc>
          <w:tcPr>
            <w:tcW w:w="1669" w:type="dxa"/>
          </w:tcPr>
          <w:p w:rsidR="00AE0B1A" w:rsidRPr="00B85230" w:rsidRDefault="00AE0B1A" w:rsidP="00B85230">
            <w:pPr>
              <w:pStyle w:val="Tabletextleft"/>
            </w:pPr>
            <w:r w:rsidRPr="00B85230">
              <w:t>Petrel 1</w:t>
            </w:r>
          </w:p>
        </w:tc>
        <w:tc>
          <w:tcPr>
            <w:tcW w:w="1158" w:type="dxa"/>
          </w:tcPr>
          <w:p w:rsidR="00AE0B1A" w:rsidRPr="00B85230" w:rsidRDefault="00AE0B1A" w:rsidP="00B85230">
            <w:pPr>
              <w:pStyle w:val="Tabletextright"/>
            </w:pPr>
            <w:r w:rsidRPr="00B85230">
              <w:t>120</w:t>
            </w:r>
          </w:p>
        </w:tc>
        <w:tc>
          <w:tcPr>
            <w:tcW w:w="1286" w:type="dxa"/>
          </w:tcPr>
          <w:p w:rsidR="00AE0B1A" w:rsidRPr="00B85230" w:rsidRDefault="00AE0B1A" w:rsidP="00B85230">
            <w:pPr>
              <w:pStyle w:val="Tabletextright"/>
            </w:pPr>
            <w:r w:rsidRPr="00B85230">
              <w:t>46</w:t>
            </w:r>
          </w:p>
        </w:tc>
        <w:tc>
          <w:tcPr>
            <w:tcW w:w="759" w:type="dxa"/>
          </w:tcPr>
          <w:p w:rsidR="00AE0B1A" w:rsidRPr="00B85230" w:rsidRDefault="00AE0B1A" w:rsidP="00B85230">
            <w:pPr>
              <w:pStyle w:val="Tabletextright"/>
            </w:pPr>
            <w:r w:rsidRPr="00B85230">
              <w:sym w:font="Wingdings" w:char="F06C"/>
            </w:r>
          </w:p>
        </w:tc>
        <w:tc>
          <w:tcPr>
            <w:tcW w:w="1041" w:type="dxa"/>
          </w:tcPr>
          <w:p w:rsidR="00AE0B1A" w:rsidRPr="00B85230" w:rsidRDefault="00AE0B1A" w:rsidP="00B85230">
            <w:pPr>
              <w:pStyle w:val="Tabletextright"/>
            </w:pPr>
            <w:r w:rsidRPr="00B85230">
              <w:sym w:font="Wingdings" w:char="F06C"/>
            </w:r>
          </w:p>
        </w:tc>
        <w:tc>
          <w:tcPr>
            <w:tcW w:w="501" w:type="dxa"/>
          </w:tcPr>
          <w:p w:rsidR="00AE0B1A" w:rsidRPr="00B85230" w:rsidRDefault="00AE0B1A" w:rsidP="00B85230">
            <w:pPr>
              <w:pStyle w:val="Tabletextright"/>
            </w:pPr>
            <w:r w:rsidRPr="00B85230">
              <w:sym w:font="Wingdings" w:char="F06C"/>
            </w: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r w:rsidRPr="00B85230">
              <w:sym w:font="Wingdings" w:char="F06C"/>
            </w: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100000" w:firstRow="0" w:lastRow="0" w:firstColumn="0" w:lastColumn="0" w:oddVBand="0" w:evenVBand="0" w:oddHBand="1" w:evenHBand="0" w:firstRowFirstColumn="0" w:firstRowLastColumn="0" w:lastRowFirstColumn="0" w:lastRowLastColumn="0"/>
        </w:trPr>
        <w:tc>
          <w:tcPr>
            <w:tcW w:w="1669" w:type="dxa"/>
          </w:tcPr>
          <w:p w:rsidR="00AE0B1A" w:rsidRPr="00B85230" w:rsidRDefault="00AE0B1A" w:rsidP="00B85230">
            <w:pPr>
              <w:pStyle w:val="Tabletextleft"/>
            </w:pPr>
            <w:r w:rsidRPr="00B85230">
              <w:t>Petrel 1A</w:t>
            </w:r>
          </w:p>
        </w:tc>
        <w:tc>
          <w:tcPr>
            <w:tcW w:w="1158" w:type="dxa"/>
          </w:tcPr>
          <w:p w:rsidR="00AE0B1A" w:rsidRPr="00B85230" w:rsidRDefault="00AE0B1A" w:rsidP="00B85230">
            <w:pPr>
              <w:pStyle w:val="Tabletextright"/>
            </w:pPr>
            <w:r w:rsidRPr="00B85230">
              <w:t>20</w:t>
            </w:r>
          </w:p>
        </w:tc>
        <w:tc>
          <w:tcPr>
            <w:tcW w:w="1286" w:type="dxa"/>
          </w:tcPr>
          <w:p w:rsidR="00AE0B1A" w:rsidRPr="00B85230" w:rsidRDefault="00AE0B1A" w:rsidP="00B85230">
            <w:pPr>
              <w:pStyle w:val="Tabletextright"/>
            </w:pPr>
            <w:r w:rsidRPr="00B85230">
              <w:t>50</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010000" w:firstRow="0" w:lastRow="0" w:firstColumn="0" w:lastColumn="0" w:oddVBand="0" w:evenVBand="0" w:oddHBand="0" w:evenHBand="1" w:firstRowFirstColumn="0" w:firstRowLastColumn="0" w:lastRowFirstColumn="0" w:lastRowLastColumn="0"/>
        </w:trPr>
        <w:tc>
          <w:tcPr>
            <w:tcW w:w="1669" w:type="dxa"/>
          </w:tcPr>
          <w:p w:rsidR="00AE0B1A" w:rsidRPr="00B85230" w:rsidRDefault="00AE0B1A" w:rsidP="00B85230">
            <w:pPr>
              <w:pStyle w:val="Tabletextleft"/>
            </w:pPr>
            <w:r w:rsidRPr="00B85230">
              <w:t>Petrel 2</w:t>
            </w:r>
          </w:p>
        </w:tc>
        <w:tc>
          <w:tcPr>
            <w:tcW w:w="1158" w:type="dxa"/>
          </w:tcPr>
          <w:p w:rsidR="00AE0B1A" w:rsidRPr="00B85230" w:rsidRDefault="00AE0B1A" w:rsidP="00B85230">
            <w:pPr>
              <w:pStyle w:val="Tabletextright"/>
            </w:pPr>
            <w:r w:rsidRPr="00B85230">
              <w:t>149</w:t>
            </w:r>
          </w:p>
        </w:tc>
        <w:tc>
          <w:tcPr>
            <w:tcW w:w="1286" w:type="dxa"/>
          </w:tcPr>
          <w:p w:rsidR="00AE0B1A" w:rsidRPr="00B85230" w:rsidRDefault="00AE0B1A" w:rsidP="00B85230">
            <w:pPr>
              <w:pStyle w:val="Tabletextright"/>
            </w:pPr>
            <w:r w:rsidRPr="00B85230">
              <w:t>53</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100000" w:firstRow="0" w:lastRow="0" w:firstColumn="0" w:lastColumn="0" w:oddVBand="0" w:evenVBand="0" w:oddHBand="1" w:evenHBand="0" w:firstRowFirstColumn="0" w:firstRowLastColumn="0" w:lastRowFirstColumn="0" w:lastRowLastColumn="0"/>
        </w:trPr>
        <w:tc>
          <w:tcPr>
            <w:tcW w:w="1669" w:type="dxa"/>
          </w:tcPr>
          <w:p w:rsidR="00AE0B1A" w:rsidRPr="00B85230" w:rsidRDefault="00AE0B1A" w:rsidP="00B85230">
            <w:pPr>
              <w:pStyle w:val="Tabletextleft"/>
            </w:pPr>
            <w:r w:rsidRPr="00B85230">
              <w:t>Petrel 3</w:t>
            </w:r>
          </w:p>
        </w:tc>
        <w:tc>
          <w:tcPr>
            <w:tcW w:w="1158" w:type="dxa"/>
          </w:tcPr>
          <w:p w:rsidR="00AE0B1A" w:rsidRPr="00B85230" w:rsidRDefault="00AE0B1A" w:rsidP="00B85230">
            <w:pPr>
              <w:pStyle w:val="Tabletextright"/>
            </w:pPr>
            <w:r w:rsidRPr="00B85230">
              <w:t>460</w:t>
            </w:r>
          </w:p>
        </w:tc>
        <w:tc>
          <w:tcPr>
            <w:tcW w:w="1286" w:type="dxa"/>
          </w:tcPr>
          <w:p w:rsidR="00AE0B1A" w:rsidRPr="00B85230" w:rsidRDefault="00AE0B1A" w:rsidP="00B85230">
            <w:pPr>
              <w:pStyle w:val="Tabletextright"/>
            </w:pPr>
            <w:r w:rsidRPr="00B85230">
              <w:t>7</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010000" w:firstRow="0" w:lastRow="0" w:firstColumn="0" w:lastColumn="0" w:oddVBand="0" w:evenVBand="0" w:oddHBand="0" w:evenHBand="1" w:firstRowFirstColumn="0" w:firstRowLastColumn="0" w:lastRowFirstColumn="0" w:lastRowLastColumn="0"/>
        </w:trPr>
        <w:tc>
          <w:tcPr>
            <w:tcW w:w="1669" w:type="dxa"/>
          </w:tcPr>
          <w:p w:rsidR="00AE0B1A" w:rsidRPr="00B85230" w:rsidRDefault="00AE0B1A" w:rsidP="00B85230">
            <w:pPr>
              <w:pStyle w:val="Tabletextleft"/>
            </w:pPr>
            <w:r w:rsidRPr="00B85230">
              <w:t>Petrel 4</w:t>
            </w:r>
          </w:p>
        </w:tc>
        <w:tc>
          <w:tcPr>
            <w:tcW w:w="1158" w:type="dxa"/>
          </w:tcPr>
          <w:p w:rsidR="00AE0B1A" w:rsidRPr="00B85230" w:rsidRDefault="00AE0B1A" w:rsidP="00B85230">
            <w:pPr>
              <w:pStyle w:val="Tabletextright"/>
            </w:pPr>
            <w:r w:rsidRPr="00B85230">
              <w:t>535</w:t>
            </w:r>
          </w:p>
        </w:tc>
        <w:tc>
          <w:tcPr>
            <w:tcW w:w="1286" w:type="dxa"/>
          </w:tcPr>
          <w:p w:rsidR="00AE0B1A" w:rsidRPr="00B85230" w:rsidRDefault="00AE0B1A" w:rsidP="00B85230">
            <w:pPr>
              <w:pStyle w:val="Tabletextright"/>
            </w:pPr>
            <w:r w:rsidRPr="00B85230">
              <w:t>16</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100000" w:firstRow="0" w:lastRow="0" w:firstColumn="0" w:lastColumn="0" w:oddVBand="0" w:evenVBand="0" w:oddHBand="1" w:evenHBand="0" w:firstRowFirstColumn="0" w:firstRowLastColumn="0" w:lastRowFirstColumn="0" w:lastRowLastColumn="0"/>
        </w:trPr>
        <w:tc>
          <w:tcPr>
            <w:tcW w:w="1669" w:type="dxa"/>
          </w:tcPr>
          <w:p w:rsidR="00AE0B1A" w:rsidRPr="00B85230" w:rsidRDefault="00AE0B1A" w:rsidP="00B85230">
            <w:pPr>
              <w:pStyle w:val="Tabletextleft"/>
            </w:pPr>
            <w:r w:rsidRPr="00B85230">
              <w:t>Petrel 5</w:t>
            </w:r>
          </w:p>
        </w:tc>
        <w:tc>
          <w:tcPr>
            <w:tcW w:w="1158" w:type="dxa"/>
          </w:tcPr>
          <w:p w:rsidR="00AE0B1A" w:rsidRPr="00B85230" w:rsidRDefault="00AE0B1A" w:rsidP="00B85230">
            <w:pPr>
              <w:pStyle w:val="Tabletextright"/>
            </w:pPr>
            <w:r w:rsidRPr="00B85230">
              <w:t>492</w:t>
            </w:r>
          </w:p>
        </w:tc>
        <w:tc>
          <w:tcPr>
            <w:tcW w:w="1286" w:type="dxa"/>
          </w:tcPr>
          <w:p w:rsidR="00AE0B1A" w:rsidRPr="00B85230" w:rsidRDefault="00AE0B1A" w:rsidP="00B85230">
            <w:pPr>
              <w:pStyle w:val="Tabletextright"/>
            </w:pPr>
            <w:r w:rsidRPr="00B85230">
              <w:t>3</w:t>
            </w:r>
          </w:p>
        </w:tc>
        <w:tc>
          <w:tcPr>
            <w:tcW w:w="759" w:type="dxa"/>
          </w:tcPr>
          <w:p w:rsidR="00AE0B1A" w:rsidRPr="00B85230" w:rsidRDefault="00AE0B1A" w:rsidP="00B85230">
            <w:pPr>
              <w:pStyle w:val="Tabletextright"/>
            </w:pPr>
          </w:p>
        </w:tc>
        <w:tc>
          <w:tcPr>
            <w:tcW w:w="1041" w:type="dxa"/>
          </w:tcPr>
          <w:p w:rsidR="00AE0B1A" w:rsidRPr="00B85230" w:rsidRDefault="00AE0B1A" w:rsidP="00B85230">
            <w:pPr>
              <w:pStyle w:val="Tabletextright"/>
            </w:pP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r w:rsidR="00AE0B1A" w:rsidRPr="00B85230" w:rsidTr="00AE0B1A">
        <w:trPr>
          <w:cnfStyle w:val="000000010000" w:firstRow="0" w:lastRow="0" w:firstColumn="0" w:lastColumn="0" w:oddVBand="0" w:evenVBand="0" w:oddHBand="0" w:evenHBand="1" w:firstRowFirstColumn="0" w:firstRowLastColumn="0" w:lastRowFirstColumn="0" w:lastRowLastColumn="0"/>
        </w:trPr>
        <w:tc>
          <w:tcPr>
            <w:tcW w:w="1669" w:type="dxa"/>
          </w:tcPr>
          <w:p w:rsidR="00AE0B1A" w:rsidRPr="00B85230" w:rsidRDefault="00AE0B1A" w:rsidP="00B85230">
            <w:pPr>
              <w:pStyle w:val="Tabletextleft"/>
            </w:pPr>
            <w:r w:rsidRPr="00B85230">
              <w:t>Tern 1</w:t>
            </w:r>
          </w:p>
        </w:tc>
        <w:tc>
          <w:tcPr>
            <w:tcW w:w="1158" w:type="dxa"/>
          </w:tcPr>
          <w:p w:rsidR="00AE0B1A" w:rsidRPr="00B85230" w:rsidRDefault="00AE0B1A" w:rsidP="00B85230">
            <w:pPr>
              <w:pStyle w:val="Tabletextright"/>
            </w:pPr>
            <w:r w:rsidRPr="00B85230">
              <w:t>131</w:t>
            </w:r>
          </w:p>
        </w:tc>
        <w:tc>
          <w:tcPr>
            <w:tcW w:w="1286" w:type="dxa"/>
          </w:tcPr>
          <w:p w:rsidR="00AE0B1A" w:rsidRPr="00B85230" w:rsidRDefault="00AE0B1A" w:rsidP="00B85230">
            <w:pPr>
              <w:pStyle w:val="Tabletextright"/>
            </w:pPr>
            <w:r w:rsidRPr="00B85230">
              <w:t>93</w:t>
            </w:r>
          </w:p>
        </w:tc>
        <w:tc>
          <w:tcPr>
            <w:tcW w:w="759" w:type="dxa"/>
          </w:tcPr>
          <w:p w:rsidR="00AE0B1A" w:rsidRPr="00B85230" w:rsidRDefault="00AE0B1A" w:rsidP="00B85230">
            <w:pPr>
              <w:pStyle w:val="Tabletextright"/>
            </w:pPr>
            <w:r w:rsidRPr="00B85230">
              <w:sym w:font="Wingdings" w:char="F06C"/>
            </w:r>
          </w:p>
        </w:tc>
        <w:tc>
          <w:tcPr>
            <w:tcW w:w="1041" w:type="dxa"/>
          </w:tcPr>
          <w:p w:rsidR="00AE0B1A" w:rsidRPr="00B85230" w:rsidRDefault="00AE0B1A" w:rsidP="00B85230">
            <w:pPr>
              <w:pStyle w:val="Tabletextright"/>
            </w:pPr>
            <w:r w:rsidRPr="00B85230">
              <w:sym w:font="Wingdings" w:char="F06C"/>
            </w:r>
          </w:p>
        </w:tc>
        <w:tc>
          <w:tcPr>
            <w:tcW w:w="501" w:type="dxa"/>
          </w:tcPr>
          <w:p w:rsidR="00AE0B1A" w:rsidRPr="00B85230" w:rsidRDefault="00AE0B1A" w:rsidP="00B85230">
            <w:pPr>
              <w:pStyle w:val="Tabletextright"/>
            </w:pPr>
          </w:p>
        </w:tc>
        <w:tc>
          <w:tcPr>
            <w:tcW w:w="478" w:type="dxa"/>
          </w:tcPr>
          <w:p w:rsidR="00AE0B1A" w:rsidRPr="00B85230" w:rsidRDefault="00AE0B1A" w:rsidP="00B85230">
            <w:pPr>
              <w:pStyle w:val="Tabletextright"/>
            </w:pPr>
          </w:p>
        </w:tc>
        <w:tc>
          <w:tcPr>
            <w:tcW w:w="595" w:type="dxa"/>
          </w:tcPr>
          <w:p w:rsidR="00AE0B1A" w:rsidRPr="00B85230" w:rsidRDefault="00AE0B1A" w:rsidP="00B85230">
            <w:pPr>
              <w:pStyle w:val="Tabletextright"/>
            </w:pPr>
          </w:p>
        </w:tc>
        <w:tc>
          <w:tcPr>
            <w:tcW w:w="1017" w:type="dxa"/>
          </w:tcPr>
          <w:p w:rsidR="00AE0B1A" w:rsidRPr="00B85230" w:rsidRDefault="00AE0B1A" w:rsidP="00B85230">
            <w:pPr>
              <w:pStyle w:val="Tabletextright"/>
            </w:pPr>
            <w:r w:rsidRPr="00B85230">
              <w:sym w:font="Wingdings" w:char="F06C"/>
            </w:r>
          </w:p>
        </w:tc>
        <w:tc>
          <w:tcPr>
            <w:tcW w:w="625" w:type="dxa"/>
          </w:tcPr>
          <w:p w:rsidR="00AE0B1A" w:rsidRPr="00B85230" w:rsidRDefault="00AE0B1A" w:rsidP="00B85230">
            <w:pPr>
              <w:pStyle w:val="Tabletextright"/>
            </w:pPr>
            <w:r w:rsidRPr="00B85230">
              <w:sym w:font="Wingdings" w:char="F06C"/>
            </w:r>
          </w:p>
        </w:tc>
      </w:tr>
    </w:tbl>
    <w:p w:rsidR="00AE0B1A" w:rsidRPr="000347E4" w:rsidRDefault="00AE0B1A" w:rsidP="00AE0B1A">
      <w:pPr>
        <w:pStyle w:val="Heading2"/>
      </w:pPr>
      <w:bookmarkStart w:id="322" w:name="_Toc372790306"/>
      <w:bookmarkStart w:id="323" w:name="_Toc378252889"/>
      <w:bookmarkStart w:id="324" w:name="_Toc378253213"/>
      <w:bookmarkStart w:id="325" w:name="_Toc378253537"/>
      <w:bookmarkStart w:id="326" w:name="_Toc378253861"/>
      <w:bookmarkStart w:id="327" w:name="_Toc378254185"/>
      <w:bookmarkStart w:id="328" w:name="_Toc378254509"/>
      <w:bookmarkStart w:id="329" w:name="_Toc378254833"/>
      <w:bookmarkStart w:id="330" w:name="_Toc378255157"/>
      <w:bookmarkStart w:id="331" w:name="_Toc383758215"/>
      <w:r w:rsidRPr="006B5A62">
        <w:t>Methodology</w:t>
      </w:r>
      <w:bookmarkEnd w:id="322"/>
      <w:bookmarkEnd w:id="323"/>
      <w:bookmarkEnd w:id="324"/>
      <w:bookmarkEnd w:id="325"/>
      <w:bookmarkEnd w:id="326"/>
      <w:bookmarkEnd w:id="327"/>
      <w:bookmarkEnd w:id="328"/>
      <w:bookmarkEnd w:id="329"/>
      <w:bookmarkEnd w:id="330"/>
      <w:bookmarkEnd w:id="331"/>
    </w:p>
    <w:p w:rsidR="00AE0B1A" w:rsidRDefault="00AE0B1A" w:rsidP="00AE0B1A">
      <w:pPr>
        <w:pStyle w:val="BodyText"/>
      </w:pPr>
      <w:r>
        <w:t>R</w:t>
      </w:r>
      <w:r w:rsidRPr="00D96785">
        <w:t xml:space="preserve">eservoir-seal pairs in the Mesozoic section were identified from previous studies </w:t>
      </w:r>
      <w:r>
        <w:t xml:space="preserve">as having </w:t>
      </w:r>
      <w:r w:rsidRPr="00D96785">
        <w:t>the highest potential for CO</w:t>
      </w:r>
      <w:r w:rsidRPr="009D5B2E">
        <w:rPr>
          <w:rStyle w:val="Subscript"/>
        </w:rPr>
        <w:t>2</w:t>
      </w:r>
      <w:r w:rsidRPr="00D96785">
        <w:t xml:space="preserve"> storage (Bradshaw et al.</w:t>
      </w:r>
      <w:r>
        <w:t>,</w:t>
      </w:r>
      <w:r w:rsidRPr="00D96785">
        <w:t xml:space="preserve"> 2000; Lang and Gibson-Poole, 2001; Gibson-Poole e</w:t>
      </w:r>
      <w:r>
        <w:t xml:space="preserve">t al., 2002; </w:t>
      </w:r>
      <w:r w:rsidRPr="00D96785">
        <w:t>Carbon Storage Taskforce, 2009</w:t>
      </w:r>
      <w:r>
        <w:t>;</w:t>
      </w:r>
      <w:r w:rsidRPr="00873F14">
        <w:t xml:space="preserve"> </w:t>
      </w:r>
      <w:r>
        <w:t>Gibson-Poole, 2009</w:t>
      </w:r>
      <w:r w:rsidRPr="00D96785">
        <w:t xml:space="preserve">). </w:t>
      </w:r>
      <w:r>
        <w:t xml:space="preserve">In the current study, seismic and well data were reinterpreted for this </w:t>
      </w:r>
      <w:r w:rsidRPr="00D96785">
        <w:t>section</w:t>
      </w:r>
      <w:r>
        <w:t xml:space="preserve"> focussing </w:t>
      </w:r>
      <w:r w:rsidRPr="00D96785">
        <w:t xml:space="preserve">on characterisation </w:t>
      </w:r>
      <w:r>
        <w:t xml:space="preserve">and geographic distribution of the reservoirs and seals. Initially, </w:t>
      </w:r>
      <w:r w:rsidRPr="00D96785">
        <w:t xml:space="preserve">Mesozoic strata </w:t>
      </w:r>
      <w:r>
        <w:t xml:space="preserve">were defined </w:t>
      </w:r>
      <w:r w:rsidRPr="00D96785">
        <w:t xml:space="preserve">within a sequence stratigraphic framework in order to place the reservoirs and seals in a basin depositional context, </w:t>
      </w:r>
      <w:r>
        <w:t xml:space="preserve">thus </w:t>
      </w:r>
      <w:r w:rsidRPr="00D96785">
        <w:t xml:space="preserve">enabling </w:t>
      </w:r>
      <w:proofErr w:type="spellStart"/>
      <w:r w:rsidRPr="00D96785">
        <w:t>facies</w:t>
      </w:r>
      <w:proofErr w:type="spellEnd"/>
      <w:r w:rsidRPr="00D96785">
        <w:t xml:space="preserve"> prediction and seismi</w:t>
      </w:r>
      <w:r>
        <w:t xml:space="preserve">c </w:t>
      </w:r>
      <w:r w:rsidRPr="00B85230">
        <w:t xml:space="preserve">interpretation </w:t>
      </w:r>
      <w:r>
        <w:t xml:space="preserve">between wells. </w:t>
      </w:r>
    </w:p>
    <w:p w:rsidR="00AE0B1A" w:rsidRPr="00D96785" w:rsidRDefault="00AE0B1A" w:rsidP="00AE0B1A">
      <w:pPr>
        <w:pStyle w:val="BodyText"/>
      </w:pPr>
      <w:r>
        <w:t>T</w:t>
      </w:r>
      <w:r w:rsidRPr="00D96785">
        <w:t>he sequence stratigraphic framework d</w:t>
      </w:r>
      <w:r>
        <w:t>eveloped by Colwell and Kennard</w:t>
      </w:r>
      <w:r w:rsidRPr="00D96785">
        <w:t xml:space="preserve"> </w:t>
      </w:r>
      <w:r>
        <w:t>(</w:t>
      </w:r>
      <w:r w:rsidRPr="00D96785">
        <w:t>1996</w:t>
      </w:r>
      <w:r>
        <w:t>) and Gibson-Poole</w:t>
      </w:r>
      <w:r w:rsidRPr="00D96785">
        <w:t xml:space="preserve"> </w:t>
      </w:r>
      <w:r>
        <w:t>(</w:t>
      </w:r>
      <w:r w:rsidRPr="00D96785">
        <w:t>2009</w:t>
      </w:r>
      <w:r>
        <w:t>), including the</w:t>
      </w:r>
      <w:r w:rsidRPr="00D96785">
        <w:t xml:space="preserve"> </w:t>
      </w:r>
      <w:proofErr w:type="spellStart"/>
      <w:r w:rsidRPr="00D96785">
        <w:t>supersequences</w:t>
      </w:r>
      <w:proofErr w:type="spellEnd"/>
      <w:r w:rsidRPr="00D96785">
        <w:t xml:space="preserve"> </w:t>
      </w:r>
      <w:r>
        <w:t xml:space="preserve">as </w:t>
      </w:r>
      <w:r w:rsidRPr="00D96785">
        <w:t>defined by Colwell and Kennard (1996)</w:t>
      </w:r>
      <w:r>
        <w:t xml:space="preserve"> </w:t>
      </w:r>
      <w:r w:rsidRPr="00D96785">
        <w:t>(</w:t>
      </w:r>
      <w:r w:rsidR="00B30F18">
        <w:fldChar w:fldCharType="begin"/>
      </w:r>
      <w:r w:rsidR="00B30F18">
        <w:instrText xml:space="preserve"> REF _Ref380156250 \h </w:instrText>
      </w:r>
      <w:r w:rsidR="00B30F18">
        <w:fldChar w:fldCharType="separate"/>
      </w:r>
      <w:r w:rsidR="00F64E4F">
        <w:t xml:space="preserve">Table </w:t>
      </w:r>
      <w:r w:rsidR="00F64E4F">
        <w:rPr>
          <w:noProof/>
        </w:rPr>
        <w:t>3</w:t>
      </w:r>
      <w:r w:rsidR="00F64E4F">
        <w:t>.</w:t>
      </w:r>
      <w:r w:rsidR="00F64E4F">
        <w:rPr>
          <w:noProof/>
        </w:rPr>
        <w:t>2</w:t>
      </w:r>
      <w:r w:rsidR="00B30F18">
        <w:fldChar w:fldCharType="end"/>
      </w:r>
      <w:r w:rsidRPr="00D96785">
        <w:t>)</w:t>
      </w:r>
      <w:r>
        <w:t>, was used for interpretation purposes. This decision was made on the basis of their key work in describing the target sequences for CO</w:t>
      </w:r>
      <w:r w:rsidRPr="009D5B2E">
        <w:rPr>
          <w:rStyle w:val="Subscript"/>
        </w:rPr>
        <w:t>2</w:t>
      </w:r>
      <w:r>
        <w:t xml:space="preserve"> storage. U</w:t>
      </w:r>
      <w:r w:rsidRPr="00D96785">
        <w:t xml:space="preserve">sing a “basement up” </w:t>
      </w:r>
      <w:r>
        <w:t xml:space="preserve">sequence stratigraphic approach, these workers </w:t>
      </w:r>
      <w:r w:rsidRPr="00D96785">
        <w:t>interpret</w:t>
      </w:r>
      <w:r>
        <w:t>ed</w:t>
      </w:r>
      <w:r w:rsidRPr="00D96785">
        <w:t xml:space="preserve"> the entire sub-basin rift sequence on the regional 100R seismic survey</w:t>
      </w:r>
      <w:r>
        <w:t>,</w:t>
      </w:r>
      <w:r w:rsidRPr="00D96785">
        <w:t xml:space="preserve"> as part of a petroleum </w:t>
      </w:r>
      <w:proofErr w:type="spellStart"/>
      <w:r w:rsidRPr="00D96785">
        <w:t>prospectivity</w:t>
      </w:r>
      <w:proofErr w:type="spellEnd"/>
      <w:r w:rsidRPr="00D96785">
        <w:t xml:space="preserve"> assessment. Each sequence was na</w:t>
      </w:r>
      <w:r>
        <w:t xml:space="preserve">med according to the major </w:t>
      </w:r>
      <w:r w:rsidRPr="00D96785">
        <w:t xml:space="preserve">stratigraphic unit it encompassed, which resulted in a similar nomenclature to this study. The Mesozoic strata of the sub-basin was further refined by Gibson-Poole (2009) who identified eight major, </w:t>
      </w:r>
      <w:r w:rsidRPr="00D96785">
        <w:lastRenderedPageBreak/>
        <w:t>unconformity-bound sequences</w:t>
      </w:r>
      <w:r>
        <w:t>, as well as</w:t>
      </w:r>
      <w:r w:rsidRPr="00D96785">
        <w:t xml:space="preserve"> system-tracts</w:t>
      </w:r>
      <w:r>
        <w:t>,</w:t>
      </w:r>
      <w:r w:rsidRPr="00D96785">
        <w:t xml:space="preserve"> based on the integration of seismic data correlated to wells using biostratigraphy, well log analysis</w:t>
      </w:r>
      <w:r>
        <w:t>,</w:t>
      </w:r>
      <w:r w:rsidRPr="00D96785">
        <w:t xml:space="preserve"> and stratigraphic surfaces (</w:t>
      </w:r>
      <w:r w:rsidR="00B30F18">
        <w:fldChar w:fldCharType="begin"/>
      </w:r>
      <w:r w:rsidR="00B30F18">
        <w:instrText xml:space="preserve"> REF _Ref380156250 \h </w:instrText>
      </w:r>
      <w:r w:rsidR="00B30F18">
        <w:fldChar w:fldCharType="separate"/>
      </w:r>
      <w:r w:rsidR="00F64E4F">
        <w:t xml:space="preserve">Table </w:t>
      </w:r>
      <w:r w:rsidR="00F64E4F">
        <w:rPr>
          <w:noProof/>
        </w:rPr>
        <w:t>3</w:t>
      </w:r>
      <w:r w:rsidR="00F64E4F">
        <w:t>.</w:t>
      </w:r>
      <w:r w:rsidR="00F64E4F">
        <w:rPr>
          <w:noProof/>
        </w:rPr>
        <w:t>2</w:t>
      </w:r>
      <w:r w:rsidR="00B30F18">
        <w:fldChar w:fldCharType="end"/>
      </w:r>
      <w:r w:rsidRPr="00D96785">
        <w:t>).</w:t>
      </w:r>
    </w:p>
    <w:p w:rsidR="00AE0B1A" w:rsidRDefault="00AE0B1A" w:rsidP="00AE0B1A">
      <w:pPr>
        <w:pStyle w:val="BodyText"/>
      </w:pPr>
      <w:proofErr w:type="spellStart"/>
      <w:r>
        <w:t>Chronostratigraphic</w:t>
      </w:r>
      <w:proofErr w:type="spellEnd"/>
      <w:r>
        <w:t xml:space="preserve"> and </w:t>
      </w:r>
      <w:proofErr w:type="spellStart"/>
      <w:r>
        <w:t>sedimentological</w:t>
      </w:r>
      <w:proofErr w:type="spellEnd"/>
      <w:r>
        <w:t xml:space="preserve"> assessment of the Petrel Sub-basin Mesozoic stratigraphic units and sequence boundaries was performed using integrated </w:t>
      </w:r>
      <w:proofErr w:type="spellStart"/>
      <w:r>
        <w:t>biostratigraphic</w:t>
      </w:r>
      <w:proofErr w:type="spellEnd"/>
      <w:r>
        <w:t xml:space="preserve"> and depositional environment datasets from Geoscience Australia’s Databases (STRATDAT, RESFACS) and correlated with the regional </w:t>
      </w:r>
      <w:proofErr w:type="spellStart"/>
      <w:r>
        <w:t>biozonation</w:t>
      </w:r>
      <w:proofErr w:type="spellEnd"/>
      <w:r>
        <w:t xml:space="preserve"> and stratigraphic chart of the Bonaparte Basin (</w:t>
      </w:r>
      <w:proofErr w:type="spellStart"/>
      <w:r>
        <w:t>Nicoll</w:t>
      </w:r>
      <w:proofErr w:type="spellEnd"/>
      <w:r>
        <w:t xml:space="preserve"> et al., 2009). Further core analysis and petrographic evaluation, wireline log and seismic </w:t>
      </w:r>
      <w:proofErr w:type="spellStart"/>
      <w:r>
        <w:t>facies</w:t>
      </w:r>
      <w:proofErr w:type="spellEnd"/>
      <w:r>
        <w:t xml:space="preserve"> analyses were employed to establish the stratigraphic picks, reservoir and seal </w:t>
      </w:r>
      <w:proofErr w:type="spellStart"/>
      <w:r>
        <w:t>lithofacies</w:t>
      </w:r>
      <w:proofErr w:type="spellEnd"/>
      <w:r>
        <w:t xml:space="preserve"> type and depositional environments</w:t>
      </w:r>
      <w:r w:rsidRPr="00D96785">
        <w:t xml:space="preserve">. </w:t>
      </w:r>
      <w:r>
        <w:t>S</w:t>
      </w:r>
      <w:r w:rsidRPr="00D96785">
        <w:t xml:space="preserve">eismic data </w:t>
      </w:r>
      <w:r>
        <w:t>were</w:t>
      </w:r>
      <w:r w:rsidRPr="00D96785">
        <w:t xml:space="preserve"> used to </w:t>
      </w:r>
      <w:r>
        <w:t xml:space="preserve">correlate between wells and define </w:t>
      </w:r>
      <w:r w:rsidRPr="00D96785">
        <w:t>seismic packages.</w:t>
      </w:r>
      <w:r>
        <w:t xml:space="preserve"> This formed the basis of a series of </w:t>
      </w:r>
      <w:proofErr w:type="spellStart"/>
      <w:r>
        <w:t>pal</w:t>
      </w:r>
      <w:r w:rsidR="00F649CD">
        <w:t>a</w:t>
      </w:r>
      <w:r>
        <w:t>eogeographic</w:t>
      </w:r>
      <w:proofErr w:type="spellEnd"/>
      <w:r>
        <w:t xml:space="preserve"> / </w:t>
      </w:r>
      <w:proofErr w:type="spellStart"/>
      <w:r>
        <w:t>pal</w:t>
      </w:r>
      <w:r w:rsidR="00F649CD">
        <w:t>a</w:t>
      </w:r>
      <w:r>
        <w:t>eoenvironmental</w:t>
      </w:r>
      <w:proofErr w:type="spellEnd"/>
      <w:r>
        <w:t xml:space="preserve"> maps for</w:t>
      </w:r>
      <w:r w:rsidRPr="00D96785">
        <w:t xml:space="preserve"> the Petrel Sub-basin for each of the major time intervals corresponding to the formational boundaries (Appendix </w:t>
      </w:r>
      <w:r>
        <w:t>C).</w:t>
      </w:r>
    </w:p>
    <w:p w:rsidR="00AE0B1A" w:rsidRDefault="00AE0B1A" w:rsidP="00AE0B1A">
      <w:pPr>
        <w:pStyle w:val="BodyText"/>
      </w:pPr>
      <w:r w:rsidRPr="00450510">
        <w:t>Reservoir-seal characterisation – for CO</w:t>
      </w:r>
      <w:r w:rsidRPr="009D5B2E">
        <w:rPr>
          <w:rStyle w:val="Subscript"/>
        </w:rPr>
        <w:t>2</w:t>
      </w:r>
      <w:r w:rsidRPr="00450510">
        <w:t xml:space="preserve"> storage – involved applying a series of criteria to the well logs (porosity, permeability, </w:t>
      </w:r>
      <w:proofErr w:type="spellStart"/>
      <w:r w:rsidRPr="00450510">
        <w:t>Vshale</w:t>
      </w:r>
      <w:proofErr w:type="spellEnd"/>
      <w:r w:rsidRPr="00450510">
        <w:t xml:space="preserve">) together with a </w:t>
      </w:r>
      <w:proofErr w:type="spellStart"/>
      <w:r w:rsidRPr="00450510">
        <w:t>sedimentological</w:t>
      </w:r>
      <w:proofErr w:type="spellEnd"/>
      <w:r w:rsidRPr="00450510">
        <w:t xml:space="preserve"> evaluation. The </w:t>
      </w:r>
      <w:proofErr w:type="spellStart"/>
      <w:r w:rsidRPr="00450510">
        <w:t>sedimentological</w:t>
      </w:r>
      <w:proofErr w:type="spellEnd"/>
      <w:r w:rsidRPr="00450510">
        <w:t xml:space="preserve"> criteria considered a variety of geological constraints, for example, bedding type, thickness, mineralogy, grain size, etc. (Appendix C). The reservoir-seal analysis was further supported by destructive and non-destructive techniques, including:</w:t>
      </w:r>
    </w:p>
    <w:p w:rsidR="00AE0B1A" w:rsidRPr="00450510" w:rsidRDefault="00AE0B1A" w:rsidP="00AE0B1A">
      <w:pPr>
        <w:pStyle w:val="Listbulletlevel1"/>
      </w:pPr>
      <w:r>
        <w:t>P</w:t>
      </w:r>
      <w:r w:rsidR="003838AC">
        <w:t>etrography (Appendix C);</w:t>
      </w:r>
    </w:p>
    <w:p w:rsidR="00AE0B1A" w:rsidRPr="00450510" w:rsidRDefault="00AE0B1A" w:rsidP="00AE0B1A">
      <w:pPr>
        <w:pStyle w:val="Listbulletlevel1"/>
      </w:pPr>
      <w:r>
        <w:t>B</w:t>
      </w:r>
      <w:r w:rsidRPr="00450510">
        <w:t xml:space="preserve">ulk volatile chemistry from fluid inclusions (FIS; </w:t>
      </w:r>
      <w:r>
        <w:t>Appendix D</w:t>
      </w:r>
      <w:r w:rsidRPr="00450510">
        <w:t xml:space="preserve">); </w:t>
      </w:r>
    </w:p>
    <w:p w:rsidR="00AE0B1A" w:rsidRDefault="00AE0B1A" w:rsidP="00AE0B1A">
      <w:pPr>
        <w:pStyle w:val="Listbulletlevel1"/>
      </w:pPr>
      <w:r>
        <w:t>A</w:t>
      </w:r>
      <w:r w:rsidRPr="00450510">
        <w:t>utomatic Scanning Electron Microscope (SEM)</w:t>
      </w:r>
      <w:r>
        <w:t xml:space="preserve"> and </w:t>
      </w:r>
      <w:r w:rsidRPr="00450510">
        <w:t xml:space="preserve">Electron Dispersive Spectroscopy (EDS), known as mineral mapping using </w:t>
      </w:r>
      <w:proofErr w:type="spellStart"/>
      <w:r w:rsidRPr="00450510">
        <w:t>QEMScan</w:t>
      </w:r>
      <w:proofErr w:type="spellEnd"/>
      <w:r w:rsidRPr="00450510">
        <w:t xml:space="preserve"> (</w:t>
      </w:r>
      <w:r>
        <w:t>Appendix E</w:t>
      </w:r>
      <w:r w:rsidRPr="00450510">
        <w:t>);</w:t>
      </w:r>
    </w:p>
    <w:p w:rsidR="00AE0B1A" w:rsidRPr="00B548CF" w:rsidRDefault="00AE0B1A" w:rsidP="00AE0B1A">
      <w:pPr>
        <w:pStyle w:val="Listbulletlevel1"/>
      </w:pPr>
      <w:proofErr w:type="spellStart"/>
      <w:r>
        <w:t>H</w:t>
      </w:r>
      <w:r w:rsidRPr="00450510">
        <w:t>yperspectral</w:t>
      </w:r>
      <w:proofErr w:type="spellEnd"/>
      <w:r w:rsidRPr="00450510">
        <w:t xml:space="preserve"> </w:t>
      </w:r>
      <w:proofErr w:type="spellStart"/>
      <w:r w:rsidRPr="00450510">
        <w:t>spectroradiometer</w:t>
      </w:r>
      <w:proofErr w:type="spellEnd"/>
      <w:r w:rsidRPr="00450510">
        <w:t xml:space="preserve"> analysis (using </w:t>
      </w:r>
      <w:proofErr w:type="spellStart"/>
      <w:r w:rsidRPr="00450510">
        <w:t>HyLogger</w:t>
      </w:r>
      <w:proofErr w:type="spellEnd"/>
      <w:r w:rsidRPr="00450510">
        <w:t xml:space="preserve">; </w:t>
      </w:r>
      <w:r>
        <w:t>Appendix F</w:t>
      </w:r>
      <w:r w:rsidRPr="00450510">
        <w:t xml:space="preserve">); </w:t>
      </w:r>
      <w:r w:rsidRPr="00B548CF">
        <w:t xml:space="preserve">and </w:t>
      </w:r>
    </w:p>
    <w:p w:rsidR="00AE0B1A" w:rsidRPr="00450510" w:rsidRDefault="00AE0B1A" w:rsidP="00AE0B1A">
      <w:pPr>
        <w:pStyle w:val="Listbulletlevel1"/>
      </w:pPr>
      <w:r>
        <w:t>R</w:t>
      </w:r>
      <w:r w:rsidRPr="00450510">
        <w:t>ock analysis in the form of porosity, permeability and threshold pressures (</w:t>
      </w:r>
      <w:r>
        <w:t>Appendix G</w:t>
      </w:r>
      <w:r w:rsidRPr="00450510">
        <w:t>).</w:t>
      </w:r>
      <w:r w:rsidRPr="00255748">
        <w:t xml:space="preserve"> </w:t>
      </w:r>
    </w:p>
    <w:p w:rsidR="00AE0B1A" w:rsidRPr="00D96785" w:rsidRDefault="00AE0B1A" w:rsidP="00AE0B1A">
      <w:pPr>
        <w:pStyle w:val="BodyText"/>
      </w:pPr>
      <w:r w:rsidRPr="00D96785">
        <w:t>These analyses were completed for four wells</w:t>
      </w:r>
      <w:r>
        <w:t>:</w:t>
      </w:r>
      <w:r w:rsidRPr="00450510">
        <w:t xml:space="preserve"> </w:t>
      </w:r>
      <w:r w:rsidRPr="00D96785">
        <w:t>Gull 1, Jacaranda 1, Petrel 1 and Tern 1</w:t>
      </w:r>
      <w:r>
        <w:t xml:space="preserve"> </w:t>
      </w:r>
      <w:r w:rsidRPr="00D96785">
        <w:t>(</w:t>
      </w:r>
      <w:r w:rsidR="00B30F18">
        <w:fldChar w:fldCharType="begin"/>
      </w:r>
      <w:r w:rsidR="00B30F18">
        <w:instrText xml:space="preserve"> REF _Ref380156392 \h </w:instrText>
      </w:r>
      <w:r w:rsidR="00B30F18">
        <w:fldChar w:fldCharType="separate"/>
      </w:r>
      <w:r w:rsidR="00F64E4F">
        <w:t xml:space="preserve">Table </w:t>
      </w:r>
      <w:r w:rsidR="00F64E4F">
        <w:rPr>
          <w:noProof/>
        </w:rPr>
        <w:t>4</w:t>
      </w:r>
      <w:r w:rsidR="00F64E4F">
        <w:t>.</w:t>
      </w:r>
      <w:r w:rsidR="00F64E4F">
        <w:rPr>
          <w:noProof/>
        </w:rPr>
        <w:t>1</w:t>
      </w:r>
      <w:r w:rsidR="00B30F18">
        <w:fldChar w:fldCharType="end"/>
      </w:r>
      <w:r w:rsidRPr="00D96785">
        <w:t>)</w:t>
      </w:r>
      <w:r>
        <w:t>. These wells</w:t>
      </w:r>
      <w:r w:rsidRPr="00D96785">
        <w:t xml:space="preserve"> have cored intervals that preserve the Mesozoic section</w:t>
      </w:r>
      <w:r w:rsidRPr="00450510">
        <w:t xml:space="preserve"> </w:t>
      </w:r>
      <w:r>
        <w:t>and</w:t>
      </w:r>
      <w:r w:rsidRPr="00D96785">
        <w:t xml:space="preserve"> available cuttings. The results of the stratigraphic </w:t>
      </w:r>
      <w:r>
        <w:t>analysis</w:t>
      </w:r>
      <w:r w:rsidRPr="00D96785">
        <w:t xml:space="preserve"> in this study, including the updated stratigraphic picks and </w:t>
      </w:r>
      <w:proofErr w:type="spellStart"/>
      <w:r w:rsidRPr="00D96785">
        <w:t>biozonatio</w:t>
      </w:r>
      <w:r>
        <w:t>n</w:t>
      </w:r>
      <w:proofErr w:type="spellEnd"/>
      <w:r>
        <w:t xml:space="preserve"> and a breakdown of analyses for</w:t>
      </w:r>
      <w:r w:rsidRPr="00D96785">
        <w:t xml:space="preserve"> each well</w:t>
      </w:r>
      <w:r>
        <w:t>,</w:t>
      </w:r>
      <w:r w:rsidRPr="00D96785">
        <w:t xml:space="preserve"> are described in </w:t>
      </w:r>
      <w:r w:rsidR="0095117B">
        <w:t>Supplementary Report</w:t>
      </w:r>
      <w:r w:rsidRPr="00D96785">
        <w:t xml:space="preserve"> 1, </w:t>
      </w:r>
      <w:r>
        <w:t xml:space="preserve">where they are </w:t>
      </w:r>
      <w:r w:rsidRPr="00D96785">
        <w:t>presented in a series of well composites.</w:t>
      </w:r>
    </w:p>
    <w:p w:rsidR="00AE0B1A" w:rsidRPr="00AE5C2D" w:rsidRDefault="00AE0B1A" w:rsidP="00AE5C2D">
      <w:pPr>
        <w:pStyle w:val="BodyText-01"/>
      </w:pPr>
      <w:r w:rsidRPr="00AE5C2D">
        <w:t>The new formation-boundary markers in the wells were then used for seismic interpretation (</w:t>
      </w:r>
      <w:r w:rsidR="00B30F18" w:rsidRPr="00AE5C2D">
        <w:fldChar w:fldCharType="begin"/>
      </w:r>
      <w:r w:rsidR="00B30F18" w:rsidRPr="00AE5C2D">
        <w:instrText xml:space="preserve"> REF _Ref380156431 \h </w:instrText>
      </w:r>
      <w:r w:rsidR="00AE5C2D">
        <w:instrText xml:space="preserve"> \* MERGEFORMAT </w:instrText>
      </w:r>
      <w:r w:rsidR="00B30F18" w:rsidRPr="00AE5C2D">
        <w:fldChar w:fldCharType="separate"/>
      </w:r>
      <w:r w:rsidR="00F64E4F">
        <w:t>Table 4.2</w:t>
      </w:r>
      <w:r w:rsidR="00B30F18" w:rsidRPr="00AE5C2D">
        <w:fldChar w:fldCharType="end"/>
      </w:r>
      <w:r w:rsidRPr="00AE5C2D">
        <w:t xml:space="preserve">). To enable well-seismic data integration, well synthetics were generated to match well data in the depth domain accurately against seismic data in the time domain. Check-shot data were used to calibrate an integrated sonic log, before generating a synthetic seismic trace with a zero phase Ricker wavelet. An analytical wavelet was preferred over extracting wavelets from different vintages of seismic data with different phase relationships. The final time-depth relationship was established by matching the synthetic trace to the best seismic data, usually with a small bulk time shift. The formation intervals from the water bottom to the top of the </w:t>
      </w:r>
      <w:proofErr w:type="spellStart"/>
      <w:r w:rsidRPr="00AE5C2D">
        <w:t>Malita</w:t>
      </w:r>
      <w:proofErr w:type="spellEnd"/>
      <w:r w:rsidRPr="00AE5C2D">
        <w:t xml:space="preserve"> Formation were interpreted in the open-file 2D seismic survey data. The 3D seismic data were only broadly interpreted over the same section. </w:t>
      </w:r>
    </w:p>
    <w:p w:rsidR="00AE5C2D" w:rsidRDefault="00AE0B1A" w:rsidP="00AE5C2D">
      <w:pPr>
        <w:pStyle w:val="BodyText"/>
      </w:pPr>
      <w:r w:rsidRPr="006B69F3">
        <w:t xml:space="preserve">More than 30,000 line-km of seismic data were interpreted across the sub-basin, identifying nine seismic horizons and 42 major faults (Appendix A). The seismic horizons mapped the distribution of the formations extending from the wells to create a series of seismic packages. </w:t>
      </w:r>
      <w:r>
        <w:t>The interpreted</w:t>
      </w:r>
      <w:r w:rsidRPr="006B69F3">
        <w:t xml:space="preserve"> fault set was restricted to the </w:t>
      </w:r>
      <w:r>
        <w:t xml:space="preserve">faults that intersected the </w:t>
      </w:r>
      <w:r w:rsidRPr="006B69F3">
        <w:t>Mesozoic–</w:t>
      </w:r>
      <w:proofErr w:type="spellStart"/>
      <w:r w:rsidRPr="006B69F3">
        <w:t>Cenozoic</w:t>
      </w:r>
      <w:proofErr w:type="spellEnd"/>
      <w:r w:rsidRPr="006B69F3">
        <w:t xml:space="preserve"> section (</w:t>
      </w:r>
      <w:r>
        <w:t>Appendix H</w:t>
      </w:r>
      <w:r w:rsidRPr="006B69F3">
        <w:t>)</w:t>
      </w:r>
      <w:r w:rsidRPr="009D5B2E">
        <w:t xml:space="preserve">. </w:t>
      </w:r>
      <w:proofErr w:type="spellStart"/>
      <w:r>
        <w:t>G</w:t>
      </w:r>
      <w:r w:rsidRPr="00045315">
        <w:t>eomechanical</w:t>
      </w:r>
      <w:proofErr w:type="spellEnd"/>
      <w:r w:rsidRPr="00045315">
        <w:t xml:space="preserve"> analys</w:t>
      </w:r>
      <w:r>
        <w:t>e</w:t>
      </w:r>
      <w:r w:rsidRPr="00045315">
        <w:t>s w</w:t>
      </w:r>
      <w:r>
        <w:t>ere</w:t>
      </w:r>
      <w:r w:rsidRPr="00045315">
        <w:t xml:space="preserve"> conducted </w:t>
      </w:r>
      <w:r>
        <w:t>on each major structure to assess their potential for</w:t>
      </w:r>
      <w:r w:rsidRPr="00045315">
        <w:t xml:space="preserve"> </w:t>
      </w:r>
      <w:r w:rsidR="00AE5C2D" w:rsidRPr="00045315">
        <w:t>reactivation and leakage (</w:t>
      </w:r>
      <w:r w:rsidR="00AE5C2D">
        <w:t>Appendix I</w:t>
      </w:r>
      <w:r w:rsidR="00AE5C2D" w:rsidRPr="00045315">
        <w:t>).</w:t>
      </w:r>
      <w:r w:rsidR="00AE5C2D">
        <w:t xml:space="preserve"> A hydrodynamic study of the sub-basin was also undertaken to evaluate the reservoir pressure and existing fluid flow patterns (Appendix J).</w:t>
      </w:r>
    </w:p>
    <w:p w:rsidR="00AE0B1A" w:rsidRDefault="00AE0B1A" w:rsidP="00AE0B1A">
      <w:pPr>
        <w:pStyle w:val="BodyText"/>
        <w:sectPr w:rsidR="00AE0B1A" w:rsidSect="00AE5C2D">
          <w:footerReference w:type="even" r:id="rId38"/>
          <w:footerReference w:type="default" r:id="rId39"/>
          <w:pgSz w:w="11907" w:h="16840" w:code="9"/>
          <w:pgMar w:top="1985" w:right="1418" w:bottom="1134" w:left="1418" w:header="720" w:footer="397" w:gutter="0"/>
          <w:cols w:space="720"/>
          <w:docGrid w:linePitch="272"/>
        </w:sectPr>
      </w:pPr>
    </w:p>
    <w:p w:rsidR="00AE0B1A" w:rsidRDefault="00AE0B1A" w:rsidP="00AE0B1A">
      <w:pPr>
        <w:pStyle w:val="Tabletitle"/>
      </w:pPr>
      <w:bookmarkStart w:id="332" w:name="_Ref380156431"/>
      <w:bookmarkStart w:id="333" w:name="_Toc372790376"/>
      <w:bookmarkStart w:id="334" w:name="_Toc378252830"/>
      <w:bookmarkStart w:id="335" w:name="_Toc378253154"/>
      <w:bookmarkStart w:id="336" w:name="_Toc378253478"/>
      <w:bookmarkStart w:id="337" w:name="_Toc378253802"/>
      <w:bookmarkStart w:id="338" w:name="_Toc378254126"/>
      <w:bookmarkStart w:id="339" w:name="_Toc378254450"/>
      <w:bookmarkStart w:id="340" w:name="_Toc378254774"/>
      <w:bookmarkStart w:id="341" w:name="_Toc378255098"/>
      <w:bookmarkStart w:id="342" w:name="_Toc378255447"/>
      <w:r>
        <w:lastRenderedPageBreak/>
        <w:t>Table</w:t>
      </w:r>
      <w:r w:rsidR="00AE5C2D">
        <w:t> </w:t>
      </w:r>
      <w:fldSimple w:instr=" STYLEREF 1 \s ">
        <w:r w:rsidR="00F64E4F">
          <w:rPr>
            <w:noProof/>
          </w:rPr>
          <w:t>4</w:t>
        </w:r>
      </w:fldSimple>
      <w:r>
        <w:t>.</w:t>
      </w:r>
      <w:fldSimple w:instr=" SEQ Table \* ARABIC \s 1 ">
        <w:r w:rsidR="00F64E4F">
          <w:rPr>
            <w:noProof/>
          </w:rPr>
          <w:t>2</w:t>
        </w:r>
      </w:fldSimple>
      <w:bookmarkEnd w:id="332"/>
      <w:r>
        <w:t xml:space="preserve"> </w:t>
      </w:r>
      <w:r w:rsidRPr="007859F3">
        <w:t>Key wells of the Petrel Sub-basin with formation tops and seismic picks used in measured depth (m)</w:t>
      </w:r>
      <w:r>
        <w:t xml:space="preserve"> from rotary table (RT) or Kelly bush (KB)</w:t>
      </w:r>
      <w:r w:rsidRPr="007859F3">
        <w:t xml:space="preserve"> and two-way time (TWT) in this study.</w:t>
      </w:r>
      <w:bookmarkEnd w:id="333"/>
      <w:bookmarkEnd w:id="334"/>
      <w:bookmarkEnd w:id="335"/>
      <w:bookmarkEnd w:id="336"/>
      <w:bookmarkEnd w:id="337"/>
      <w:bookmarkEnd w:id="338"/>
      <w:bookmarkEnd w:id="339"/>
      <w:bookmarkEnd w:id="340"/>
      <w:bookmarkEnd w:id="341"/>
      <w:bookmarkEnd w:id="342"/>
    </w:p>
    <w:tbl>
      <w:tblPr>
        <w:tblStyle w:val="TableGAHeaderRow"/>
        <w:tblW w:w="5000" w:type="pct"/>
        <w:tblLayout w:type="fixed"/>
        <w:tblLook w:val="04A0" w:firstRow="1" w:lastRow="0" w:firstColumn="1" w:lastColumn="0" w:noHBand="0" w:noVBand="1"/>
        <w:tblCaption w:val="Table 4.2"/>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537"/>
        <w:gridCol w:w="1180"/>
        <w:gridCol w:w="1135"/>
        <w:gridCol w:w="1285"/>
        <w:gridCol w:w="1285"/>
        <w:gridCol w:w="1285"/>
        <w:gridCol w:w="1285"/>
        <w:gridCol w:w="1285"/>
        <w:gridCol w:w="1285"/>
        <w:gridCol w:w="1285"/>
        <w:gridCol w:w="1271"/>
      </w:tblGrid>
      <w:tr w:rsidR="00AE0B1A" w:rsidRPr="00016FA4" w:rsidTr="00AE0B1A">
        <w:trPr>
          <w:cnfStyle w:val="100000000000" w:firstRow="1" w:lastRow="0" w:firstColumn="0" w:lastColumn="0" w:oddVBand="0" w:evenVBand="0" w:oddHBand="0" w:evenHBand="0" w:firstRowFirstColumn="0" w:firstRowLastColumn="0" w:lastRowFirstColumn="0" w:lastRowLastColumn="0"/>
          <w:tblHeader/>
        </w:trPr>
        <w:tc>
          <w:tcPr>
            <w:tcW w:w="544" w:type="pct"/>
            <w:noWrap/>
            <w:hideMark/>
          </w:tcPr>
          <w:p w:rsidR="00AE0B1A" w:rsidRPr="00016FA4" w:rsidRDefault="00AE0B1A" w:rsidP="00016FA4">
            <w:pPr>
              <w:pStyle w:val="Tabletextleft"/>
            </w:pPr>
            <w:r w:rsidRPr="00016FA4">
              <w:t>Well</w:t>
            </w:r>
          </w:p>
        </w:tc>
        <w:tc>
          <w:tcPr>
            <w:tcW w:w="418" w:type="pct"/>
            <w:noWrap/>
            <w:hideMark/>
          </w:tcPr>
          <w:p w:rsidR="00AE0B1A" w:rsidRPr="00016FA4" w:rsidRDefault="00AE0B1A" w:rsidP="00016FA4">
            <w:pPr>
              <w:pStyle w:val="Tabletextleft"/>
            </w:pPr>
            <w:r w:rsidRPr="00016FA4">
              <w:t>Depth /Time</w:t>
            </w:r>
          </w:p>
        </w:tc>
        <w:tc>
          <w:tcPr>
            <w:tcW w:w="402" w:type="pct"/>
            <w:hideMark/>
          </w:tcPr>
          <w:p w:rsidR="00AE0B1A" w:rsidRPr="00016FA4" w:rsidRDefault="00AE0B1A" w:rsidP="00016FA4">
            <w:pPr>
              <w:pStyle w:val="Tabletextleft"/>
            </w:pPr>
            <w:proofErr w:type="spellStart"/>
            <w:r w:rsidRPr="00016FA4">
              <w:t>Wangarlu</w:t>
            </w:r>
            <w:proofErr w:type="spellEnd"/>
            <w:r w:rsidRPr="00016FA4">
              <w:t xml:space="preserve"> Formation</w:t>
            </w:r>
          </w:p>
        </w:tc>
        <w:tc>
          <w:tcPr>
            <w:tcW w:w="455" w:type="pct"/>
            <w:hideMark/>
          </w:tcPr>
          <w:p w:rsidR="00AE0B1A" w:rsidRPr="00016FA4" w:rsidRDefault="00AE0B1A" w:rsidP="00016FA4">
            <w:pPr>
              <w:pStyle w:val="Tabletextleft"/>
            </w:pPr>
            <w:r w:rsidRPr="00016FA4">
              <w:t>Intra-</w:t>
            </w:r>
            <w:proofErr w:type="spellStart"/>
            <w:r w:rsidRPr="00016FA4">
              <w:t>Wangarlu</w:t>
            </w:r>
            <w:proofErr w:type="spellEnd"/>
            <w:r w:rsidRPr="00016FA4">
              <w:t xml:space="preserve"> Formation</w:t>
            </w:r>
          </w:p>
        </w:tc>
        <w:tc>
          <w:tcPr>
            <w:tcW w:w="455" w:type="pct"/>
            <w:hideMark/>
          </w:tcPr>
          <w:p w:rsidR="00AE0B1A" w:rsidRPr="00016FA4" w:rsidRDefault="00AE0B1A" w:rsidP="00016FA4">
            <w:pPr>
              <w:pStyle w:val="Tabletextleft"/>
            </w:pPr>
            <w:r w:rsidRPr="00016FA4">
              <w:t>Darwin Formation</w:t>
            </w:r>
          </w:p>
        </w:tc>
        <w:tc>
          <w:tcPr>
            <w:tcW w:w="455" w:type="pct"/>
            <w:hideMark/>
          </w:tcPr>
          <w:p w:rsidR="00AE0B1A" w:rsidRPr="00016FA4" w:rsidRDefault="00AE0B1A" w:rsidP="00016FA4">
            <w:pPr>
              <w:pStyle w:val="Tabletextleft"/>
            </w:pPr>
            <w:r w:rsidRPr="00016FA4">
              <w:t>Echuca Shoals Formation</w:t>
            </w:r>
          </w:p>
        </w:tc>
        <w:tc>
          <w:tcPr>
            <w:tcW w:w="455" w:type="pct"/>
            <w:hideMark/>
          </w:tcPr>
          <w:p w:rsidR="00AE0B1A" w:rsidRPr="00016FA4" w:rsidRDefault="00AE0B1A" w:rsidP="00016FA4">
            <w:pPr>
              <w:pStyle w:val="Tabletextleft"/>
            </w:pPr>
            <w:r w:rsidRPr="00016FA4">
              <w:t>Sandpiper Sandstone</w:t>
            </w:r>
          </w:p>
        </w:tc>
        <w:tc>
          <w:tcPr>
            <w:tcW w:w="455" w:type="pct"/>
            <w:hideMark/>
          </w:tcPr>
          <w:p w:rsidR="00AE0B1A" w:rsidRPr="00016FA4" w:rsidRDefault="00AE0B1A" w:rsidP="00016FA4">
            <w:pPr>
              <w:pStyle w:val="Tabletextleft"/>
            </w:pPr>
            <w:r w:rsidRPr="00016FA4">
              <w:t>Frigate Formation</w:t>
            </w:r>
          </w:p>
        </w:tc>
        <w:tc>
          <w:tcPr>
            <w:tcW w:w="455" w:type="pct"/>
            <w:hideMark/>
          </w:tcPr>
          <w:p w:rsidR="00AE0B1A" w:rsidRPr="00016FA4" w:rsidRDefault="00AE0B1A" w:rsidP="00016FA4">
            <w:pPr>
              <w:pStyle w:val="Tabletextleft"/>
            </w:pPr>
            <w:r w:rsidRPr="00016FA4">
              <w:t>Intra-Frigate Formation</w:t>
            </w:r>
          </w:p>
        </w:tc>
        <w:tc>
          <w:tcPr>
            <w:tcW w:w="455" w:type="pct"/>
            <w:hideMark/>
          </w:tcPr>
          <w:p w:rsidR="00AE0B1A" w:rsidRPr="00016FA4" w:rsidRDefault="00AE0B1A" w:rsidP="00016FA4">
            <w:pPr>
              <w:pStyle w:val="Tabletextleft"/>
            </w:pPr>
            <w:proofErr w:type="spellStart"/>
            <w:r w:rsidRPr="00016FA4">
              <w:t>Elang</w:t>
            </w:r>
            <w:proofErr w:type="spellEnd"/>
            <w:r w:rsidRPr="00016FA4">
              <w:t xml:space="preserve"> Formation</w:t>
            </w:r>
          </w:p>
        </w:tc>
        <w:tc>
          <w:tcPr>
            <w:tcW w:w="450" w:type="pct"/>
            <w:hideMark/>
          </w:tcPr>
          <w:p w:rsidR="00AE0B1A" w:rsidRPr="00016FA4" w:rsidRDefault="00AE0B1A" w:rsidP="00016FA4">
            <w:pPr>
              <w:pStyle w:val="Tabletextleft"/>
            </w:pPr>
            <w:proofErr w:type="spellStart"/>
            <w:r w:rsidRPr="00016FA4">
              <w:t>Malita</w:t>
            </w:r>
            <w:proofErr w:type="spellEnd"/>
            <w:r w:rsidRPr="00016FA4">
              <w:t xml:space="preserve"> Formation</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Billabong 1</w:t>
            </w:r>
          </w:p>
        </w:tc>
        <w:tc>
          <w:tcPr>
            <w:tcW w:w="418" w:type="pct"/>
            <w:hideMark/>
          </w:tcPr>
          <w:p w:rsidR="00AE0B1A" w:rsidRPr="00016FA4" w:rsidRDefault="00AE0B1A" w:rsidP="00016FA4">
            <w:pPr>
              <w:pStyle w:val="Tabletextleft"/>
            </w:pPr>
            <w:proofErr w:type="spellStart"/>
            <w:r w:rsidRPr="00016FA4">
              <w:t>mRT</w:t>
            </w:r>
            <w:proofErr w:type="spellEnd"/>
          </w:p>
        </w:tc>
        <w:tc>
          <w:tcPr>
            <w:tcW w:w="402" w:type="pct"/>
            <w:hideMark/>
          </w:tcPr>
          <w:p w:rsidR="00AE0B1A" w:rsidRPr="00016FA4" w:rsidRDefault="00AE0B1A" w:rsidP="00016FA4">
            <w:pPr>
              <w:pStyle w:val="Tabletextright"/>
            </w:pPr>
            <w:r w:rsidRPr="00016FA4">
              <w:t>579</w:t>
            </w:r>
          </w:p>
        </w:tc>
        <w:tc>
          <w:tcPr>
            <w:tcW w:w="455" w:type="pct"/>
            <w:hideMark/>
          </w:tcPr>
          <w:p w:rsidR="00AE0B1A" w:rsidRPr="00016FA4" w:rsidRDefault="00AE0B1A" w:rsidP="00016FA4">
            <w:pPr>
              <w:pStyle w:val="Tabletextright"/>
            </w:pPr>
            <w:r w:rsidRPr="00016FA4">
              <w:t>748</w:t>
            </w:r>
          </w:p>
        </w:tc>
        <w:tc>
          <w:tcPr>
            <w:tcW w:w="455" w:type="pct"/>
            <w:hideMark/>
          </w:tcPr>
          <w:p w:rsidR="00AE0B1A" w:rsidRPr="00016FA4" w:rsidRDefault="00AE0B1A" w:rsidP="00016FA4">
            <w:pPr>
              <w:pStyle w:val="Tabletextright"/>
            </w:pPr>
            <w:r w:rsidRPr="00016FA4">
              <w:t>1380</w:t>
            </w:r>
          </w:p>
        </w:tc>
        <w:tc>
          <w:tcPr>
            <w:tcW w:w="455" w:type="pct"/>
            <w:hideMark/>
          </w:tcPr>
          <w:p w:rsidR="00AE0B1A" w:rsidRPr="00016FA4" w:rsidRDefault="00AE0B1A" w:rsidP="00016FA4">
            <w:pPr>
              <w:pStyle w:val="Tabletextright"/>
            </w:pPr>
            <w:r w:rsidRPr="00016FA4">
              <w:t>1400</w:t>
            </w:r>
          </w:p>
        </w:tc>
        <w:tc>
          <w:tcPr>
            <w:tcW w:w="455" w:type="pct"/>
            <w:hideMark/>
          </w:tcPr>
          <w:p w:rsidR="00AE0B1A" w:rsidRPr="00016FA4" w:rsidRDefault="00AE0B1A" w:rsidP="00016FA4">
            <w:pPr>
              <w:pStyle w:val="Tabletextright"/>
            </w:pPr>
            <w:r w:rsidRPr="00016FA4">
              <w:t>1490</w:t>
            </w:r>
          </w:p>
        </w:tc>
        <w:tc>
          <w:tcPr>
            <w:tcW w:w="455" w:type="pct"/>
            <w:hideMark/>
          </w:tcPr>
          <w:p w:rsidR="00AE0B1A" w:rsidRPr="00016FA4" w:rsidRDefault="00AE0B1A" w:rsidP="00016FA4">
            <w:pPr>
              <w:pStyle w:val="Tabletextright"/>
            </w:pPr>
            <w:r w:rsidRPr="00016FA4">
              <w:t>1600</w:t>
            </w:r>
          </w:p>
        </w:tc>
        <w:tc>
          <w:tcPr>
            <w:tcW w:w="455" w:type="pct"/>
            <w:hideMark/>
          </w:tcPr>
          <w:p w:rsidR="00AE0B1A" w:rsidRPr="00016FA4" w:rsidRDefault="00AE0B1A" w:rsidP="00016FA4">
            <w:pPr>
              <w:pStyle w:val="Tabletextright"/>
            </w:pPr>
            <w:r w:rsidRPr="00016FA4">
              <w:t>1790</w:t>
            </w:r>
          </w:p>
        </w:tc>
        <w:tc>
          <w:tcPr>
            <w:tcW w:w="455" w:type="pct"/>
            <w:hideMark/>
          </w:tcPr>
          <w:p w:rsidR="00AE0B1A" w:rsidRPr="00016FA4" w:rsidRDefault="00AE0B1A" w:rsidP="00016FA4">
            <w:pPr>
              <w:pStyle w:val="Tabletextright"/>
            </w:pPr>
            <w:r w:rsidRPr="00016FA4">
              <w:t>1835</w:t>
            </w:r>
          </w:p>
        </w:tc>
        <w:tc>
          <w:tcPr>
            <w:tcW w:w="450" w:type="pct"/>
            <w:noWrap/>
            <w:hideMark/>
          </w:tcPr>
          <w:p w:rsidR="00AE0B1A" w:rsidRPr="00016FA4" w:rsidRDefault="00AE0B1A" w:rsidP="00016FA4">
            <w:pPr>
              <w:pStyle w:val="Tabletextright"/>
            </w:pPr>
            <w:r w:rsidRPr="00016FA4">
              <w:t>n/a</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540</w:t>
            </w:r>
          </w:p>
        </w:tc>
        <w:tc>
          <w:tcPr>
            <w:tcW w:w="455" w:type="pct"/>
            <w:hideMark/>
          </w:tcPr>
          <w:p w:rsidR="00AE0B1A" w:rsidRPr="00016FA4" w:rsidRDefault="00AE0B1A" w:rsidP="00016FA4">
            <w:pPr>
              <w:pStyle w:val="Tabletextright"/>
            </w:pPr>
            <w:r w:rsidRPr="00016FA4">
              <w:t>707</w:t>
            </w:r>
          </w:p>
        </w:tc>
        <w:tc>
          <w:tcPr>
            <w:tcW w:w="455" w:type="pct"/>
            <w:hideMark/>
          </w:tcPr>
          <w:p w:rsidR="00AE0B1A" w:rsidRPr="00016FA4" w:rsidRDefault="00AE0B1A" w:rsidP="00016FA4">
            <w:pPr>
              <w:pStyle w:val="Tabletextright"/>
            </w:pPr>
            <w:r w:rsidRPr="00016FA4">
              <w:t>1259</w:t>
            </w:r>
          </w:p>
        </w:tc>
        <w:tc>
          <w:tcPr>
            <w:tcW w:w="455" w:type="pct"/>
            <w:hideMark/>
          </w:tcPr>
          <w:p w:rsidR="00AE0B1A" w:rsidRPr="00016FA4" w:rsidRDefault="00AE0B1A" w:rsidP="00016FA4">
            <w:pPr>
              <w:pStyle w:val="Tabletextright"/>
            </w:pPr>
            <w:r w:rsidRPr="00016FA4">
              <w:t>1272</w:t>
            </w:r>
          </w:p>
        </w:tc>
        <w:tc>
          <w:tcPr>
            <w:tcW w:w="455" w:type="pct"/>
            <w:hideMark/>
          </w:tcPr>
          <w:p w:rsidR="00AE0B1A" w:rsidRPr="00016FA4" w:rsidRDefault="00AE0B1A" w:rsidP="00016FA4">
            <w:pPr>
              <w:pStyle w:val="Tabletextright"/>
            </w:pPr>
            <w:r w:rsidRPr="00016FA4">
              <w:t>1326</w:t>
            </w:r>
          </w:p>
        </w:tc>
        <w:tc>
          <w:tcPr>
            <w:tcW w:w="455" w:type="pct"/>
            <w:hideMark/>
          </w:tcPr>
          <w:p w:rsidR="00AE0B1A" w:rsidRPr="00016FA4" w:rsidRDefault="00AE0B1A" w:rsidP="00016FA4">
            <w:pPr>
              <w:pStyle w:val="Tabletextright"/>
            </w:pPr>
            <w:r w:rsidRPr="00016FA4">
              <w:t>1389</w:t>
            </w:r>
          </w:p>
        </w:tc>
        <w:tc>
          <w:tcPr>
            <w:tcW w:w="455" w:type="pct"/>
            <w:hideMark/>
          </w:tcPr>
          <w:p w:rsidR="00AE0B1A" w:rsidRPr="00016FA4" w:rsidRDefault="00AE0B1A" w:rsidP="00016FA4">
            <w:pPr>
              <w:pStyle w:val="Tabletextright"/>
            </w:pPr>
            <w:r w:rsidRPr="00016FA4">
              <w:t>1498</w:t>
            </w:r>
          </w:p>
        </w:tc>
        <w:tc>
          <w:tcPr>
            <w:tcW w:w="455" w:type="pct"/>
            <w:hideMark/>
          </w:tcPr>
          <w:p w:rsidR="00AE0B1A" w:rsidRPr="00016FA4" w:rsidRDefault="00AE0B1A" w:rsidP="00016FA4">
            <w:pPr>
              <w:pStyle w:val="Tabletextright"/>
            </w:pPr>
            <w:r w:rsidRPr="00016FA4">
              <w:t>1523</w:t>
            </w:r>
          </w:p>
        </w:tc>
        <w:tc>
          <w:tcPr>
            <w:tcW w:w="450" w:type="pct"/>
            <w:noWrap/>
            <w:hideMark/>
          </w:tcPr>
          <w:p w:rsidR="00AE0B1A" w:rsidRPr="00016FA4" w:rsidRDefault="00AE0B1A" w:rsidP="00016FA4">
            <w:pPr>
              <w:pStyle w:val="Tabletextright"/>
            </w:pPr>
            <w:r w:rsidRPr="00016FA4">
              <w:t>n/a</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Bougainville 1</w:t>
            </w:r>
          </w:p>
        </w:tc>
        <w:tc>
          <w:tcPr>
            <w:tcW w:w="418" w:type="pct"/>
            <w:noWrap/>
            <w:hideMark/>
          </w:tcPr>
          <w:p w:rsidR="00AE0B1A" w:rsidRPr="00016FA4" w:rsidRDefault="00AE0B1A" w:rsidP="00016FA4">
            <w:pPr>
              <w:pStyle w:val="Tabletextleft"/>
            </w:pPr>
            <w:proofErr w:type="spellStart"/>
            <w:r w:rsidRPr="00016FA4">
              <w:t>mKB</w:t>
            </w:r>
            <w:proofErr w:type="spellEnd"/>
          </w:p>
        </w:tc>
        <w:tc>
          <w:tcPr>
            <w:tcW w:w="402" w:type="pct"/>
            <w:hideMark/>
          </w:tcPr>
          <w:p w:rsidR="00AE0B1A" w:rsidRPr="00016FA4" w:rsidRDefault="00AE0B1A" w:rsidP="00016FA4">
            <w:pPr>
              <w:pStyle w:val="Tabletextright"/>
            </w:pPr>
            <w:r w:rsidRPr="00016FA4">
              <w:t>190</w:t>
            </w:r>
          </w:p>
        </w:tc>
        <w:tc>
          <w:tcPr>
            <w:tcW w:w="455" w:type="pct"/>
            <w:hideMark/>
          </w:tcPr>
          <w:p w:rsidR="00AE0B1A" w:rsidRPr="00016FA4" w:rsidRDefault="00AE0B1A" w:rsidP="00016FA4">
            <w:pPr>
              <w:pStyle w:val="Tabletextright"/>
            </w:pPr>
            <w:r w:rsidRPr="00016FA4">
              <w:t>262</w:t>
            </w:r>
          </w:p>
        </w:tc>
        <w:tc>
          <w:tcPr>
            <w:tcW w:w="455" w:type="pct"/>
            <w:hideMark/>
          </w:tcPr>
          <w:p w:rsidR="00AE0B1A" w:rsidRPr="00016FA4" w:rsidRDefault="00AE0B1A" w:rsidP="00016FA4">
            <w:pPr>
              <w:pStyle w:val="Tabletextright"/>
            </w:pPr>
            <w:r w:rsidRPr="00016FA4">
              <w:t>280</w:t>
            </w:r>
          </w:p>
        </w:tc>
        <w:tc>
          <w:tcPr>
            <w:tcW w:w="455" w:type="pct"/>
            <w:hideMark/>
          </w:tcPr>
          <w:p w:rsidR="00AE0B1A" w:rsidRPr="00016FA4" w:rsidRDefault="00AE0B1A" w:rsidP="00016FA4">
            <w:pPr>
              <w:pStyle w:val="Tabletextright"/>
            </w:pPr>
            <w:r w:rsidRPr="00016FA4">
              <w:t>300</w:t>
            </w:r>
          </w:p>
        </w:tc>
        <w:tc>
          <w:tcPr>
            <w:tcW w:w="455" w:type="pct"/>
            <w:hideMark/>
          </w:tcPr>
          <w:p w:rsidR="00AE0B1A" w:rsidRPr="00016FA4" w:rsidRDefault="00AE0B1A" w:rsidP="00016FA4">
            <w:pPr>
              <w:pStyle w:val="Tabletextright"/>
            </w:pPr>
            <w:r w:rsidRPr="00016FA4">
              <w:t>315</w:t>
            </w:r>
          </w:p>
        </w:tc>
        <w:tc>
          <w:tcPr>
            <w:tcW w:w="455" w:type="pct"/>
            <w:hideMark/>
          </w:tcPr>
          <w:p w:rsidR="00AE0B1A" w:rsidRPr="00016FA4" w:rsidRDefault="00AE0B1A" w:rsidP="00016FA4">
            <w:pPr>
              <w:pStyle w:val="Tabletextright"/>
            </w:pPr>
            <w:r w:rsidRPr="00016FA4">
              <w:t>365</w:t>
            </w:r>
          </w:p>
        </w:tc>
        <w:tc>
          <w:tcPr>
            <w:tcW w:w="455" w:type="pct"/>
            <w:hideMark/>
          </w:tcPr>
          <w:p w:rsidR="00AE0B1A" w:rsidRPr="00016FA4" w:rsidRDefault="00AE0B1A" w:rsidP="00016FA4">
            <w:pPr>
              <w:pStyle w:val="Tabletextright"/>
            </w:pPr>
            <w:r w:rsidRPr="00016FA4">
              <w:t>395</w:t>
            </w:r>
          </w:p>
        </w:tc>
        <w:tc>
          <w:tcPr>
            <w:tcW w:w="455" w:type="pct"/>
            <w:hideMark/>
          </w:tcPr>
          <w:p w:rsidR="00AE0B1A" w:rsidRPr="00016FA4" w:rsidRDefault="00AE0B1A" w:rsidP="00016FA4">
            <w:pPr>
              <w:pStyle w:val="Tabletextright"/>
            </w:pPr>
            <w:r w:rsidRPr="00016FA4">
              <w:t>400</w:t>
            </w:r>
          </w:p>
        </w:tc>
        <w:tc>
          <w:tcPr>
            <w:tcW w:w="450" w:type="pct"/>
            <w:hideMark/>
          </w:tcPr>
          <w:p w:rsidR="00AE0B1A" w:rsidRPr="00016FA4" w:rsidRDefault="00AE0B1A" w:rsidP="00016FA4">
            <w:pPr>
              <w:pStyle w:val="Tabletextright"/>
            </w:pPr>
            <w:r w:rsidRPr="00016FA4">
              <w:t>465</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201</w:t>
            </w:r>
          </w:p>
        </w:tc>
        <w:tc>
          <w:tcPr>
            <w:tcW w:w="455" w:type="pct"/>
            <w:hideMark/>
          </w:tcPr>
          <w:p w:rsidR="00AE0B1A" w:rsidRPr="00016FA4" w:rsidRDefault="00AE0B1A" w:rsidP="00016FA4">
            <w:pPr>
              <w:pStyle w:val="Tabletextright"/>
            </w:pPr>
            <w:r w:rsidRPr="00016FA4">
              <w:t>269</w:t>
            </w:r>
          </w:p>
        </w:tc>
        <w:tc>
          <w:tcPr>
            <w:tcW w:w="455" w:type="pct"/>
            <w:hideMark/>
          </w:tcPr>
          <w:p w:rsidR="00AE0B1A" w:rsidRPr="00016FA4" w:rsidRDefault="00AE0B1A" w:rsidP="00016FA4">
            <w:pPr>
              <w:pStyle w:val="Tabletextright"/>
            </w:pPr>
            <w:r w:rsidRPr="00016FA4">
              <w:t>289</w:t>
            </w:r>
          </w:p>
        </w:tc>
        <w:tc>
          <w:tcPr>
            <w:tcW w:w="455" w:type="pct"/>
            <w:hideMark/>
          </w:tcPr>
          <w:p w:rsidR="00AE0B1A" w:rsidRPr="00016FA4" w:rsidRDefault="00AE0B1A" w:rsidP="00016FA4">
            <w:pPr>
              <w:pStyle w:val="Tabletextright"/>
            </w:pPr>
            <w:r w:rsidRPr="00016FA4">
              <w:t>309</w:t>
            </w:r>
          </w:p>
        </w:tc>
        <w:tc>
          <w:tcPr>
            <w:tcW w:w="455" w:type="pct"/>
            <w:hideMark/>
          </w:tcPr>
          <w:p w:rsidR="00AE0B1A" w:rsidRPr="00016FA4" w:rsidRDefault="00AE0B1A" w:rsidP="00016FA4">
            <w:pPr>
              <w:pStyle w:val="Tabletextright"/>
            </w:pPr>
            <w:r w:rsidRPr="00016FA4">
              <w:t>324</w:t>
            </w:r>
          </w:p>
        </w:tc>
        <w:tc>
          <w:tcPr>
            <w:tcW w:w="455" w:type="pct"/>
            <w:hideMark/>
          </w:tcPr>
          <w:p w:rsidR="00AE0B1A" w:rsidRPr="00016FA4" w:rsidRDefault="00AE0B1A" w:rsidP="00016FA4">
            <w:pPr>
              <w:pStyle w:val="Tabletextright"/>
            </w:pPr>
            <w:r w:rsidRPr="00016FA4">
              <w:t>370</w:t>
            </w:r>
          </w:p>
        </w:tc>
        <w:tc>
          <w:tcPr>
            <w:tcW w:w="455" w:type="pct"/>
            <w:hideMark/>
          </w:tcPr>
          <w:p w:rsidR="00AE0B1A" w:rsidRPr="00016FA4" w:rsidRDefault="00AE0B1A" w:rsidP="00016FA4">
            <w:pPr>
              <w:pStyle w:val="Tabletextright"/>
            </w:pPr>
            <w:r w:rsidRPr="00016FA4">
              <w:t>396</w:t>
            </w:r>
          </w:p>
        </w:tc>
        <w:tc>
          <w:tcPr>
            <w:tcW w:w="455" w:type="pct"/>
            <w:hideMark/>
          </w:tcPr>
          <w:p w:rsidR="00AE0B1A" w:rsidRPr="00016FA4" w:rsidRDefault="00AE0B1A" w:rsidP="00016FA4">
            <w:pPr>
              <w:pStyle w:val="Tabletextright"/>
            </w:pPr>
            <w:r w:rsidRPr="00016FA4">
              <w:t>400</w:t>
            </w:r>
          </w:p>
        </w:tc>
        <w:tc>
          <w:tcPr>
            <w:tcW w:w="450" w:type="pct"/>
            <w:hideMark/>
          </w:tcPr>
          <w:p w:rsidR="00AE0B1A" w:rsidRPr="00016FA4" w:rsidRDefault="00AE0B1A" w:rsidP="00016FA4">
            <w:pPr>
              <w:pStyle w:val="Tabletextright"/>
            </w:pPr>
            <w:r w:rsidRPr="00016FA4">
              <w:t>456</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Curlew 1</w:t>
            </w:r>
          </w:p>
        </w:tc>
        <w:tc>
          <w:tcPr>
            <w:tcW w:w="418" w:type="pct"/>
            <w:noWrap/>
            <w:hideMark/>
          </w:tcPr>
          <w:p w:rsidR="00AE0B1A" w:rsidRPr="00016FA4" w:rsidRDefault="00AE0B1A" w:rsidP="00016FA4">
            <w:pPr>
              <w:pStyle w:val="Tabletextleft"/>
            </w:pPr>
            <w:proofErr w:type="spellStart"/>
            <w:r w:rsidRPr="00016FA4">
              <w:t>mKB</w:t>
            </w:r>
            <w:proofErr w:type="spellEnd"/>
          </w:p>
        </w:tc>
        <w:tc>
          <w:tcPr>
            <w:tcW w:w="402" w:type="pct"/>
            <w:hideMark/>
          </w:tcPr>
          <w:p w:rsidR="00AE0B1A" w:rsidRPr="00016FA4" w:rsidRDefault="00AE0B1A" w:rsidP="00016FA4">
            <w:pPr>
              <w:pStyle w:val="Tabletextright"/>
            </w:pPr>
            <w:r w:rsidRPr="00016FA4">
              <w:t>325</w:t>
            </w:r>
          </w:p>
        </w:tc>
        <w:tc>
          <w:tcPr>
            <w:tcW w:w="455" w:type="pct"/>
            <w:hideMark/>
          </w:tcPr>
          <w:p w:rsidR="00AE0B1A" w:rsidRPr="00016FA4" w:rsidRDefault="00AE0B1A" w:rsidP="00016FA4">
            <w:pPr>
              <w:pStyle w:val="Tabletextright"/>
            </w:pPr>
            <w:r w:rsidRPr="00016FA4">
              <w:t>771</w:t>
            </w:r>
          </w:p>
        </w:tc>
        <w:tc>
          <w:tcPr>
            <w:tcW w:w="455" w:type="pct"/>
            <w:hideMark/>
          </w:tcPr>
          <w:p w:rsidR="00AE0B1A" w:rsidRPr="00016FA4" w:rsidRDefault="00AE0B1A" w:rsidP="00016FA4">
            <w:pPr>
              <w:pStyle w:val="Tabletextright"/>
            </w:pPr>
            <w:r w:rsidRPr="00016FA4">
              <w:t>1686</w:t>
            </w:r>
          </w:p>
        </w:tc>
        <w:tc>
          <w:tcPr>
            <w:tcW w:w="455" w:type="pct"/>
            <w:hideMark/>
          </w:tcPr>
          <w:p w:rsidR="00AE0B1A" w:rsidRPr="00016FA4" w:rsidRDefault="00AE0B1A" w:rsidP="00016FA4">
            <w:pPr>
              <w:pStyle w:val="Tabletextright"/>
            </w:pPr>
            <w:r w:rsidRPr="00016FA4">
              <w:t>1705</w:t>
            </w:r>
          </w:p>
        </w:tc>
        <w:tc>
          <w:tcPr>
            <w:tcW w:w="455" w:type="pct"/>
            <w:hideMark/>
          </w:tcPr>
          <w:p w:rsidR="00AE0B1A" w:rsidRPr="00016FA4" w:rsidRDefault="00AE0B1A" w:rsidP="00016FA4">
            <w:pPr>
              <w:pStyle w:val="Tabletextright"/>
            </w:pPr>
            <w:r w:rsidRPr="00016FA4">
              <w:t>1730</w:t>
            </w:r>
          </w:p>
        </w:tc>
        <w:tc>
          <w:tcPr>
            <w:tcW w:w="455" w:type="pct"/>
            <w:hideMark/>
          </w:tcPr>
          <w:p w:rsidR="00AE0B1A" w:rsidRPr="00016FA4" w:rsidRDefault="00AE0B1A" w:rsidP="00016FA4">
            <w:pPr>
              <w:pStyle w:val="Tabletextright"/>
            </w:pPr>
            <w:r w:rsidRPr="00016FA4">
              <w:t>1910</w:t>
            </w:r>
          </w:p>
        </w:tc>
        <w:tc>
          <w:tcPr>
            <w:tcW w:w="455" w:type="pct"/>
            <w:hideMark/>
          </w:tcPr>
          <w:p w:rsidR="00AE0B1A" w:rsidRPr="00016FA4" w:rsidRDefault="00AE0B1A" w:rsidP="00016FA4">
            <w:pPr>
              <w:pStyle w:val="Tabletextright"/>
            </w:pPr>
            <w:r w:rsidRPr="00016FA4">
              <w:t>1950</w:t>
            </w:r>
          </w:p>
        </w:tc>
        <w:tc>
          <w:tcPr>
            <w:tcW w:w="455" w:type="pct"/>
            <w:hideMark/>
          </w:tcPr>
          <w:p w:rsidR="00AE0B1A" w:rsidRPr="00016FA4" w:rsidRDefault="00AE0B1A" w:rsidP="00016FA4">
            <w:pPr>
              <w:pStyle w:val="Tabletextright"/>
            </w:pPr>
            <w:r w:rsidRPr="00016FA4">
              <w:t>2001</w:t>
            </w:r>
          </w:p>
        </w:tc>
        <w:tc>
          <w:tcPr>
            <w:tcW w:w="450" w:type="pct"/>
            <w:noWrap/>
            <w:hideMark/>
          </w:tcPr>
          <w:p w:rsidR="00AE0B1A" w:rsidRPr="00016FA4" w:rsidRDefault="00AE0B1A" w:rsidP="00016FA4">
            <w:pPr>
              <w:pStyle w:val="Tabletextright"/>
            </w:pPr>
            <w:r w:rsidRPr="00016FA4">
              <w:t>n/a</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325</w:t>
            </w:r>
          </w:p>
        </w:tc>
        <w:tc>
          <w:tcPr>
            <w:tcW w:w="455" w:type="pct"/>
            <w:hideMark/>
          </w:tcPr>
          <w:p w:rsidR="00AE0B1A" w:rsidRPr="00016FA4" w:rsidRDefault="00AE0B1A" w:rsidP="00016FA4">
            <w:pPr>
              <w:pStyle w:val="Tabletextright"/>
            </w:pPr>
            <w:r w:rsidRPr="00016FA4">
              <w:t>744</w:t>
            </w:r>
          </w:p>
        </w:tc>
        <w:tc>
          <w:tcPr>
            <w:tcW w:w="455" w:type="pct"/>
            <w:hideMark/>
          </w:tcPr>
          <w:p w:rsidR="00AE0B1A" w:rsidRPr="00016FA4" w:rsidRDefault="00AE0B1A" w:rsidP="00016FA4">
            <w:pPr>
              <w:pStyle w:val="Tabletextright"/>
            </w:pPr>
            <w:r w:rsidRPr="00016FA4">
              <w:t>1444</w:t>
            </w:r>
          </w:p>
        </w:tc>
        <w:tc>
          <w:tcPr>
            <w:tcW w:w="455" w:type="pct"/>
            <w:hideMark/>
          </w:tcPr>
          <w:p w:rsidR="00AE0B1A" w:rsidRPr="00016FA4" w:rsidRDefault="00AE0B1A" w:rsidP="00016FA4">
            <w:pPr>
              <w:pStyle w:val="Tabletextright"/>
            </w:pPr>
            <w:r w:rsidRPr="00016FA4">
              <w:t>1456</w:t>
            </w:r>
          </w:p>
        </w:tc>
        <w:tc>
          <w:tcPr>
            <w:tcW w:w="455" w:type="pct"/>
            <w:hideMark/>
          </w:tcPr>
          <w:p w:rsidR="00AE0B1A" w:rsidRPr="00016FA4" w:rsidRDefault="00AE0B1A" w:rsidP="00016FA4">
            <w:pPr>
              <w:pStyle w:val="Tabletextright"/>
            </w:pPr>
            <w:r w:rsidRPr="00016FA4">
              <w:t>1470</w:t>
            </w:r>
          </w:p>
        </w:tc>
        <w:tc>
          <w:tcPr>
            <w:tcW w:w="455" w:type="pct"/>
            <w:hideMark/>
          </w:tcPr>
          <w:p w:rsidR="00AE0B1A" w:rsidRPr="00016FA4" w:rsidRDefault="00AE0B1A" w:rsidP="00016FA4">
            <w:pPr>
              <w:pStyle w:val="Tabletextright"/>
            </w:pPr>
            <w:r w:rsidRPr="00016FA4">
              <w:t>1561</w:t>
            </w:r>
          </w:p>
        </w:tc>
        <w:tc>
          <w:tcPr>
            <w:tcW w:w="455" w:type="pct"/>
            <w:hideMark/>
          </w:tcPr>
          <w:p w:rsidR="00AE0B1A" w:rsidRPr="00016FA4" w:rsidRDefault="00AE0B1A" w:rsidP="00016FA4">
            <w:pPr>
              <w:pStyle w:val="Tabletextright"/>
            </w:pPr>
            <w:r w:rsidRPr="00016FA4">
              <w:t>1580</w:t>
            </w:r>
          </w:p>
        </w:tc>
        <w:tc>
          <w:tcPr>
            <w:tcW w:w="455" w:type="pct"/>
            <w:hideMark/>
          </w:tcPr>
          <w:p w:rsidR="00AE0B1A" w:rsidRPr="00016FA4" w:rsidRDefault="00AE0B1A" w:rsidP="00016FA4">
            <w:pPr>
              <w:pStyle w:val="Tabletextright"/>
            </w:pPr>
            <w:r w:rsidRPr="00016FA4">
              <w:t>1603</w:t>
            </w:r>
          </w:p>
        </w:tc>
        <w:tc>
          <w:tcPr>
            <w:tcW w:w="450" w:type="pct"/>
            <w:noWrap/>
            <w:hideMark/>
          </w:tcPr>
          <w:p w:rsidR="00AE0B1A" w:rsidRPr="00016FA4" w:rsidRDefault="00AE0B1A" w:rsidP="00016FA4">
            <w:pPr>
              <w:pStyle w:val="Tabletextright"/>
            </w:pPr>
            <w:r w:rsidRPr="00016FA4">
              <w:t>n/a</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proofErr w:type="spellStart"/>
            <w:r w:rsidRPr="00016FA4">
              <w:t>Fishburn</w:t>
            </w:r>
            <w:proofErr w:type="spellEnd"/>
            <w:r w:rsidRPr="00016FA4">
              <w:t xml:space="preserve"> 1</w:t>
            </w:r>
          </w:p>
        </w:tc>
        <w:tc>
          <w:tcPr>
            <w:tcW w:w="418" w:type="pct"/>
            <w:noWrap/>
            <w:hideMark/>
          </w:tcPr>
          <w:p w:rsidR="00AE0B1A" w:rsidRPr="00016FA4" w:rsidRDefault="00AE0B1A" w:rsidP="00016FA4">
            <w:pPr>
              <w:pStyle w:val="Tabletextleft"/>
            </w:pPr>
            <w:proofErr w:type="spellStart"/>
            <w:r w:rsidRPr="00016FA4">
              <w:t>mKB</w:t>
            </w:r>
            <w:proofErr w:type="spellEnd"/>
          </w:p>
        </w:tc>
        <w:tc>
          <w:tcPr>
            <w:tcW w:w="402" w:type="pct"/>
            <w:hideMark/>
          </w:tcPr>
          <w:p w:rsidR="00AE0B1A" w:rsidRPr="00016FA4" w:rsidRDefault="00AE0B1A" w:rsidP="00016FA4">
            <w:pPr>
              <w:pStyle w:val="Tabletextright"/>
            </w:pPr>
            <w:r w:rsidRPr="00016FA4">
              <w:t>385</w:t>
            </w:r>
          </w:p>
        </w:tc>
        <w:tc>
          <w:tcPr>
            <w:tcW w:w="455" w:type="pct"/>
            <w:hideMark/>
          </w:tcPr>
          <w:p w:rsidR="00AE0B1A" w:rsidRPr="00016FA4" w:rsidRDefault="00AE0B1A" w:rsidP="00016FA4">
            <w:pPr>
              <w:pStyle w:val="Tabletextright"/>
            </w:pPr>
            <w:r w:rsidRPr="00016FA4">
              <w:t>494</w:t>
            </w:r>
          </w:p>
        </w:tc>
        <w:tc>
          <w:tcPr>
            <w:tcW w:w="455" w:type="pct"/>
            <w:hideMark/>
          </w:tcPr>
          <w:p w:rsidR="00AE0B1A" w:rsidRPr="00016FA4" w:rsidRDefault="00AE0B1A" w:rsidP="00016FA4">
            <w:pPr>
              <w:pStyle w:val="Tabletextright"/>
            </w:pPr>
            <w:r w:rsidRPr="00016FA4">
              <w:t>1175</w:t>
            </w:r>
          </w:p>
        </w:tc>
        <w:tc>
          <w:tcPr>
            <w:tcW w:w="455" w:type="pct"/>
            <w:hideMark/>
          </w:tcPr>
          <w:p w:rsidR="00AE0B1A" w:rsidRPr="00016FA4" w:rsidRDefault="00AE0B1A" w:rsidP="00016FA4">
            <w:pPr>
              <w:pStyle w:val="Tabletextright"/>
            </w:pPr>
            <w:r w:rsidRPr="00016FA4">
              <w:t>1175</w:t>
            </w:r>
          </w:p>
        </w:tc>
        <w:tc>
          <w:tcPr>
            <w:tcW w:w="455" w:type="pct"/>
            <w:hideMark/>
          </w:tcPr>
          <w:p w:rsidR="00AE0B1A" w:rsidRPr="00016FA4" w:rsidRDefault="00AE0B1A" w:rsidP="00016FA4">
            <w:pPr>
              <w:pStyle w:val="Tabletextright"/>
            </w:pPr>
            <w:r w:rsidRPr="00016FA4">
              <w:t>1190</w:t>
            </w:r>
          </w:p>
        </w:tc>
        <w:tc>
          <w:tcPr>
            <w:tcW w:w="455" w:type="pct"/>
            <w:hideMark/>
          </w:tcPr>
          <w:p w:rsidR="00AE0B1A" w:rsidRPr="00016FA4" w:rsidRDefault="00AE0B1A" w:rsidP="00016FA4">
            <w:pPr>
              <w:pStyle w:val="Tabletextright"/>
            </w:pPr>
            <w:r w:rsidRPr="00016FA4">
              <w:t>1340</w:t>
            </w:r>
          </w:p>
        </w:tc>
        <w:tc>
          <w:tcPr>
            <w:tcW w:w="455" w:type="pct"/>
            <w:hideMark/>
          </w:tcPr>
          <w:p w:rsidR="00AE0B1A" w:rsidRPr="00016FA4" w:rsidRDefault="00AE0B1A" w:rsidP="00016FA4">
            <w:pPr>
              <w:pStyle w:val="Tabletextright"/>
            </w:pPr>
            <w:r w:rsidRPr="00016FA4">
              <w:t>1510</w:t>
            </w:r>
          </w:p>
        </w:tc>
        <w:tc>
          <w:tcPr>
            <w:tcW w:w="455" w:type="pct"/>
            <w:hideMark/>
          </w:tcPr>
          <w:p w:rsidR="00AE0B1A" w:rsidRPr="00016FA4" w:rsidRDefault="00AE0B1A" w:rsidP="00016FA4">
            <w:pPr>
              <w:pStyle w:val="Tabletextright"/>
            </w:pPr>
            <w:r w:rsidRPr="00016FA4">
              <w:t>1575</w:t>
            </w:r>
          </w:p>
        </w:tc>
        <w:tc>
          <w:tcPr>
            <w:tcW w:w="450" w:type="pct"/>
            <w:hideMark/>
          </w:tcPr>
          <w:p w:rsidR="00AE0B1A" w:rsidRPr="00016FA4" w:rsidRDefault="00AE0B1A" w:rsidP="00016FA4">
            <w:pPr>
              <w:pStyle w:val="Tabletextright"/>
            </w:pPr>
            <w:r w:rsidRPr="00016FA4">
              <w:t>1895</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363</w:t>
            </w:r>
          </w:p>
        </w:tc>
        <w:tc>
          <w:tcPr>
            <w:tcW w:w="455" w:type="pct"/>
            <w:hideMark/>
          </w:tcPr>
          <w:p w:rsidR="00AE0B1A" w:rsidRPr="00016FA4" w:rsidRDefault="00AE0B1A" w:rsidP="00016FA4">
            <w:pPr>
              <w:pStyle w:val="Tabletextright"/>
            </w:pPr>
            <w:r w:rsidRPr="00016FA4">
              <w:t>467</w:t>
            </w:r>
          </w:p>
        </w:tc>
        <w:tc>
          <w:tcPr>
            <w:tcW w:w="455" w:type="pct"/>
            <w:hideMark/>
          </w:tcPr>
          <w:p w:rsidR="00AE0B1A" w:rsidRPr="00016FA4" w:rsidRDefault="00AE0B1A" w:rsidP="00016FA4">
            <w:pPr>
              <w:pStyle w:val="Tabletextright"/>
            </w:pPr>
            <w:r w:rsidRPr="00016FA4">
              <w:t>1089</w:t>
            </w:r>
          </w:p>
        </w:tc>
        <w:tc>
          <w:tcPr>
            <w:tcW w:w="455" w:type="pct"/>
            <w:hideMark/>
          </w:tcPr>
          <w:p w:rsidR="00AE0B1A" w:rsidRPr="00016FA4" w:rsidRDefault="00AE0B1A" w:rsidP="00016FA4">
            <w:pPr>
              <w:pStyle w:val="Tabletextright"/>
            </w:pPr>
            <w:r w:rsidRPr="00016FA4">
              <w:t>1089</w:t>
            </w:r>
          </w:p>
        </w:tc>
        <w:tc>
          <w:tcPr>
            <w:tcW w:w="455" w:type="pct"/>
            <w:hideMark/>
          </w:tcPr>
          <w:p w:rsidR="00AE0B1A" w:rsidRPr="00016FA4" w:rsidRDefault="00AE0B1A" w:rsidP="00016FA4">
            <w:pPr>
              <w:pStyle w:val="Tabletextright"/>
            </w:pPr>
            <w:r w:rsidRPr="00016FA4">
              <w:t>1099</w:t>
            </w:r>
          </w:p>
        </w:tc>
        <w:tc>
          <w:tcPr>
            <w:tcW w:w="455" w:type="pct"/>
            <w:hideMark/>
          </w:tcPr>
          <w:p w:rsidR="00AE0B1A" w:rsidRPr="00016FA4" w:rsidRDefault="00AE0B1A" w:rsidP="00016FA4">
            <w:pPr>
              <w:pStyle w:val="Tabletextright"/>
            </w:pPr>
            <w:r w:rsidRPr="00016FA4">
              <w:t>1188</w:t>
            </w:r>
          </w:p>
        </w:tc>
        <w:tc>
          <w:tcPr>
            <w:tcW w:w="455" w:type="pct"/>
            <w:hideMark/>
          </w:tcPr>
          <w:p w:rsidR="00AE0B1A" w:rsidRPr="00016FA4" w:rsidRDefault="00AE0B1A" w:rsidP="00016FA4">
            <w:pPr>
              <w:pStyle w:val="Tabletextright"/>
            </w:pPr>
            <w:r w:rsidRPr="00016FA4">
              <w:t>1294</w:t>
            </w:r>
          </w:p>
        </w:tc>
        <w:tc>
          <w:tcPr>
            <w:tcW w:w="455" w:type="pct"/>
            <w:hideMark/>
          </w:tcPr>
          <w:p w:rsidR="00AE0B1A" w:rsidRPr="00016FA4" w:rsidRDefault="00AE0B1A" w:rsidP="00016FA4">
            <w:pPr>
              <w:pStyle w:val="Tabletextright"/>
            </w:pPr>
            <w:r w:rsidRPr="00016FA4">
              <w:t>1331</w:t>
            </w:r>
          </w:p>
        </w:tc>
        <w:tc>
          <w:tcPr>
            <w:tcW w:w="450" w:type="pct"/>
            <w:hideMark/>
          </w:tcPr>
          <w:p w:rsidR="00AE0B1A" w:rsidRPr="00016FA4" w:rsidRDefault="00AE0B1A" w:rsidP="00016FA4">
            <w:pPr>
              <w:pStyle w:val="Tabletextright"/>
            </w:pPr>
            <w:r w:rsidRPr="00016FA4">
              <w:t>1494</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Flat Top 1</w:t>
            </w:r>
          </w:p>
        </w:tc>
        <w:tc>
          <w:tcPr>
            <w:tcW w:w="418" w:type="pct"/>
            <w:hideMark/>
          </w:tcPr>
          <w:p w:rsidR="00AE0B1A" w:rsidRPr="00016FA4" w:rsidRDefault="00AE0B1A" w:rsidP="00016FA4">
            <w:pPr>
              <w:pStyle w:val="Tabletextleft"/>
            </w:pPr>
            <w:proofErr w:type="spellStart"/>
            <w:r w:rsidRPr="00016FA4">
              <w:t>mRT</w:t>
            </w:r>
            <w:proofErr w:type="spellEnd"/>
          </w:p>
        </w:tc>
        <w:tc>
          <w:tcPr>
            <w:tcW w:w="402" w:type="pct"/>
            <w:hideMark/>
          </w:tcPr>
          <w:p w:rsidR="00AE0B1A" w:rsidRPr="00016FA4" w:rsidRDefault="00AE0B1A" w:rsidP="00016FA4">
            <w:pPr>
              <w:pStyle w:val="Tabletextright"/>
            </w:pPr>
            <w:r w:rsidRPr="00016FA4">
              <w:t>146</w:t>
            </w:r>
          </w:p>
        </w:tc>
        <w:tc>
          <w:tcPr>
            <w:tcW w:w="455" w:type="pct"/>
            <w:hideMark/>
          </w:tcPr>
          <w:p w:rsidR="00AE0B1A" w:rsidRPr="00016FA4" w:rsidRDefault="00AE0B1A" w:rsidP="00016FA4">
            <w:pPr>
              <w:pStyle w:val="Tabletextright"/>
            </w:pPr>
            <w:r w:rsidRPr="00016FA4">
              <w:t>272</w:t>
            </w:r>
          </w:p>
        </w:tc>
        <w:tc>
          <w:tcPr>
            <w:tcW w:w="455" w:type="pct"/>
            <w:hideMark/>
          </w:tcPr>
          <w:p w:rsidR="00AE0B1A" w:rsidRPr="00016FA4" w:rsidRDefault="00AE0B1A" w:rsidP="00016FA4">
            <w:pPr>
              <w:pStyle w:val="Tabletextright"/>
            </w:pPr>
            <w:r w:rsidRPr="00016FA4">
              <w:t>725</w:t>
            </w:r>
          </w:p>
        </w:tc>
        <w:tc>
          <w:tcPr>
            <w:tcW w:w="455" w:type="pct"/>
            <w:hideMark/>
          </w:tcPr>
          <w:p w:rsidR="00AE0B1A" w:rsidRPr="00016FA4" w:rsidRDefault="00AE0B1A" w:rsidP="00016FA4">
            <w:pPr>
              <w:pStyle w:val="Tabletextright"/>
            </w:pPr>
            <w:r w:rsidRPr="00016FA4">
              <w:t>740</w:t>
            </w:r>
          </w:p>
        </w:tc>
        <w:tc>
          <w:tcPr>
            <w:tcW w:w="455" w:type="pct"/>
            <w:hideMark/>
          </w:tcPr>
          <w:p w:rsidR="00AE0B1A" w:rsidRPr="00016FA4" w:rsidRDefault="00AE0B1A" w:rsidP="00016FA4">
            <w:pPr>
              <w:pStyle w:val="Tabletextright"/>
            </w:pPr>
            <w:r w:rsidRPr="00016FA4">
              <w:t>784</w:t>
            </w:r>
          </w:p>
        </w:tc>
        <w:tc>
          <w:tcPr>
            <w:tcW w:w="455" w:type="pct"/>
            <w:hideMark/>
          </w:tcPr>
          <w:p w:rsidR="00AE0B1A" w:rsidRPr="00016FA4" w:rsidRDefault="00AE0B1A" w:rsidP="00016FA4">
            <w:pPr>
              <w:pStyle w:val="Tabletextright"/>
            </w:pPr>
            <w:r w:rsidRPr="00016FA4">
              <w:t>790</w:t>
            </w:r>
          </w:p>
        </w:tc>
        <w:tc>
          <w:tcPr>
            <w:tcW w:w="455" w:type="pct"/>
            <w:hideMark/>
          </w:tcPr>
          <w:p w:rsidR="00AE0B1A" w:rsidRPr="00016FA4" w:rsidRDefault="00AE0B1A" w:rsidP="00016FA4">
            <w:pPr>
              <w:pStyle w:val="Tabletextright"/>
            </w:pPr>
            <w:r w:rsidRPr="00016FA4">
              <w:t>813</w:t>
            </w:r>
          </w:p>
        </w:tc>
        <w:tc>
          <w:tcPr>
            <w:tcW w:w="455" w:type="pct"/>
            <w:hideMark/>
          </w:tcPr>
          <w:p w:rsidR="00AE0B1A" w:rsidRPr="00016FA4" w:rsidRDefault="00AE0B1A" w:rsidP="00016FA4">
            <w:pPr>
              <w:pStyle w:val="Tabletextright"/>
            </w:pPr>
            <w:r w:rsidRPr="00016FA4">
              <w:t>826</w:t>
            </w:r>
          </w:p>
        </w:tc>
        <w:tc>
          <w:tcPr>
            <w:tcW w:w="450" w:type="pct"/>
            <w:hideMark/>
          </w:tcPr>
          <w:p w:rsidR="00AE0B1A" w:rsidRPr="00016FA4" w:rsidRDefault="00AE0B1A" w:rsidP="00016FA4">
            <w:pPr>
              <w:pStyle w:val="Tabletextright"/>
            </w:pPr>
            <w:r w:rsidRPr="00016FA4">
              <w:t>985</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148</w:t>
            </w:r>
          </w:p>
        </w:tc>
        <w:tc>
          <w:tcPr>
            <w:tcW w:w="455" w:type="pct"/>
            <w:hideMark/>
          </w:tcPr>
          <w:p w:rsidR="00AE0B1A" w:rsidRPr="00016FA4" w:rsidRDefault="00AE0B1A" w:rsidP="00016FA4">
            <w:pPr>
              <w:pStyle w:val="Tabletextright"/>
            </w:pPr>
            <w:r w:rsidRPr="00016FA4">
              <w:t>283</w:t>
            </w:r>
          </w:p>
        </w:tc>
        <w:tc>
          <w:tcPr>
            <w:tcW w:w="455" w:type="pct"/>
            <w:hideMark/>
          </w:tcPr>
          <w:p w:rsidR="00AE0B1A" w:rsidRPr="00016FA4" w:rsidRDefault="00AE0B1A" w:rsidP="00016FA4">
            <w:pPr>
              <w:pStyle w:val="Tabletextright"/>
            </w:pPr>
            <w:r w:rsidRPr="00016FA4">
              <w:t>716</w:t>
            </w:r>
          </w:p>
        </w:tc>
        <w:tc>
          <w:tcPr>
            <w:tcW w:w="455" w:type="pct"/>
            <w:hideMark/>
          </w:tcPr>
          <w:p w:rsidR="00AE0B1A" w:rsidRPr="00016FA4" w:rsidRDefault="00AE0B1A" w:rsidP="00016FA4">
            <w:pPr>
              <w:pStyle w:val="Tabletextright"/>
            </w:pPr>
            <w:r w:rsidRPr="00016FA4">
              <w:t>729</w:t>
            </w:r>
          </w:p>
        </w:tc>
        <w:tc>
          <w:tcPr>
            <w:tcW w:w="455" w:type="pct"/>
            <w:hideMark/>
          </w:tcPr>
          <w:p w:rsidR="00AE0B1A" w:rsidRPr="00016FA4" w:rsidRDefault="00AE0B1A" w:rsidP="00016FA4">
            <w:pPr>
              <w:pStyle w:val="Tabletextright"/>
            </w:pPr>
            <w:r w:rsidRPr="00016FA4">
              <w:t>758</w:t>
            </w:r>
          </w:p>
        </w:tc>
        <w:tc>
          <w:tcPr>
            <w:tcW w:w="455" w:type="pct"/>
            <w:hideMark/>
          </w:tcPr>
          <w:p w:rsidR="00AE0B1A" w:rsidRPr="00016FA4" w:rsidRDefault="00AE0B1A" w:rsidP="00016FA4">
            <w:pPr>
              <w:pStyle w:val="Tabletextright"/>
            </w:pPr>
            <w:r w:rsidRPr="00016FA4">
              <w:t>762</w:t>
            </w:r>
          </w:p>
        </w:tc>
        <w:tc>
          <w:tcPr>
            <w:tcW w:w="455" w:type="pct"/>
            <w:hideMark/>
          </w:tcPr>
          <w:p w:rsidR="00AE0B1A" w:rsidRPr="00016FA4" w:rsidRDefault="00AE0B1A" w:rsidP="00016FA4">
            <w:pPr>
              <w:pStyle w:val="Tabletextright"/>
            </w:pPr>
            <w:r w:rsidRPr="00016FA4">
              <w:t>779</w:t>
            </w:r>
          </w:p>
        </w:tc>
        <w:tc>
          <w:tcPr>
            <w:tcW w:w="455" w:type="pct"/>
            <w:hideMark/>
          </w:tcPr>
          <w:p w:rsidR="00AE0B1A" w:rsidRPr="00016FA4" w:rsidRDefault="00AE0B1A" w:rsidP="00016FA4">
            <w:pPr>
              <w:pStyle w:val="Tabletextright"/>
            </w:pPr>
            <w:r w:rsidRPr="00016FA4">
              <w:t>787</w:t>
            </w:r>
          </w:p>
        </w:tc>
        <w:tc>
          <w:tcPr>
            <w:tcW w:w="450" w:type="pct"/>
            <w:hideMark/>
          </w:tcPr>
          <w:p w:rsidR="00AE0B1A" w:rsidRPr="00016FA4" w:rsidRDefault="00AE0B1A" w:rsidP="00016FA4">
            <w:pPr>
              <w:pStyle w:val="Tabletextright"/>
            </w:pPr>
            <w:r w:rsidRPr="00016FA4">
              <w:t>890</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Frigate 1</w:t>
            </w:r>
          </w:p>
        </w:tc>
        <w:tc>
          <w:tcPr>
            <w:tcW w:w="418" w:type="pct"/>
            <w:noWrap/>
            <w:hideMark/>
          </w:tcPr>
          <w:p w:rsidR="00AE0B1A" w:rsidRPr="00016FA4" w:rsidRDefault="00AE0B1A" w:rsidP="00016FA4">
            <w:pPr>
              <w:pStyle w:val="Tabletextleft"/>
            </w:pPr>
            <w:proofErr w:type="spellStart"/>
            <w:r w:rsidRPr="00016FA4">
              <w:t>mKB</w:t>
            </w:r>
            <w:proofErr w:type="spellEnd"/>
          </w:p>
        </w:tc>
        <w:tc>
          <w:tcPr>
            <w:tcW w:w="402" w:type="pct"/>
            <w:hideMark/>
          </w:tcPr>
          <w:p w:rsidR="00AE0B1A" w:rsidRPr="00016FA4" w:rsidRDefault="00AE0B1A" w:rsidP="00016FA4">
            <w:pPr>
              <w:pStyle w:val="Tabletextright"/>
            </w:pPr>
            <w:r w:rsidRPr="00016FA4">
              <w:t>309</w:t>
            </w:r>
          </w:p>
        </w:tc>
        <w:tc>
          <w:tcPr>
            <w:tcW w:w="455" w:type="pct"/>
            <w:hideMark/>
          </w:tcPr>
          <w:p w:rsidR="00AE0B1A" w:rsidRPr="00016FA4" w:rsidRDefault="00AE0B1A" w:rsidP="00016FA4">
            <w:pPr>
              <w:pStyle w:val="Tabletextright"/>
            </w:pPr>
            <w:r w:rsidRPr="00016FA4">
              <w:t>390</w:t>
            </w:r>
          </w:p>
        </w:tc>
        <w:tc>
          <w:tcPr>
            <w:tcW w:w="455" w:type="pct"/>
            <w:hideMark/>
          </w:tcPr>
          <w:p w:rsidR="00AE0B1A" w:rsidRPr="00016FA4" w:rsidRDefault="00AE0B1A" w:rsidP="00016FA4">
            <w:pPr>
              <w:pStyle w:val="Tabletextright"/>
            </w:pPr>
            <w:r w:rsidRPr="00016FA4">
              <w:t>975</w:t>
            </w:r>
          </w:p>
        </w:tc>
        <w:tc>
          <w:tcPr>
            <w:tcW w:w="455" w:type="pct"/>
            <w:hideMark/>
          </w:tcPr>
          <w:p w:rsidR="00AE0B1A" w:rsidRPr="00016FA4" w:rsidRDefault="00AE0B1A" w:rsidP="00016FA4">
            <w:pPr>
              <w:pStyle w:val="Tabletextright"/>
            </w:pPr>
            <w:r w:rsidRPr="00016FA4">
              <w:t>1000</w:t>
            </w:r>
          </w:p>
        </w:tc>
        <w:tc>
          <w:tcPr>
            <w:tcW w:w="455" w:type="pct"/>
            <w:hideMark/>
          </w:tcPr>
          <w:p w:rsidR="00AE0B1A" w:rsidRPr="00016FA4" w:rsidRDefault="00AE0B1A" w:rsidP="00016FA4">
            <w:pPr>
              <w:pStyle w:val="Tabletextright"/>
            </w:pPr>
            <w:r w:rsidRPr="00016FA4">
              <w:t>1005</w:t>
            </w:r>
          </w:p>
        </w:tc>
        <w:tc>
          <w:tcPr>
            <w:tcW w:w="455" w:type="pct"/>
            <w:hideMark/>
          </w:tcPr>
          <w:p w:rsidR="00AE0B1A" w:rsidRPr="00016FA4" w:rsidRDefault="00AE0B1A" w:rsidP="00016FA4">
            <w:pPr>
              <w:pStyle w:val="Tabletextright"/>
            </w:pPr>
            <w:r w:rsidRPr="00016FA4">
              <w:t>1120</w:t>
            </w:r>
          </w:p>
        </w:tc>
        <w:tc>
          <w:tcPr>
            <w:tcW w:w="455" w:type="pct"/>
            <w:hideMark/>
          </w:tcPr>
          <w:p w:rsidR="00AE0B1A" w:rsidRPr="00016FA4" w:rsidRDefault="00AE0B1A" w:rsidP="00016FA4">
            <w:pPr>
              <w:pStyle w:val="Tabletextright"/>
            </w:pPr>
            <w:r w:rsidRPr="00016FA4">
              <w:t>1230</w:t>
            </w:r>
          </w:p>
        </w:tc>
        <w:tc>
          <w:tcPr>
            <w:tcW w:w="455" w:type="pct"/>
            <w:hideMark/>
          </w:tcPr>
          <w:p w:rsidR="00AE0B1A" w:rsidRPr="00016FA4" w:rsidRDefault="00AE0B1A" w:rsidP="00016FA4">
            <w:pPr>
              <w:pStyle w:val="Tabletextright"/>
            </w:pPr>
            <w:r w:rsidRPr="00016FA4">
              <w:t>1330</w:t>
            </w:r>
          </w:p>
        </w:tc>
        <w:tc>
          <w:tcPr>
            <w:tcW w:w="450" w:type="pct"/>
            <w:hideMark/>
          </w:tcPr>
          <w:p w:rsidR="00AE0B1A" w:rsidRPr="00016FA4" w:rsidRDefault="00AE0B1A" w:rsidP="00016FA4">
            <w:pPr>
              <w:pStyle w:val="Tabletextright"/>
            </w:pPr>
            <w:r w:rsidRPr="00016FA4">
              <w:t>1575</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330</w:t>
            </w:r>
          </w:p>
        </w:tc>
        <w:tc>
          <w:tcPr>
            <w:tcW w:w="455" w:type="pct"/>
            <w:hideMark/>
          </w:tcPr>
          <w:p w:rsidR="00AE0B1A" w:rsidRPr="00016FA4" w:rsidRDefault="00AE0B1A" w:rsidP="00016FA4">
            <w:pPr>
              <w:pStyle w:val="Tabletextright"/>
            </w:pPr>
            <w:r w:rsidRPr="00016FA4">
              <w:t>408</w:t>
            </w:r>
          </w:p>
        </w:tc>
        <w:tc>
          <w:tcPr>
            <w:tcW w:w="455" w:type="pct"/>
            <w:hideMark/>
          </w:tcPr>
          <w:p w:rsidR="00AE0B1A" w:rsidRPr="00016FA4" w:rsidRDefault="00AE0B1A" w:rsidP="00016FA4">
            <w:pPr>
              <w:pStyle w:val="Tabletextright"/>
            </w:pPr>
            <w:r w:rsidRPr="00016FA4">
              <w:t>983</w:t>
            </w:r>
          </w:p>
        </w:tc>
        <w:tc>
          <w:tcPr>
            <w:tcW w:w="455" w:type="pct"/>
            <w:hideMark/>
          </w:tcPr>
          <w:p w:rsidR="00AE0B1A" w:rsidRPr="00016FA4" w:rsidRDefault="00AE0B1A" w:rsidP="00016FA4">
            <w:pPr>
              <w:pStyle w:val="Tabletextright"/>
            </w:pPr>
            <w:r w:rsidRPr="00016FA4">
              <w:t>1002</w:t>
            </w:r>
          </w:p>
        </w:tc>
        <w:tc>
          <w:tcPr>
            <w:tcW w:w="455" w:type="pct"/>
            <w:hideMark/>
          </w:tcPr>
          <w:p w:rsidR="00AE0B1A" w:rsidRPr="00016FA4" w:rsidRDefault="00AE0B1A" w:rsidP="00016FA4">
            <w:pPr>
              <w:pStyle w:val="Tabletextright"/>
            </w:pPr>
            <w:r w:rsidRPr="00016FA4">
              <w:t>1006</w:t>
            </w:r>
          </w:p>
        </w:tc>
        <w:tc>
          <w:tcPr>
            <w:tcW w:w="455" w:type="pct"/>
            <w:hideMark/>
          </w:tcPr>
          <w:p w:rsidR="00AE0B1A" w:rsidRPr="00016FA4" w:rsidRDefault="00AE0B1A" w:rsidP="00016FA4">
            <w:pPr>
              <w:pStyle w:val="Tabletextright"/>
            </w:pPr>
            <w:r w:rsidRPr="00016FA4">
              <w:t>1079</w:t>
            </w:r>
          </w:p>
        </w:tc>
        <w:tc>
          <w:tcPr>
            <w:tcW w:w="455" w:type="pct"/>
            <w:hideMark/>
          </w:tcPr>
          <w:p w:rsidR="00AE0B1A" w:rsidRPr="00016FA4" w:rsidRDefault="00AE0B1A" w:rsidP="00016FA4">
            <w:pPr>
              <w:pStyle w:val="Tabletextright"/>
            </w:pPr>
            <w:r w:rsidRPr="00016FA4">
              <w:t>1157</w:t>
            </w:r>
          </w:p>
        </w:tc>
        <w:tc>
          <w:tcPr>
            <w:tcW w:w="455" w:type="pct"/>
            <w:hideMark/>
          </w:tcPr>
          <w:p w:rsidR="00AE0B1A" w:rsidRPr="00016FA4" w:rsidRDefault="00AE0B1A" w:rsidP="00016FA4">
            <w:pPr>
              <w:pStyle w:val="Tabletextright"/>
            </w:pPr>
            <w:r w:rsidRPr="00016FA4">
              <w:t>1219</w:t>
            </w:r>
          </w:p>
        </w:tc>
        <w:tc>
          <w:tcPr>
            <w:tcW w:w="450" w:type="pct"/>
            <w:hideMark/>
          </w:tcPr>
          <w:p w:rsidR="00AE0B1A" w:rsidRPr="00016FA4" w:rsidRDefault="00AE0B1A" w:rsidP="00016FA4">
            <w:pPr>
              <w:pStyle w:val="Tabletextright"/>
            </w:pPr>
            <w:r w:rsidRPr="00016FA4">
              <w:t>1356</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Gull 1</w:t>
            </w:r>
          </w:p>
        </w:tc>
        <w:tc>
          <w:tcPr>
            <w:tcW w:w="418" w:type="pct"/>
            <w:noWrap/>
            <w:hideMark/>
          </w:tcPr>
          <w:p w:rsidR="00AE0B1A" w:rsidRPr="00016FA4" w:rsidRDefault="00AE0B1A" w:rsidP="00016FA4">
            <w:pPr>
              <w:pStyle w:val="Tabletextleft"/>
            </w:pPr>
            <w:proofErr w:type="spellStart"/>
            <w:r w:rsidRPr="00016FA4">
              <w:t>mKB</w:t>
            </w:r>
            <w:proofErr w:type="spellEnd"/>
          </w:p>
        </w:tc>
        <w:tc>
          <w:tcPr>
            <w:tcW w:w="402" w:type="pct"/>
            <w:hideMark/>
          </w:tcPr>
          <w:p w:rsidR="00AE0B1A" w:rsidRPr="00016FA4" w:rsidRDefault="00AE0B1A" w:rsidP="00016FA4">
            <w:pPr>
              <w:pStyle w:val="Tabletextright"/>
            </w:pPr>
            <w:r w:rsidRPr="00016FA4">
              <w:t>436</w:t>
            </w:r>
          </w:p>
        </w:tc>
        <w:tc>
          <w:tcPr>
            <w:tcW w:w="455" w:type="pct"/>
            <w:hideMark/>
          </w:tcPr>
          <w:p w:rsidR="00AE0B1A" w:rsidRPr="00016FA4" w:rsidRDefault="00AE0B1A" w:rsidP="00016FA4">
            <w:pPr>
              <w:pStyle w:val="Tabletextright"/>
            </w:pPr>
            <w:r w:rsidRPr="00016FA4">
              <w:t>1039</w:t>
            </w:r>
          </w:p>
        </w:tc>
        <w:tc>
          <w:tcPr>
            <w:tcW w:w="455" w:type="pct"/>
            <w:hideMark/>
          </w:tcPr>
          <w:p w:rsidR="00AE0B1A" w:rsidRPr="00016FA4" w:rsidRDefault="00AE0B1A" w:rsidP="00016FA4">
            <w:pPr>
              <w:pStyle w:val="Tabletextright"/>
            </w:pPr>
            <w:r w:rsidRPr="00016FA4">
              <w:t>2074</w:t>
            </w:r>
          </w:p>
        </w:tc>
        <w:tc>
          <w:tcPr>
            <w:tcW w:w="455" w:type="pct"/>
            <w:hideMark/>
          </w:tcPr>
          <w:p w:rsidR="00AE0B1A" w:rsidRPr="00016FA4" w:rsidRDefault="00AE0B1A" w:rsidP="00016FA4">
            <w:pPr>
              <w:pStyle w:val="Tabletextright"/>
            </w:pPr>
            <w:r w:rsidRPr="00016FA4">
              <w:t>2091</w:t>
            </w:r>
          </w:p>
        </w:tc>
        <w:tc>
          <w:tcPr>
            <w:tcW w:w="455" w:type="pct"/>
            <w:hideMark/>
          </w:tcPr>
          <w:p w:rsidR="00AE0B1A" w:rsidRPr="00016FA4" w:rsidRDefault="00AE0B1A" w:rsidP="00016FA4">
            <w:pPr>
              <w:pStyle w:val="Tabletextright"/>
            </w:pPr>
            <w:r w:rsidRPr="00016FA4">
              <w:t>2122</w:t>
            </w:r>
          </w:p>
        </w:tc>
        <w:tc>
          <w:tcPr>
            <w:tcW w:w="455" w:type="pct"/>
            <w:hideMark/>
          </w:tcPr>
          <w:p w:rsidR="00AE0B1A" w:rsidRPr="00016FA4" w:rsidRDefault="00AE0B1A" w:rsidP="00016FA4">
            <w:pPr>
              <w:pStyle w:val="Tabletextright"/>
            </w:pPr>
            <w:r w:rsidRPr="00016FA4">
              <w:t>2324</w:t>
            </w:r>
          </w:p>
        </w:tc>
        <w:tc>
          <w:tcPr>
            <w:tcW w:w="455" w:type="pct"/>
            <w:hideMark/>
          </w:tcPr>
          <w:p w:rsidR="00AE0B1A" w:rsidRPr="00016FA4" w:rsidRDefault="00AE0B1A" w:rsidP="00016FA4">
            <w:pPr>
              <w:pStyle w:val="Tabletextright"/>
            </w:pPr>
            <w:r w:rsidRPr="00016FA4">
              <w:t>2415</w:t>
            </w:r>
          </w:p>
        </w:tc>
        <w:tc>
          <w:tcPr>
            <w:tcW w:w="455" w:type="pct"/>
            <w:hideMark/>
          </w:tcPr>
          <w:p w:rsidR="00AE0B1A" w:rsidRPr="00016FA4" w:rsidRDefault="00AE0B1A" w:rsidP="00016FA4">
            <w:pPr>
              <w:pStyle w:val="Tabletextright"/>
            </w:pPr>
            <w:r w:rsidRPr="00016FA4">
              <w:t>2420</w:t>
            </w:r>
          </w:p>
        </w:tc>
        <w:tc>
          <w:tcPr>
            <w:tcW w:w="450" w:type="pct"/>
            <w:hideMark/>
          </w:tcPr>
          <w:p w:rsidR="00AE0B1A" w:rsidRPr="00016FA4" w:rsidRDefault="00AE0B1A" w:rsidP="00016FA4">
            <w:pPr>
              <w:pStyle w:val="Tabletextright"/>
            </w:pPr>
            <w:r w:rsidRPr="00016FA4">
              <w:t>2769</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448</w:t>
            </w:r>
          </w:p>
        </w:tc>
        <w:tc>
          <w:tcPr>
            <w:tcW w:w="455" w:type="pct"/>
            <w:hideMark/>
          </w:tcPr>
          <w:p w:rsidR="00AE0B1A" w:rsidRPr="00016FA4" w:rsidRDefault="00AE0B1A" w:rsidP="00016FA4">
            <w:pPr>
              <w:pStyle w:val="Tabletextright"/>
            </w:pPr>
            <w:r w:rsidRPr="00016FA4">
              <w:t>964</w:t>
            </w:r>
          </w:p>
        </w:tc>
        <w:tc>
          <w:tcPr>
            <w:tcW w:w="455" w:type="pct"/>
            <w:hideMark/>
          </w:tcPr>
          <w:p w:rsidR="00AE0B1A" w:rsidRPr="00016FA4" w:rsidRDefault="00AE0B1A" w:rsidP="00016FA4">
            <w:pPr>
              <w:pStyle w:val="Tabletextright"/>
            </w:pPr>
            <w:r w:rsidRPr="00016FA4">
              <w:t>1738</w:t>
            </w:r>
          </w:p>
        </w:tc>
        <w:tc>
          <w:tcPr>
            <w:tcW w:w="455" w:type="pct"/>
            <w:hideMark/>
          </w:tcPr>
          <w:p w:rsidR="00AE0B1A" w:rsidRPr="00016FA4" w:rsidRDefault="00AE0B1A" w:rsidP="00016FA4">
            <w:pPr>
              <w:pStyle w:val="Tabletextright"/>
            </w:pPr>
            <w:r w:rsidRPr="00016FA4">
              <w:t>1750</w:t>
            </w:r>
          </w:p>
        </w:tc>
        <w:tc>
          <w:tcPr>
            <w:tcW w:w="455" w:type="pct"/>
            <w:hideMark/>
          </w:tcPr>
          <w:p w:rsidR="00AE0B1A" w:rsidRPr="00016FA4" w:rsidRDefault="00AE0B1A" w:rsidP="00016FA4">
            <w:pPr>
              <w:pStyle w:val="Tabletextright"/>
            </w:pPr>
            <w:r w:rsidRPr="00016FA4">
              <w:t>1765</w:t>
            </w:r>
          </w:p>
        </w:tc>
        <w:tc>
          <w:tcPr>
            <w:tcW w:w="455" w:type="pct"/>
            <w:hideMark/>
          </w:tcPr>
          <w:p w:rsidR="00AE0B1A" w:rsidRPr="00016FA4" w:rsidRDefault="00AE0B1A" w:rsidP="00016FA4">
            <w:pPr>
              <w:pStyle w:val="Tabletextright"/>
            </w:pPr>
            <w:r w:rsidRPr="00016FA4">
              <w:t>1875</w:t>
            </w:r>
          </w:p>
        </w:tc>
        <w:tc>
          <w:tcPr>
            <w:tcW w:w="455" w:type="pct"/>
            <w:hideMark/>
          </w:tcPr>
          <w:p w:rsidR="00AE0B1A" w:rsidRPr="00016FA4" w:rsidRDefault="00AE0B1A" w:rsidP="00016FA4">
            <w:pPr>
              <w:pStyle w:val="Tabletextright"/>
            </w:pPr>
            <w:r w:rsidRPr="00016FA4">
              <w:t>1923</w:t>
            </w:r>
          </w:p>
        </w:tc>
        <w:tc>
          <w:tcPr>
            <w:tcW w:w="455" w:type="pct"/>
            <w:hideMark/>
          </w:tcPr>
          <w:p w:rsidR="00AE0B1A" w:rsidRPr="00016FA4" w:rsidRDefault="00AE0B1A" w:rsidP="00016FA4">
            <w:pPr>
              <w:pStyle w:val="Tabletextright"/>
            </w:pPr>
            <w:r w:rsidRPr="00016FA4">
              <w:t>1926</w:t>
            </w:r>
          </w:p>
        </w:tc>
        <w:tc>
          <w:tcPr>
            <w:tcW w:w="450" w:type="pct"/>
            <w:hideMark/>
          </w:tcPr>
          <w:p w:rsidR="00AE0B1A" w:rsidRPr="00016FA4" w:rsidRDefault="00AE0B1A" w:rsidP="00016FA4">
            <w:pPr>
              <w:pStyle w:val="Tabletextright"/>
            </w:pPr>
            <w:r w:rsidRPr="00016FA4">
              <w:t>2102</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Helvetius 1 ST2</w:t>
            </w:r>
          </w:p>
        </w:tc>
        <w:tc>
          <w:tcPr>
            <w:tcW w:w="418" w:type="pct"/>
            <w:hideMark/>
          </w:tcPr>
          <w:p w:rsidR="00AE0B1A" w:rsidRPr="00016FA4" w:rsidRDefault="00AE0B1A" w:rsidP="00016FA4">
            <w:pPr>
              <w:pStyle w:val="Tabletextleft"/>
            </w:pPr>
            <w:proofErr w:type="spellStart"/>
            <w:r w:rsidRPr="00016FA4">
              <w:t>mRT</w:t>
            </w:r>
            <w:proofErr w:type="spellEnd"/>
          </w:p>
        </w:tc>
        <w:tc>
          <w:tcPr>
            <w:tcW w:w="402" w:type="pct"/>
            <w:hideMark/>
          </w:tcPr>
          <w:p w:rsidR="00AE0B1A" w:rsidRPr="00016FA4" w:rsidRDefault="00AE0B1A" w:rsidP="00016FA4">
            <w:pPr>
              <w:pStyle w:val="Tabletextright"/>
            </w:pPr>
            <w:r w:rsidRPr="00016FA4">
              <w:t>654</w:t>
            </w:r>
          </w:p>
        </w:tc>
        <w:tc>
          <w:tcPr>
            <w:tcW w:w="455" w:type="pct"/>
            <w:hideMark/>
          </w:tcPr>
          <w:p w:rsidR="00AE0B1A" w:rsidRPr="00016FA4" w:rsidRDefault="00AE0B1A" w:rsidP="00016FA4">
            <w:pPr>
              <w:pStyle w:val="Tabletextright"/>
            </w:pPr>
            <w:r w:rsidRPr="00016FA4">
              <w:t>1181</w:t>
            </w:r>
          </w:p>
        </w:tc>
        <w:tc>
          <w:tcPr>
            <w:tcW w:w="455" w:type="pct"/>
            <w:hideMark/>
          </w:tcPr>
          <w:p w:rsidR="00AE0B1A" w:rsidRPr="00016FA4" w:rsidRDefault="00AE0B1A" w:rsidP="00016FA4">
            <w:pPr>
              <w:pStyle w:val="Tabletextright"/>
            </w:pPr>
            <w:r w:rsidRPr="00016FA4">
              <w:t>2100</w:t>
            </w:r>
          </w:p>
        </w:tc>
        <w:tc>
          <w:tcPr>
            <w:tcW w:w="455" w:type="pct"/>
            <w:hideMark/>
          </w:tcPr>
          <w:p w:rsidR="00AE0B1A" w:rsidRPr="00016FA4" w:rsidRDefault="00AE0B1A" w:rsidP="00016FA4">
            <w:pPr>
              <w:pStyle w:val="Tabletextright"/>
            </w:pPr>
            <w:r w:rsidRPr="00016FA4">
              <w:t>2225</w:t>
            </w:r>
          </w:p>
        </w:tc>
        <w:tc>
          <w:tcPr>
            <w:tcW w:w="455" w:type="pct"/>
            <w:hideMark/>
          </w:tcPr>
          <w:p w:rsidR="00AE0B1A" w:rsidRPr="00016FA4" w:rsidRDefault="00AE0B1A" w:rsidP="00016FA4">
            <w:pPr>
              <w:pStyle w:val="Tabletextright"/>
            </w:pPr>
            <w:r w:rsidRPr="00016FA4">
              <w:t>2265</w:t>
            </w:r>
          </w:p>
        </w:tc>
        <w:tc>
          <w:tcPr>
            <w:tcW w:w="455" w:type="pct"/>
            <w:hideMark/>
          </w:tcPr>
          <w:p w:rsidR="00AE0B1A" w:rsidRPr="00016FA4" w:rsidRDefault="00AE0B1A" w:rsidP="00016FA4">
            <w:pPr>
              <w:pStyle w:val="Tabletextright"/>
            </w:pPr>
            <w:r w:rsidRPr="00016FA4">
              <w:t>2400</w:t>
            </w:r>
          </w:p>
        </w:tc>
        <w:tc>
          <w:tcPr>
            <w:tcW w:w="455" w:type="pct"/>
            <w:hideMark/>
          </w:tcPr>
          <w:p w:rsidR="00AE0B1A" w:rsidRPr="00016FA4" w:rsidRDefault="00AE0B1A" w:rsidP="00016FA4">
            <w:pPr>
              <w:pStyle w:val="Tabletextright"/>
            </w:pPr>
            <w:r w:rsidRPr="00016FA4">
              <w:t>2490</w:t>
            </w:r>
          </w:p>
        </w:tc>
        <w:tc>
          <w:tcPr>
            <w:tcW w:w="455" w:type="pct"/>
            <w:hideMark/>
          </w:tcPr>
          <w:p w:rsidR="00AE0B1A" w:rsidRPr="00016FA4" w:rsidRDefault="00AE0B1A" w:rsidP="00016FA4">
            <w:pPr>
              <w:pStyle w:val="Tabletextright"/>
            </w:pPr>
            <w:r w:rsidRPr="00016FA4">
              <w:t>2540</w:t>
            </w:r>
          </w:p>
        </w:tc>
        <w:tc>
          <w:tcPr>
            <w:tcW w:w="450" w:type="pct"/>
            <w:noWrap/>
            <w:hideMark/>
          </w:tcPr>
          <w:p w:rsidR="00AE0B1A" w:rsidRPr="00016FA4" w:rsidRDefault="00AE0B1A" w:rsidP="00016FA4">
            <w:pPr>
              <w:pStyle w:val="Tabletextright"/>
            </w:pPr>
            <w:r w:rsidRPr="00016FA4">
              <w:t>n/a</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639</w:t>
            </w:r>
          </w:p>
        </w:tc>
        <w:tc>
          <w:tcPr>
            <w:tcW w:w="455" w:type="pct"/>
            <w:hideMark/>
          </w:tcPr>
          <w:p w:rsidR="00AE0B1A" w:rsidRPr="00016FA4" w:rsidRDefault="00AE0B1A" w:rsidP="00016FA4">
            <w:pPr>
              <w:pStyle w:val="Tabletextright"/>
            </w:pPr>
            <w:r w:rsidRPr="00016FA4">
              <w:t>1054</w:t>
            </w:r>
          </w:p>
        </w:tc>
        <w:tc>
          <w:tcPr>
            <w:tcW w:w="455" w:type="pct"/>
            <w:hideMark/>
          </w:tcPr>
          <w:p w:rsidR="00AE0B1A" w:rsidRPr="00016FA4" w:rsidRDefault="00AE0B1A" w:rsidP="00016FA4">
            <w:pPr>
              <w:pStyle w:val="Tabletextright"/>
            </w:pPr>
            <w:r w:rsidRPr="00016FA4">
              <w:t>1753</w:t>
            </w:r>
          </w:p>
        </w:tc>
        <w:tc>
          <w:tcPr>
            <w:tcW w:w="455" w:type="pct"/>
            <w:hideMark/>
          </w:tcPr>
          <w:p w:rsidR="00AE0B1A" w:rsidRPr="00016FA4" w:rsidRDefault="00AE0B1A" w:rsidP="00016FA4">
            <w:pPr>
              <w:pStyle w:val="Tabletextright"/>
            </w:pPr>
            <w:r w:rsidRPr="00016FA4">
              <w:t>1827</w:t>
            </w:r>
          </w:p>
        </w:tc>
        <w:tc>
          <w:tcPr>
            <w:tcW w:w="455" w:type="pct"/>
            <w:hideMark/>
          </w:tcPr>
          <w:p w:rsidR="00AE0B1A" w:rsidRPr="00016FA4" w:rsidRDefault="00AE0B1A" w:rsidP="00016FA4">
            <w:pPr>
              <w:pStyle w:val="Tabletextright"/>
            </w:pPr>
            <w:r w:rsidRPr="00016FA4">
              <w:t>1847</w:t>
            </w:r>
          </w:p>
        </w:tc>
        <w:tc>
          <w:tcPr>
            <w:tcW w:w="455" w:type="pct"/>
            <w:hideMark/>
          </w:tcPr>
          <w:p w:rsidR="00AE0B1A" w:rsidRPr="00016FA4" w:rsidRDefault="00AE0B1A" w:rsidP="00016FA4">
            <w:pPr>
              <w:pStyle w:val="Tabletextright"/>
            </w:pPr>
            <w:r w:rsidRPr="00016FA4">
              <w:t>1912</w:t>
            </w:r>
          </w:p>
        </w:tc>
        <w:tc>
          <w:tcPr>
            <w:tcW w:w="455" w:type="pct"/>
            <w:hideMark/>
          </w:tcPr>
          <w:p w:rsidR="00AE0B1A" w:rsidRPr="00016FA4" w:rsidRDefault="00AE0B1A" w:rsidP="00016FA4">
            <w:pPr>
              <w:pStyle w:val="Tabletextright"/>
            </w:pPr>
            <w:r w:rsidRPr="00016FA4">
              <w:t>1953</w:t>
            </w:r>
          </w:p>
        </w:tc>
        <w:tc>
          <w:tcPr>
            <w:tcW w:w="455" w:type="pct"/>
            <w:hideMark/>
          </w:tcPr>
          <w:p w:rsidR="00AE0B1A" w:rsidRPr="00016FA4" w:rsidRDefault="00AE0B1A" w:rsidP="00016FA4">
            <w:pPr>
              <w:pStyle w:val="Tabletextright"/>
            </w:pPr>
            <w:r w:rsidRPr="00016FA4">
              <w:t>1977</w:t>
            </w:r>
          </w:p>
        </w:tc>
        <w:tc>
          <w:tcPr>
            <w:tcW w:w="450" w:type="pct"/>
            <w:noWrap/>
            <w:hideMark/>
          </w:tcPr>
          <w:p w:rsidR="00AE0B1A" w:rsidRPr="00016FA4" w:rsidRDefault="00AE0B1A" w:rsidP="00016FA4">
            <w:pPr>
              <w:pStyle w:val="Tabletextright"/>
            </w:pPr>
            <w:r w:rsidRPr="00016FA4">
              <w:t>n/a</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Jacaranda 1</w:t>
            </w:r>
          </w:p>
        </w:tc>
        <w:tc>
          <w:tcPr>
            <w:tcW w:w="418" w:type="pct"/>
            <w:hideMark/>
          </w:tcPr>
          <w:p w:rsidR="00AE0B1A" w:rsidRPr="00016FA4" w:rsidRDefault="00AE0B1A" w:rsidP="00016FA4">
            <w:pPr>
              <w:pStyle w:val="Tabletextleft"/>
            </w:pPr>
            <w:proofErr w:type="spellStart"/>
            <w:r w:rsidRPr="00016FA4">
              <w:t>mRT</w:t>
            </w:r>
            <w:proofErr w:type="spellEnd"/>
          </w:p>
        </w:tc>
        <w:tc>
          <w:tcPr>
            <w:tcW w:w="402" w:type="pct"/>
            <w:hideMark/>
          </w:tcPr>
          <w:p w:rsidR="00AE0B1A" w:rsidRPr="00016FA4" w:rsidRDefault="00AE0B1A" w:rsidP="00016FA4">
            <w:pPr>
              <w:pStyle w:val="Tabletextright"/>
            </w:pPr>
            <w:r w:rsidRPr="00016FA4">
              <w:t>800</w:t>
            </w:r>
          </w:p>
        </w:tc>
        <w:tc>
          <w:tcPr>
            <w:tcW w:w="455" w:type="pct"/>
            <w:hideMark/>
          </w:tcPr>
          <w:p w:rsidR="00AE0B1A" w:rsidRPr="00016FA4" w:rsidRDefault="00AE0B1A" w:rsidP="00016FA4">
            <w:pPr>
              <w:pStyle w:val="Tabletextright"/>
            </w:pPr>
            <w:r w:rsidRPr="00016FA4">
              <w:t>1500</w:t>
            </w:r>
          </w:p>
        </w:tc>
        <w:tc>
          <w:tcPr>
            <w:tcW w:w="455" w:type="pct"/>
            <w:hideMark/>
          </w:tcPr>
          <w:p w:rsidR="00AE0B1A" w:rsidRPr="00016FA4" w:rsidRDefault="00AE0B1A" w:rsidP="00016FA4">
            <w:pPr>
              <w:pStyle w:val="Tabletextright"/>
            </w:pPr>
            <w:r w:rsidRPr="00016FA4">
              <w:t>2850</w:t>
            </w:r>
          </w:p>
        </w:tc>
        <w:tc>
          <w:tcPr>
            <w:tcW w:w="455" w:type="pct"/>
            <w:hideMark/>
          </w:tcPr>
          <w:p w:rsidR="00AE0B1A" w:rsidRPr="00016FA4" w:rsidRDefault="00AE0B1A" w:rsidP="00016FA4">
            <w:pPr>
              <w:pStyle w:val="Tabletextright"/>
            </w:pPr>
            <w:r w:rsidRPr="00016FA4">
              <w:t>2870</w:t>
            </w:r>
          </w:p>
        </w:tc>
        <w:tc>
          <w:tcPr>
            <w:tcW w:w="455" w:type="pct"/>
            <w:hideMark/>
          </w:tcPr>
          <w:p w:rsidR="00AE0B1A" w:rsidRPr="00016FA4" w:rsidRDefault="00AE0B1A" w:rsidP="00016FA4">
            <w:pPr>
              <w:pStyle w:val="Tabletextright"/>
            </w:pPr>
            <w:r w:rsidRPr="00016FA4">
              <w:t>2880</w:t>
            </w:r>
          </w:p>
        </w:tc>
        <w:tc>
          <w:tcPr>
            <w:tcW w:w="455" w:type="pct"/>
            <w:hideMark/>
          </w:tcPr>
          <w:p w:rsidR="00AE0B1A" w:rsidRPr="00016FA4" w:rsidRDefault="00AE0B1A" w:rsidP="00016FA4">
            <w:pPr>
              <w:pStyle w:val="Tabletextright"/>
            </w:pPr>
            <w:r w:rsidRPr="00016FA4">
              <w:t>3250</w:t>
            </w:r>
          </w:p>
        </w:tc>
        <w:tc>
          <w:tcPr>
            <w:tcW w:w="455" w:type="pct"/>
            <w:hideMark/>
          </w:tcPr>
          <w:p w:rsidR="00AE0B1A" w:rsidRPr="00016FA4" w:rsidRDefault="00AE0B1A" w:rsidP="00016FA4">
            <w:pPr>
              <w:pStyle w:val="Tabletextright"/>
            </w:pPr>
            <w:r w:rsidRPr="00016FA4">
              <w:t>3530</w:t>
            </w:r>
          </w:p>
        </w:tc>
        <w:tc>
          <w:tcPr>
            <w:tcW w:w="455" w:type="pct"/>
            <w:hideMark/>
          </w:tcPr>
          <w:p w:rsidR="00AE0B1A" w:rsidRPr="00016FA4" w:rsidRDefault="00AE0B1A" w:rsidP="00016FA4">
            <w:pPr>
              <w:pStyle w:val="Tabletextright"/>
            </w:pPr>
            <w:r w:rsidRPr="00016FA4">
              <w:t>3620</w:t>
            </w:r>
          </w:p>
        </w:tc>
        <w:tc>
          <w:tcPr>
            <w:tcW w:w="450" w:type="pct"/>
            <w:noWrap/>
            <w:hideMark/>
          </w:tcPr>
          <w:p w:rsidR="00AE0B1A" w:rsidRPr="00016FA4" w:rsidRDefault="00AE0B1A" w:rsidP="00016FA4">
            <w:pPr>
              <w:pStyle w:val="Tabletextright"/>
            </w:pPr>
            <w:r w:rsidRPr="00016FA4">
              <w:t>n/a</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670</w:t>
            </w:r>
          </w:p>
        </w:tc>
        <w:tc>
          <w:tcPr>
            <w:tcW w:w="455" w:type="pct"/>
            <w:hideMark/>
          </w:tcPr>
          <w:p w:rsidR="00AE0B1A" w:rsidRPr="00016FA4" w:rsidRDefault="00AE0B1A" w:rsidP="00016FA4">
            <w:pPr>
              <w:pStyle w:val="Tabletextright"/>
            </w:pPr>
            <w:r w:rsidRPr="00016FA4">
              <w:t>1200</w:t>
            </w:r>
          </w:p>
        </w:tc>
        <w:tc>
          <w:tcPr>
            <w:tcW w:w="455" w:type="pct"/>
            <w:hideMark/>
          </w:tcPr>
          <w:p w:rsidR="00AE0B1A" w:rsidRPr="00016FA4" w:rsidRDefault="00AE0B1A" w:rsidP="00016FA4">
            <w:pPr>
              <w:pStyle w:val="Tabletextright"/>
            </w:pPr>
            <w:r w:rsidRPr="00016FA4">
              <w:t>2077</w:t>
            </w:r>
          </w:p>
        </w:tc>
        <w:tc>
          <w:tcPr>
            <w:tcW w:w="455" w:type="pct"/>
            <w:hideMark/>
          </w:tcPr>
          <w:p w:rsidR="00AE0B1A" w:rsidRPr="00016FA4" w:rsidRDefault="00AE0B1A" w:rsidP="00016FA4">
            <w:pPr>
              <w:pStyle w:val="Tabletextright"/>
            </w:pPr>
            <w:r w:rsidRPr="00016FA4">
              <w:t>2088</w:t>
            </w:r>
          </w:p>
        </w:tc>
        <w:tc>
          <w:tcPr>
            <w:tcW w:w="455" w:type="pct"/>
            <w:hideMark/>
          </w:tcPr>
          <w:p w:rsidR="00AE0B1A" w:rsidRPr="00016FA4" w:rsidRDefault="00AE0B1A" w:rsidP="00016FA4">
            <w:pPr>
              <w:pStyle w:val="Tabletextright"/>
            </w:pPr>
            <w:r w:rsidRPr="00016FA4">
              <w:t>2093</w:t>
            </w:r>
          </w:p>
        </w:tc>
        <w:tc>
          <w:tcPr>
            <w:tcW w:w="455" w:type="pct"/>
            <w:hideMark/>
          </w:tcPr>
          <w:p w:rsidR="00AE0B1A" w:rsidRPr="00016FA4" w:rsidRDefault="00AE0B1A" w:rsidP="00016FA4">
            <w:pPr>
              <w:pStyle w:val="Tabletextright"/>
            </w:pPr>
            <w:r w:rsidRPr="00016FA4">
              <w:t>2259</w:t>
            </w:r>
          </w:p>
        </w:tc>
        <w:tc>
          <w:tcPr>
            <w:tcW w:w="455" w:type="pct"/>
            <w:hideMark/>
          </w:tcPr>
          <w:p w:rsidR="00AE0B1A" w:rsidRPr="00016FA4" w:rsidRDefault="00AE0B1A" w:rsidP="00016FA4">
            <w:pPr>
              <w:pStyle w:val="Tabletextright"/>
            </w:pPr>
            <w:r w:rsidRPr="00016FA4">
              <w:t>2384</w:t>
            </w:r>
          </w:p>
        </w:tc>
        <w:tc>
          <w:tcPr>
            <w:tcW w:w="455" w:type="pct"/>
            <w:hideMark/>
          </w:tcPr>
          <w:p w:rsidR="00AE0B1A" w:rsidRPr="00016FA4" w:rsidRDefault="00AE0B1A" w:rsidP="00016FA4">
            <w:pPr>
              <w:pStyle w:val="Tabletextright"/>
            </w:pPr>
            <w:r w:rsidRPr="00016FA4">
              <w:t>2423</w:t>
            </w:r>
          </w:p>
        </w:tc>
        <w:tc>
          <w:tcPr>
            <w:tcW w:w="450" w:type="pct"/>
            <w:noWrap/>
            <w:hideMark/>
          </w:tcPr>
          <w:p w:rsidR="00AE0B1A" w:rsidRPr="00016FA4" w:rsidRDefault="00AE0B1A" w:rsidP="00016FA4">
            <w:pPr>
              <w:pStyle w:val="Tabletextright"/>
            </w:pPr>
            <w:r w:rsidRPr="00016FA4">
              <w:t>n/a</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noWrap/>
            <w:hideMark/>
          </w:tcPr>
          <w:p w:rsidR="00AE0B1A" w:rsidRPr="00016FA4" w:rsidRDefault="00AE0B1A" w:rsidP="00016FA4">
            <w:pPr>
              <w:pStyle w:val="Tabletextleft"/>
            </w:pPr>
            <w:r w:rsidRPr="00016FA4">
              <w:t>Newby 1</w:t>
            </w:r>
          </w:p>
        </w:tc>
        <w:tc>
          <w:tcPr>
            <w:tcW w:w="418" w:type="pct"/>
            <w:hideMark/>
          </w:tcPr>
          <w:p w:rsidR="00AE0B1A" w:rsidRPr="00016FA4" w:rsidRDefault="00AE0B1A" w:rsidP="00016FA4">
            <w:pPr>
              <w:pStyle w:val="Tabletextleft"/>
            </w:pPr>
            <w:proofErr w:type="spellStart"/>
            <w:r w:rsidRPr="00016FA4">
              <w:t>mRT</w:t>
            </w:r>
            <w:proofErr w:type="spellEnd"/>
          </w:p>
        </w:tc>
        <w:tc>
          <w:tcPr>
            <w:tcW w:w="402" w:type="pct"/>
            <w:hideMark/>
          </w:tcPr>
          <w:p w:rsidR="00AE0B1A" w:rsidRPr="00016FA4" w:rsidRDefault="00AE0B1A" w:rsidP="00016FA4">
            <w:pPr>
              <w:pStyle w:val="Tabletextright"/>
            </w:pPr>
            <w:r w:rsidRPr="00016FA4">
              <w:t>185</w:t>
            </w:r>
          </w:p>
        </w:tc>
        <w:tc>
          <w:tcPr>
            <w:tcW w:w="455" w:type="pct"/>
            <w:hideMark/>
          </w:tcPr>
          <w:p w:rsidR="00AE0B1A" w:rsidRPr="00016FA4" w:rsidRDefault="00AE0B1A" w:rsidP="00016FA4">
            <w:pPr>
              <w:pStyle w:val="Tabletextright"/>
            </w:pPr>
            <w:r w:rsidRPr="00016FA4">
              <w:t>328</w:t>
            </w:r>
          </w:p>
        </w:tc>
        <w:tc>
          <w:tcPr>
            <w:tcW w:w="455" w:type="pct"/>
            <w:hideMark/>
          </w:tcPr>
          <w:p w:rsidR="00AE0B1A" w:rsidRPr="00016FA4" w:rsidRDefault="00AE0B1A" w:rsidP="00016FA4">
            <w:pPr>
              <w:pStyle w:val="Tabletextright"/>
            </w:pPr>
            <w:r w:rsidRPr="00016FA4">
              <w:t>905</w:t>
            </w:r>
          </w:p>
        </w:tc>
        <w:tc>
          <w:tcPr>
            <w:tcW w:w="455" w:type="pct"/>
            <w:hideMark/>
          </w:tcPr>
          <w:p w:rsidR="00AE0B1A" w:rsidRPr="00016FA4" w:rsidRDefault="00AE0B1A" w:rsidP="00016FA4">
            <w:pPr>
              <w:pStyle w:val="Tabletextright"/>
            </w:pPr>
            <w:r w:rsidRPr="00016FA4">
              <w:t>940</w:t>
            </w:r>
          </w:p>
        </w:tc>
        <w:tc>
          <w:tcPr>
            <w:tcW w:w="455" w:type="pct"/>
            <w:hideMark/>
          </w:tcPr>
          <w:p w:rsidR="00AE0B1A" w:rsidRPr="00016FA4" w:rsidRDefault="00AE0B1A" w:rsidP="00016FA4">
            <w:pPr>
              <w:pStyle w:val="Tabletextright"/>
            </w:pPr>
            <w:r w:rsidRPr="00016FA4">
              <w:t>960</w:t>
            </w:r>
          </w:p>
        </w:tc>
        <w:tc>
          <w:tcPr>
            <w:tcW w:w="455" w:type="pct"/>
            <w:hideMark/>
          </w:tcPr>
          <w:p w:rsidR="00AE0B1A" w:rsidRPr="00016FA4" w:rsidRDefault="00AE0B1A" w:rsidP="00016FA4">
            <w:pPr>
              <w:pStyle w:val="Tabletextright"/>
            </w:pPr>
            <w:r w:rsidRPr="00016FA4">
              <w:t>1050</w:t>
            </w:r>
          </w:p>
        </w:tc>
        <w:tc>
          <w:tcPr>
            <w:tcW w:w="455" w:type="pct"/>
            <w:hideMark/>
          </w:tcPr>
          <w:p w:rsidR="00AE0B1A" w:rsidRPr="00016FA4" w:rsidRDefault="00AE0B1A" w:rsidP="00016FA4">
            <w:pPr>
              <w:pStyle w:val="Tabletextright"/>
            </w:pPr>
            <w:r w:rsidRPr="00016FA4">
              <w:t>1075</w:t>
            </w:r>
          </w:p>
        </w:tc>
        <w:tc>
          <w:tcPr>
            <w:tcW w:w="455" w:type="pct"/>
            <w:hideMark/>
          </w:tcPr>
          <w:p w:rsidR="00AE0B1A" w:rsidRPr="00016FA4" w:rsidRDefault="00AE0B1A" w:rsidP="00016FA4">
            <w:pPr>
              <w:pStyle w:val="Tabletextright"/>
            </w:pPr>
            <w:r w:rsidRPr="00016FA4">
              <w:t>1100</w:t>
            </w:r>
          </w:p>
        </w:tc>
        <w:tc>
          <w:tcPr>
            <w:tcW w:w="450" w:type="pct"/>
            <w:noWrap/>
            <w:hideMark/>
          </w:tcPr>
          <w:p w:rsidR="00AE0B1A" w:rsidRPr="00016FA4" w:rsidRDefault="00AE0B1A" w:rsidP="00016FA4">
            <w:pPr>
              <w:pStyle w:val="Tabletextright"/>
            </w:pPr>
            <w:r w:rsidRPr="00016FA4">
              <w:t>n/a</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194</w:t>
            </w:r>
          </w:p>
        </w:tc>
        <w:tc>
          <w:tcPr>
            <w:tcW w:w="455" w:type="pct"/>
            <w:hideMark/>
          </w:tcPr>
          <w:p w:rsidR="00AE0B1A" w:rsidRPr="00016FA4" w:rsidRDefault="00AE0B1A" w:rsidP="00016FA4">
            <w:pPr>
              <w:pStyle w:val="Tabletextright"/>
            </w:pPr>
            <w:r w:rsidRPr="00016FA4">
              <w:t>344</w:t>
            </w:r>
          </w:p>
        </w:tc>
        <w:tc>
          <w:tcPr>
            <w:tcW w:w="455" w:type="pct"/>
            <w:hideMark/>
          </w:tcPr>
          <w:p w:rsidR="00AE0B1A" w:rsidRPr="00016FA4" w:rsidRDefault="00AE0B1A" w:rsidP="00016FA4">
            <w:pPr>
              <w:pStyle w:val="Tabletextright"/>
            </w:pPr>
            <w:r w:rsidRPr="00016FA4">
              <w:t>877</w:t>
            </w:r>
          </w:p>
        </w:tc>
        <w:tc>
          <w:tcPr>
            <w:tcW w:w="455" w:type="pct"/>
            <w:hideMark/>
          </w:tcPr>
          <w:p w:rsidR="00AE0B1A" w:rsidRPr="00016FA4" w:rsidRDefault="00AE0B1A" w:rsidP="00016FA4">
            <w:pPr>
              <w:pStyle w:val="Tabletextright"/>
            </w:pPr>
            <w:r w:rsidRPr="00016FA4">
              <w:t>908</w:t>
            </w:r>
          </w:p>
        </w:tc>
        <w:tc>
          <w:tcPr>
            <w:tcW w:w="455" w:type="pct"/>
            <w:hideMark/>
          </w:tcPr>
          <w:p w:rsidR="00AE0B1A" w:rsidRPr="00016FA4" w:rsidRDefault="00AE0B1A" w:rsidP="00016FA4">
            <w:pPr>
              <w:pStyle w:val="Tabletextright"/>
            </w:pPr>
            <w:r w:rsidRPr="00016FA4">
              <w:t>922</w:t>
            </w:r>
          </w:p>
        </w:tc>
        <w:tc>
          <w:tcPr>
            <w:tcW w:w="455" w:type="pct"/>
            <w:hideMark/>
          </w:tcPr>
          <w:p w:rsidR="00AE0B1A" w:rsidRPr="00016FA4" w:rsidRDefault="00AE0B1A" w:rsidP="00016FA4">
            <w:pPr>
              <w:pStyle w:val="Tabletextright"/>
            </w:pPr>
            <w:r w:rsidRPr="00016FA4">
              <w:t>975</w:t>
            </w:r>
          </w:p>
        </w:tc>
        <w:tc>
          <w:tcPr>
            <w:tcW w:w="455" w:type="pct"/>
            <w:hideMark/>
          </w:tcPr>
          <w:p w:rsidR="00AE0B1A" w:rsidRPr="00016FA4" w:rsidRDefault="00AE0B1A" w:rsidP="00016FA4">
            <w:pPr>
              <w:pStyle w:val="Tabletextright"/>
            </w:pPr>
            <w:r w:rsidRPr="00016FA4">
              <w:t>988</w:t>
            </w:r>
          </w:p>
        </w:tc>
        <w:tc>
          <w:tcPr>
            <w:tcW w:w="455" w:type="pct"/>
            <w:hideMark/>
          </w:tcPr>
          <w:p w:rsidR="00AE0B1A" w:rsidRPr="00016FA4" w:rsidRDefault="00AE0B1A" w:rsidP="00016FA4">
            <w:pPr>
              <w:pStyle w:val="Tabletextright"/>
            </w:pPr>
            <w:r w:rsidRPr="00016FA4">
              <w:t>1001</w:t>
            </w:r>
          </w:p>
        </w:tc>
        <w:tc>
          <w:tcPr>
            <w:tcW w:w="450" w:type="pct"/>
            <w:noWrap/>
            <w:hideMark/>
          </w:tcPr>
          <w:p w:rsidR="00AE0B1A" w:rsidRPr="00016FA4" w:rsidRDefault="00AE0B1A" w:rsidP="00016FA4">
            <w:pPr>
              <w:pStyle w:val="Tabletextright"/>
            </w:pPr>
            <w:r w:rsidRPr="00016FA4">
              <w:t>n/a</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lastRenderedPageBreak/>
              <w:t>Penguin 1</w:t>
            </w:r>
          </w:p>
        </w:tc>
        <w:tc>
          <w:tcPr>
            <w:tcW w:w="418" w:type="pct"/>
            <w:noWrap/>
            <w:hideMark/>
          </w:tcPr>
          <w:p w:rsidR="00AE0B1A" w:rsidRPr="00016FA4" w:rsidRDefault="00AE0B1A" w:rsidP="00016FA4">
            <w:pPr>
              <w:pStyle w:val="Tabletextleft"/>
            </w:pPr>
            <w:proofErr w:type="spellStart"/>
            <w:r w:rsidRPr="00016FA4">
              <w:t>mKB</w:t>
            </w:r>
            <w:proofErr w:type="spellEnd"/>
          </w:p>
        </w:tc>
        <w:tc>
          <w:tcPr>
            <w:tcW w:w="402" w:type="pct"/>
            <w:hideMark/>
          </w:tcPr>
          <w:p w:rsidR="00AE0B1A" w:rsidRPr="00016FA4" w:rsidRDefault="00AE0B1A" w:rsidP="00016FA4">
            <w:pPr>
              <w:pStyle w:val="Tabletextright"/>
            </w:pPr>
            <w:r w:rsidRPr="00016FA4">
              <w:t>298</w:t>
            </w:r>
          </w:p>
        </w:tc>
        <w:tc>
          <w:tcPr>
            <w:tcW w:w="455" w:type="pct"/>
            <w:hideMark/>
          </w:tcPr>
          <w:p w:rsidR="00AE0B1A" w:rsidRPr="00016FA4" w:rsidRDefault="00AE0B1A" w:rsidP="00016FA4">
            <w:pPr>
              <w:pStyle w:val="Tabletextright"/>
            </w:pPr>
            <w:r w:rsidRPr="00016FA4">
              <w:t>365</w:t>
            </w:r>
          </w:p>
        </w:tc>
        <w:tc>
          <w:tcPr>
            <w:tcW w:w="455" w:type="pct"/>
            <w:hideMark/>
          </w:tcPr>
          <w:p w:rsidR="00AE0B1A" w:rsidRPr="00016FA4" w:rsidRDefault="00AE0B1A" w:rsidP="00016FA4">
            <w:pPr>
              <w:pStyle w:val="Tabletextright"/>
            </w:pPr>
            <w:r w:rsidRPr="00016FA4">
              <w:t>760</w:t>
            </w:r>
          </w:p>
        </w:tc>
        <w:tc>
          <w:tcPr>
            <w:tcW w:w="455" w:type="pct"/>
            <w:hideMark/>
          </w:tcPr>
          <w:p w:rsidR="00AE0B1A" w:rsidRPr="00016FA4" w:rsidRDefault="00AE0B1A" w:rsidP="00016FA4">
            <w:pPr>
              <w:pStyle w:val="Tabletextright"/>
            </w:pPr>
            <w:r w:rsidRPr="00016FA4">
              <w:t>780</w:t>
            </w:r>
          </w:p>
        </w:tc>
        <w:tc>
          <w:tcPr>
            <w:tcW w:w="455" w:type="pct"/>
            <w:hideMark/>
          </w:tcPr>
          <w:p w:rsidR="00AE0B1A" w:rsidRPr="00016FA4" w:rsidRDefault="00AE0B1A" w:rsidP="00016FA4">
            <w:pPr>
              <w:pStyle w:val="Tabletextright"/>
            </w:pPr>
            <w:r w:rsidRPr="00016FA4">
              <w:t>800</w:t>
            </w:r>
          </w:p>
        </w:tc>
        <w:tc>
          <w:tcPr>
            <w:tcW w:w="455" w:type="pct"/>
            <w:hideMark/>
          </w:tcPr>
          <w:p w:rsidR="00AE0B1A" w:rsidRPr="00016FA4" w:rsidRDefault="00AE0B1A" w:rsidP="00016FA4">
            <w:pPr>
              <w:pStyle w:val="Tabletextright"/>
            </w:pPr>
            <w:r w:rsidRPr="00016FA4">
              <w:t>810</w:t>
            </w:r>
          </w:p>
        </w:tc>
        <w:tc>
          <w:tcPr>
            <w:tcW w:w="455" w:type="pct"/>
            <w:hideMark/>
          </w:tcPr>
          <w:p w:rsidR="00AE0B1A" w:rsidRPr="00016FA4" w:rsidRDefault="00AE0B1A" w:rsidP="00016FA4">
            <w:pPr>
              <w:pStyle w:val="Tabletextright"/>
            </w:pPr>
            <w:r w:rsidRPr="00016FA4">
              <w:t>865</w:t>
            </w:r>
          </w:p>
        </w:tc>
        <w:tc>
          <w:tcPr>
            <w:tcW w:w="455" w:type="pct"/>
            <w:hideMark/>
          </w:tcPr>
          <w:p w:rsidR="00AE0B1A" w:rsidRPr="00016FA4" w:rsidRDefault="00AE0B1A" w:rsidP="00016FA4">
            <w:pPr>
              <w:pStyle w:val="Tabletextright"/>
            </w:pPr>
            <w:r w:rsidRPr="00016FA4">
              <w:t>930</w:t>
            </w:r>
          </w:p>
        </w:tc>
        <w:tc>
          <w:tcPr>
            <w:tcW w:w="450" w:type="pct"/>
            <w:hideMark/>
          </w:tcPr>
          <w:p w:rsidR="00AE0B1A" w:rsidRPr="00016FA4" w:rsidRDefault="00AE0B1A" w:rsidP="00016FA4">
            <w:pPr>
              <w:pStyle w:val="Tabletextright"/>
            </w:pPr>
            <w:r w:rsidRPr="00016FA4">
              <w:t>1130</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298</w:t>
            </w:r>
          </w:p>
        </w:tc>
        <w:tc>
          <w:tcPr>
            <w:tcW w:w="455" w:type="pct"/>
            <w:hideMark/>
          </w:tcPr>
          <w:p w:rsidR="00AE0B1A" w:rsidRPr="00016FA4" w:rsidRDefault="00AE0B1A" w:rsidP="00016FA4">
            <w:pPr>
              <w:pStyle w:val="Tabletextright"/>
            </w:pPr>
            <w:r w:rsidRPr="00016FA4">
              <w:t>348</w:t>
            </w:r>
          </w:p>
        </w:tc>
        <w:tc>
          <w:tcPr>
            <w:tcW w:w="455" w:type="pct"/>
            <w:hideMark/>
          </w:tcPr>
          <w:p w:rsidR="00AE0B1A" w:rsidRPr="00016FA4" w:rsidRDefault="00AE0B1A" w:rsidP="00016FA4">
            <w:pPr>
              <w:pStyle w:val="Tabletextright"/>
            </w:pPr>
            <w:r w:rsidRPr="00016FA4">
              <w:t>760</w:t>
            </w:r>
          </w:p>
        </w:tc>
        <w:tc>
          <w:tcPr>
            <w:tcW w:w="455" w:type="pct"/>
            <w:hideMark/>
          </w:tcPr>
          <w:p w:rsidR="00AE0B1A" w:rsidRPr="00016FA4" w:rsidRDefault="00AE0B1A" w:rsidP="00016FA4">
            <w:pPr>
              <w:pStyle w:val="Tabletextright"/>
            </w:pPr>
            <w:r w:rsidRPr="00016FA4">
              <w:t>777</w:t>
            </w:r>
          </w:p>
        </w:tc>
        <w:tc>
          <w:tcPr>
            <w:tcW w:w="455" w:type="pct"/>
            <w:hideMark/>
          </w:tcPr>
          <w:p w:rsidR="00AE0B1A" w:rsidRPr="00016FA4" w:rsidRDefault="00AE0B1A" w:rsidP="00016FA4">
            <w:pPr>
              <w:pStyle w:val="Tabletextright"/>
            </w:pPr>
            <w:r w:rsidRPr="00016FA4">
              <w:t>792</w:t>
            </w:r>
          </w:p>
        </w:tc>
        <w:tc>
          <w:tcPr>
            <w:tcW w:w="455" w:type="pct"/>
            <w:hideMark/>
          </w:tcPr>
          <w:p w:rsidR="00AE0B1A" w:rsidRPr="00016FA4" w:rsidRDefault="00AE0B1A" w:rsidP="00016FA4">
            <w:pPr>
              <w:pStyle w:val="Tabletextright"/>
            </w:pPr>
            <w:r w:rsidRPr="00016FA4">
              <w:t>799</w:t>
            </w:r>
          </w:p>
        </w:tc>
        <w:tc>
          <w:tcPr>
            <w:tcW w:w="455" w:type="pct"/>
            <w:hideMark/>
          </w:tcPr>
          <w:p w:rsidR="00AE0B1A" w:rsidRPr="00016FA4" w:rsidRDefault="00AE0B1A" w:rsidP="00016FA4">
            <w:pPr>
              <w:pStyle w:val="Tabletextright"/>
            </w:pPr>
            <w:r w:rsidRPr="00016FA4">
              <w:t>840</w:t>
            </w:r>
          </w:p>
        </w:tc>
        <w:tc>
          <w:tcPr>
            <w:tcW w:w="455" w:type="pct"/>
            <w:hideMark/>
          </w:tcPr>
          <w:p w:rsidR="00AE0B1A" w:rsidRPr="00016FA4" w:rsidRDefault="00AE0B1A" w:rsidP="00016FA4">
            <w:pPr>
              <w:pStyle w:val="Tabletextright"/>
            </w:pPr>
            <w:r w:rsidRPr="00016FA4">
              <w:t>885</w:t>
            </w:r>
          </w:p>
        </w:tc>
        <w:tc>
          <w:tcPr>
            <w:tcW w:w="450" w:type="pct"/>
            <w:hideMark/>
          </w:tcPr>
          <w:p w:rsidR="00AE0B1A" w:rsidRPr="00016FA4" w:rsidRDefault="00AE0B1A" w:rsidP="00016FA4">
            <w:pPr>
              <w:pStyle w:val="Tabletextright"/>
            </w:pPr>
            <w:r w:rsidRPr="00016FA4">
              <w:t>1019</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Petrel 1</w:t>
            </w:r>
          </w:p>
        </w:tc>
        <w:tc>
          <w:tcPr>
            <w:tcW w:w="418" w:type="pct"/>
            <w:noWrap/>
            <w:hideMark/>
          </w:tcPr>
          <w:p w:rsidR="00AE0B1A" w:rsidRPr="00016FA4" w:rsidRDefault="00AE0B1A" w:rsidP="00016FA4">
            <w:pPr>
              <w:pStyle w:val="Tabletextleft"/>
            </w:pPr>
            <w:proofErr w:type="spellStart"/>
            <w:r w:rsidRPr="00016FA4">
              <w:t>mKB</w:t>
            </w:r>
            <w:proofErr w:type="spellEnd"/>
          </w:p>
        </w:tc>
        <w:tc>
          <w:tcPr>
            <w:tcW w:w="402" w:type="pct"/>
            <w:hideMark/>
          </w:tcPr>
          <w:p w:rsidR="00AE0B1A" w:rsidRPr="00016FA4" w:rsidRDefault="00AE0B1A" w:rsidP="00016FA4">
            <w:pPr>
              <w:pStyle w:val="Tabletextright"/>
            </w:pPr>
            <w:r w:rsidRPr="00016FA4">
              <w:t>304</w:t>
            </w:r>
          </w:p>
        </w:tc>
        <w:tc>
          <w:tcPr>
            <w:tcW w:w="455" w:type="pct"/>
            <w:hideMark/>
          </w:tcPr>
          <w:p w:rsidR="00AE0B1A" w:rsidRPr="00016FA4" w:rsidRDefault="00AE0B1A" w:rsidP="00016FA4">
            <w:pPr>
              <w:pStyle w:val="Tabletextright"/>
            </w:pPr>
            <w:r w:rsidRPr="00016FA4">
              <w:t>546</w:t>
            </w:r>
          </w:p>
        </w:tc>
        <w:tc>
          <w:tcPr>
            <w:tcW w:w="455" w:type="pct"/>
            <w:hideMark/>
          </w:tcPr>
          <w:p w:rsidR="00AE0B1A" w:rsidRPr="00016FA4" w:rsidRDefault="00AE0B1A" w:rsidP="00016FA4">
            <w:pPr>
              <w:pStyle w:val="Tabletextright"/>
            </w:pPr>
            <w:r w:rsidRPr="00016FA4">
              <w:t>1300</w:t>
            </w:r>
          </w:p>
        </w:tc>
        <w:tc>
          <w:tcPr>
            <w:tcW w:w="455" w:type="pct"/>
            <w:hideMark/>
          </w:tcPr>
          <w:p w:rsidR="00AE0B1A" w:rsidRPr="00016FA4" w:rsidRDefault="00AE0B1A" w:rsidP="00016FA4">
            <w:pPr>
              <w:pStyle w:val="Tabletextright"/>
            </w:pPr>
            <w:r w:rsidRPr="00016FA4">
              <w:t>1315</w:t>
            </w:r>
          </w:p>
        </w:tc>
        <w:tc>
          <w:tcPr>
            <w:tcW w:w="455" w:type="pct"/>
            <w:hideMark/>
          </w:tcPr>
          <w:p w:rsidR="00AE0B1A" w:rsidRPr="00016FA4" w:rsidRDefault="00AE0B1A" w:rsidP="00016FA4">
            <w:pPr>
              <w:pStyle w:val="Tabletextright"/>
            </w:pPr>
            <w:r w:rsidRPr="00016FA4">
              <w:t>1330</w:t>
            </w:r>
          </w:p>
        </w:tc>
        <w:tc>
          <w:tcPr>
            <w:tcW w:w="455" w:type="pct"/>
            <w:hideMark/>
          </w:tcPr>
          <w:p w:rsidR="00AE0B1A" w:rsidRPr="00016FA4" w:rsidRDefault="00AE0B1A" w:rsidP="00016FA4">
            <w:pPr>
              <w:pStyle w:val="Tabletextright"/>
            </w:pPr>
            <w:r w:rsidRPr="00016FA4">
              <w:t>1575</w:t>
            </w:r>
          </w:p>
        </w:tc>
        <w:tc>
          <w:tcPr>
            <w:tcW w:w="455" w:type="pct"/>
            <w:hideMark/>
          </w:tcPr>
          <w:p w:rsidR="00AE0B1A" w:rsidRPr="00016FA4" w:rsidRDefault="00AE0B1A" w:rsidP="00016FA4">
            <w:pPr>
              <w:pStyle w:val="Tabletextright"/>
            </w:pPr>
            <w:r w:rsidRPr="00016FA4">
              <w:t>1830</w:t>
            </w:r>
          </w:p>
        </w:tc>
        <w:tc>
          <w:tcPr>
            <w:tcW w:w="455" w:type="pct"/>
            <w:hideMark/>
          </w:tcPr>
          <w:p w:rsidR="00AE0B1A" w:rsidRPr="00016FA4" w:rsidRDefault="00AE0B1A" w:rsidP="00016FA4">
            <w:pPr>
              <w:pStyle w:val="Tabletextright"/>
            </w:pPr>
            <w:r w:rsidRPr="00016FA4">
              <w:t>1900</w:t>
            </w:r>
          </w:p>
        </w:tc>
        <w:tc>
          <w:tcPr>
            <w:tcW w:w="450" w:type="pct"/>
            <w:hideMark/>
          </w:tcPr>
          <w:p w:rsidR="00AE0B1A" w:rsidRPr="00016FA4" w:rsidRDefault="00AE0B1A" w:rsidP="00016FA4">
            <w:pPr>
              <w:pStyle w:val="Tabletextright"/>
            </w:pPr>
            <w:r w:rsidRPr="00016FA4">
              <w:t>2230</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tcPr>
          <w:p w:rsidR="00AE0B1A" w:rsidRPr="00016FA4" w:rsidRDefault="00AE0B1A" w:rsidP="00016FA4">
            <w:pPr>
              <w:pStyle w:val="Tabletextleft"/>
            </w:pPr>
          </w:p>
        </w:tc>
        <w:tc>
          <w:tcPr>
            <w:tcW w:w="418" w:type="pct"/>
            <w:noWrap/>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tcPr>
          <w:p w:rsidR="00AE0B1A" w:rsidRPr="00016FA4" w:rsidRDefault="00AE0B1A" w:rsidP="00016FA4">
            <w:pPr>
              <w:pStyle w:val="Tabletextright"/>
            </w:pPr>
            <w:r w:rsidRPr="00016FA4">
              <w:t>306</w:t>
            </w:r>
          </w:p>
        </w:tc>
        <w:tc>
          <w:tcPr>
            <w:tcW w:w="455" w:type="pct"/>
          </w:tcPr>
          <w:p w:rsidR="00AE0B1A" w:rsidRPr="00016FA4" w:rsidRDefault="00AE0B1A" w:rsidP="00016FA4">
            <w:pPr>
              <w:pStyle w:val="Tabletextright"/>
            </w:pPr>
            <w:r w:rsidRPr="00016FA4">
              <w:t>553</w:t>
            </w:r>
          </w:p>
        </w:tc>
        <w:tc>
          <w:tcPr>
            <w:tcW w:w="455" w:type="pct"/>
          </w:tcPr>
          <w:p w:rsidR="00AE0B1A" w:rsidRPr="00016FA4" w:rsidRDefault="00AE0B1A" w:rsidP="00016FA4">
            <w:pPr>
              <w:pStyle w:val="Tabletextright"/>
            </w:pPr>
            <w:r w:rsidRPr="00016FA4">
              <w:t>1246</w:t>
            </w:r>
          </w:p>
        </w:tc>
        <w:tc>
          <w:tcPr>
            <w:tcW w:w="455" w:type="pct"/>
          </w:tcPr>
          <w:p w:rsidR="00AE0B1A" w:rsidRPr="00016FA4" w:rsidRDefault="00AE0B1A" w:rsidP="00016FA4">
            <w:pPr>
              <w:pStyle w:val="Tabletextright"/>
            </w:pPr>
            <w:r w:rsidRPr="00016FA4">
              <w:t>1256</w:t>
            </w:r>
          </w:p>
        </w:tc>
        <w:tc>
          <w:tcPr>
            <w:tcW w:w="455" w:type="pct"/>
          </w:tcPr>
          <w:p w:rsidR="00AE0B1A" w:rsidRPr="00016FA4" w:rsidRDefault="00AE0B1A" w:rsidP="00016FA4">
            <w:pPr>
              <w:pStyle w:val="Tabletextright"/>
            </w:pPr>
            <w:r w:rsidRPr="00016FA4">
              <w:t>1266</w:t>
            </w:r>
          </w:p>
        </w:tc>
        <w:tc>
          <w:tcPr>
            <w:tcW w:w="455" w:type="pct"/>
          </w:tcPr>
          <w:p w:rsidR="00AE0B1A" w:rsidRPr="00016FA4" w:rsidRDefault="00AE0B1A" w:rsidP="00016FA4">
            <w:pPr>
              <w:pStyle w:val="Tabletextright"/>
            </w:pPr>
            <w:r w:rsidRPr="00016FA4">
              <w:t>1407</w:t>
            </w:r>
          </w:p>
        </w:tc>
        <w:tc>
          <w:tcPr>
            <w:tcW w:w="455" w:type="pct"/>
          </w:tcPr>
          <w:p w:rsidR="00AE0B1A" w:rsidRPr="00016FA4" w:rsidRDefault="00AE0B1A" w:rsidP="00016FA4">
            <w:pPr>
              <w:pStyle w:val="Tabletextright"/>
            </w:pPr>
            <w:r w:rsidRPr="00016FA4">
              <w:t>1562</w:t>
            </w:r>
          </w:p>
        </w:tc>
        <w:tc>
          <w:tcPr>
            <w:tcW w:w="455" w:type="pct"/>
          </w:tcPr>
          <w:p w:rsidR="00AE0B1A" w:rsidRPr="00016FA4" w:rsidRDefault="00AE0B1A" w:rsidP="00016FA4">
            <w:pPr>
              <w:pStyle w:val="Tabletextright"/>
            </w:pPr>
            <w:r w:rsidRPr="00016FA4">
              <w:t>1600</w:t>
            </w:r>
          </w:p>
        </w:tc>
        <w:tc>
          <w:tcPr>
            <w:tcW w:w="450" w:type="pct"/>
          </w:tcPr>
          <w:p w:rsidR="00AE0B1A" w:rsidRPr="00016FA4" w:rsidRDefault="00AE0B1A" w:rsidP="00016FA4">
            <w:pPr>
              <w:pStyle w:val="Tabletextright"/>
            </w:pPr>
            <w:r w:rsidRPr="00016FA4">
              <w:t>306</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Petrel 2</w:t>
            </w:r>
          </w:p>
        </w:tc>
        <w:tc>
          <w:tcPr>
            <w:tcW w:w="418" w:type="pct"/>
            <w:noWrap/>
            <w:hideMark/>
          </w:tcPr>
          <w:p w:rsidR="00AE0B1A" w:rsidRPr="00016FA4" w:rsidRDefault="00AE0B1A" w:rsidP="00016FA4">
            <w:pPr>
              <w:pStyle w:val="Tabletextleft"/>
            </w:pPr>
            <w:proofErr w:type="spellStart"/>
            <w:r w:rsidRPr="00016FA4">
              <w:t>mKB</w:t>
            </w:r>
            <w:proofErr w:type="spellEnd"/>
          </w:p>
        </w:tc>
        <w:tc>
          <w:tcPr>
            <w:tcW w:w="402" w:type="pct"/>
            <w:hideMark/>
          </w:tcPr>
          <w:p w:rsidR="00AE0B1A" w:rsidRPr="00016FA4" w:rsidRDefault="00AE0B1A" w:rsidP="00016FA4">
            <w:pPr>
              <w:pStyle w:val="Tabletextright"/>
            </w:pPr>
            <w:r w:rsidRPr="00016FA4">
              <w:t>290</w:t>
            </w:r>
          </w:p>
        </w:tc>
        <w:tc>
          <w:tcPr>
            <w:tcW w:w="455" w:type="pct"/>
            <w:hideMark/>
          </w:tcPr>
          <w:p w:rsidR="00AE0B1A" w:rsidRPr="00016FA4" w:rsidRDefault="00AE0B1A" w:rsidP="00016FA4">
            <w:pPr>
              <w:pStyle w:val="Tabletextright"/>
            </w:pPr>
            <w:r w:rsidRPr="00016FA4">
              <w:t>529</w:t>
            </w:r>
          </w:p>
        </w:tc>
        <w:tc>
          <w:tcPr>
            <w:tcW w:w="455" w:type="pct"/>
            <w:hideMark/>
          </w:tcPr>
          <w:p w:rsidR="00AE0B1A" w:rsidRPr="00016FA4" w:rsidRDefault="00AE0B1A" w:rsidP="00016FA4">
            <w:pPr>
              <w:pStyle w:val="Tabletextright"/>
            </w:pPr>
            <w:r w:rsidRPr="00016FA4">
              <w:t>1229</w:t>
            </w:r>
          </w:p>
        </w:tc>
        <w:tc>
          <w:tcPr>
            <w:tcW w:w="455" w:type="pct"/>
            <w:hideMark/>
          </w:tcPr>
          <w:p w:rsidR="00AE0B1A" w:rsidRPr="00016FA4" w:rsidRDefault="00AE0B1A" w:rsidP="00016FA4">
            <w:pPr>
              <w:pStyle w:val="Tabletextright"/>
            </w:pPr>
            <w:r w:rsidRPr="00016FA4">
              <w:t>1246</w:t>
            </w:r>
          </w:p>
        </w:tc>
        <w:tc>
          <w:tcPr>
            <w:tcW w:w="455" w:type="pct"/>
            <w:hideMark/>
          </w:tcPr>
          <w:p w:rsidR="00AE0B1A" w:rsidRPr="00016FA4" w:rsidRDefault="00AE0B1A" w:rsidP="00016FA4">
            <w:pPr>
              <w:pStyle w:val="Tabletextright"/>
            </w:pPr>
            <w:r w:rsidRPr="00016FA4">
              <w:t>1264</w:t>
            </w:r>
          </w:p>
        </w:tc>
        <w:tc>
          <w:tcPr>
            <w:tcW w:w="455" w:type="pct"/>
            <w:hideMark/>
          </w:tcPr>
          <w:p w:rsidR="00AE0B1A" w:rsidRPr="00016FA4" w:rsidRDefault="00AE0B1A" w:rsidP="00016FA4">
            <w:pPr>
              <w:pStyle w:val="Tabletextright"/>
            </w:pPr>
            <w:r w:rsidRPr="00016FA4">
              <w:t>1472</w:t>
            </w:r>
          </w:p>
        </w:tc>
        <w:tc>
          <w:tcPr>
            <w:tcW w:w="455" w:type="pct"/>
            <w:hideMark/>
          </w:tcPr>
          <w:p w:rsidR="00AE0B1A" w:rsidRPr="00016FA4" w:rsidRDefault="00AE0B1A" w:rsidP="00016FA4">
            <w:pPr>
              <w:pStyle w:val="Tabletextright"/>
            </w:pPr>
            <w:r w:rsidRPr="00016FA4">
              <w:t>1719</w:t>
            </w:r>
          </w:p>
        </w:tc>
        <w:tc>
          <w:tcPr>
            <w:tcW w:w="455" w:type="pct"/>
            <w:hideMark/>
          </w:tcPr>
          <w:p w:rsidR="00AE0B1A" w:rsidRPr="00016FA4" w:rsidRDefault="00AE0B1A" w:rsidP="00016FA4">
            <w:pPr>
              <w:pStyle w:val="Tabletextright"/>
            </w:pPr>
            <w:r w:rsidRPr="00016FA4">
              <w:t>1778</w:t>
            </w:r>
          </w:p>
        </w:tc>
        <w:tc>
          <w:tcPr>
            <w:tcW w:w="450" w:type="pct"/>
            <w:hideMark/>
          </w:tcPr>
          <w:p w:rsidR="00AE0B1A" w:rsidRPr="00016FA4" w:rsidRDefault="00AE0B1A" w:rsidP="00016FA4">
            <w:pPr>
              <w:pStyle w:val="Tabletextright"/>
            </w:pPr>
            <w:r w:rsidRPr="00016FA4">
              <w:t>2138</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309</w:t>
            </w:r>
          </w:p>
        </w:tc>
        <w:tc>
          <w:tcPr>
            <w:tcW w:w="455" w:type="pct"/>
            <w:hideMark/>
          </w:tcPr>
          <w:p w:rsidR="00AE0B1A" w:rsidRPr="00016FA4" w:rsidRDefault="00AE0B1A" w:rsidP="00016FA4">
            <w:pPr>
              <w:pStyle w:val="Tabletextright"/>
            </w:pPr>
            <w:r w:rsidRPr="00016FA4">
              <w:t>538</w:t>
            </w:r>
          </w:p>
        </w:tc>
        <w:tc>
          <w:tcPr>
            <w:tcW w:w="455" w:type="pct"/>
            <w:hideMark/>
          </w:tcPr>
          <w:p w:rsidR="00AE0B1A" w:rsidRPr="00016FA4" w:rsidRDefault="00AE0B1A" w:rsidP="00016FA4">
            <w:pPr>
              <w:pStyle w:val="Tabletextright"/>
            </w:pPr>
            <w:r w:rsidRPr="00016FA4">
              <w:t>1191</w:t>
            </w:r>
          </w:p>
        </w:tc>
        <w:tc>
          <w:tcPr>
            <w:tcW w:w="455" w:type="pct"/>
            <w:hideMark/>
          </w:tcPr>
          <w:p w:rsidR="00AE0B1A" w:rsidRPr="00016FA4" w:rsidRDefault="00AE0B1A" w:rsidP="00016FA4">
            <w:pPr>
              <w:pStyle w:val="Tabletextright"/>
            </w:pPr>
            <w:r w:rsidRPr="00016FA4">
              <w:t>1206</w:t>
            </w:r>
          </w:p>
        </w:tc>
        <w:tc>
          <w:tcPr>
            <w:tcW w:w="455" w:type="pct"/>
            <w:hideMark/>
          </w:tcPr>
          <w:p w:rsidR="00AE0B1A" w:rsidRPr="00016FA4" w:rsidRDefault="00AE0B1A" w:rsidP="00016FA4">
            <w:pPr>
              <w:pStyle w:val="Tabletextright"/>
            </w:pPr>
            <w:r w:rsidRPr="00016FA4">
              <w:t>1221</w:t>
            </w:r>
          </w:p>
        </w:tc>
        <w:tc>
          <w:tcPr>
            <w:tcW w:w="455" w:type="pct"/>
            <w:hideMark/>
          </w:tcPr>
          <w:p w:rsidR="00AE0B1A" w:rsidRPr="00016FA4" w:rsidRDefault="00AE0B1A" w:rsidP="00016FA4">
            <w:pPr>
              <w:pStyle w:val="Tabletextright"/>
            </w:pPr>
            <w:r w:rsidRPr="00016FA4">
              <w:t>1350</w:t>
            </w:r>
          </w:p>
        </w:tc>
        <w:tc>
          <w:tcPr>
            <w:tcW w:w="455" w:type="pct"/>
            <w:hideMark/>
          </w:tcPr>
          <w:p w:rsidR="00AE0B1A" w:rsidRPr="00016FA4" w:rsidRDefault="00AE0B1A" w:rsidP="00016FA4">
            <w:pPr>
              <w:pStyle w:val="Tabletextright"/>
            </w:pPr>
            <w:r w:rsidRPr="00016FA4">
              <w:t>1497</w:t>
            </w:r>
          </w:p>
        </w:tc>
        <w:tc>
          <w:tcPr>
            <w:tcW w:w="455" w:type="pct"/>
            <w:hideMark/>
          </w:tcPr>
          <w:p w:rsidR="00AE0B1A" w:rsidRPr="00016FA4" w:rsidRDefault="00AE0B1A" w:rsidP="00016FA4">
            <w:pPr>
              <w:pStyle w:val="Tabletextright"/>
            </w:pPr>
            <w:r w:rsidRPr="00016FA4">
              <w:t>1537</w:t>
            </w:r>
          </w:p>
        </w:tc>
        <w:tc>
          <w:tcPr>
            <w:tcW w:w="450" w:type="pct"/>
            <w:hideMark/>
          </w:tcPr>
          <w:p w:rsidR="00AE0B1A" w:rsidRPr="00016FA4" w:rsidRDefault="00AE0B1A" w:rsidP="00016FA4">
            <w:pPr>
              <w:pStyle w:val="Tabletextright"/>
            </w:pPr>
            <w:r w:rsidRPr="00016FA4">
              <w:t>1728</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Petrel 3</w:t>
            </w:r>
          </w:p>
        </w:tc>
        <w:tc>
          <w:tcPr>
            <w:tcW w:w="418" w:type="pct"/>
            <w:noWrap/>
            <w:hideMark/>
          </w:tcPr>
          <w:p w:rsidR="00AE0B1A" w:rsidRPr="00016FA4" w:rsidRDefault="00AE0B1A" w:rsidP="00016FA4">
            <w:pPr>
              <w:pStyle w:val="Tabletextleft"/>
            </w:pPr>
            <w:proofErr w:type="spellStart"/>
            <w:r w:rsidRPr="00016FA4">
              <w:t>mKB</w:t>
            </w:r>
            <w:proofErr w:type="spellEnd"/>
          </w:p>
        </w:tc>
        <w:tc>
          <w:tcPr>
            <w:tcW w:w="402" w:type="pct"/>
            <w:hideMark/>
          </w:tcPr>
          <w:p w:rsidR="00AE0B1A" w:rsidRPr="00016FA4" w:rsidRDefault="00AE0B1A" w:rsidP="00016FA4">
            <w:pPr>
              <w:pStyle w:val="Tabletextright"/>
            </w:pPr>
            <w:r w:rsidRPr="00016FA4">
              <w:t>321</w:t>
            </w:r>
          </w:p>
        </w:tc>
        <w:tc>
          <w:tcPr>
            <w:tcW w:w="455" w:type="pct"/>
            <w:hideMark/>
          </w:tcPr>
          <w:p w:rsidR="00AE0B1A" w:rsidRPr="00016FA4" w:rsidRDefault="00AE0B1A" w:rsidP="00016FA4">
            <w:pPr>
              <w:pStyle w:val="Tabletextright"/>
            </w:pPr>
            <w:r w:rsidRPr="00016FA4">
              <w:t>527</w:t>
            </w:r>
          </w:p>
        </w:tc>
        <w:tc>
          <w:tcPr>
            <w:tcW w:w="455" w:type="pct"/>
            <w:hideMark/>
          </w:tcPr>
          <w:p w:rsidR="00AE0B1A" w:rsidRPr="00016FA4" w:rsidRDefault="00AE0B1A" w:rsidP="00016FA4">
            <w:pPr>
              <w:pStyle w:val="Tabletextright"/>
            </w:pPr>
            <w:r w:rsidRPr="00016FA4">
              <w:t>1190</w:t>
            </w:r>
          </w:p>
        </w:tc>
        <w:tc>
          <w:tcPr>
            <w:tcW w:w="455" w:type="pct"/>
            <w:hideMark/>
          </w:tcPr>
          <w:p w:rsidR="00AE0B1A" w:rsidRPr="00016FA4" w:rsidRDefault="00AE0B1A" w:rsidP="00016FA4">
            <w:pPr>
              <w:pStyle w:val="Tabletextright"/>
            </w:pPr>
            <w:r w:rsidRPr="00016FA4">
              <w:t>1225</w:t>
            </w:r>
          </w:p>
        </w:tc>
        <w:tc>
          <w:tcPr>
            <w:tcW w:w="455" w:type="pct"/>
            <w:hideMark/>
          </w:tcPr>
          <w:p w:rsidR="00AE0B1A" w:rsidRPr="00016FA4" w:rsidRDefault="00AE0B1A" w:rsidP="00016FA4">
            <w:pPr>
              <w:pStyle w:val="Tabletextright"/>
            </w:pPr>
            <w:r w:rsidRPr="00016FA4">
              <w:t>1240</w:t>
            </w:r>
          </w:p>
        </w:tc>
        <w:tc>
          <w:tcPr>
            <w:tcW w:w="455" w:type="pct"/>
            <w:hideMark/>
          </w:tcPr>
          <w:p w:rsidR="00AE0B1A" w:rsidRPr="00016FA4" w:rsidRDefault="00AE0B1A" w:rsidP="00016FA4">
            <w:pPr>
              <w:pStyle w:val="Tabletextright"/>
            </w:pPr>
            <w:r w:rsidRPr="00016FA4">
              <w:t>1415</w:t>
            </w:r>
          </w:p>
        </w:tc>
        <w:tc>
          <w:tcPr>
            <w:tcW w:w="455" w:type="pct"/>
            <w:hideMark/>
          </w:tcPr>
          <w:p w:rsidR="00AE0B1A" w:rsidRPr="00016FA4" w:rsidRDefault="00AE0B1A" w:rsidP="00016FA4">
            <w:pPr>
              <w:pStyle w:val="Tabletextright"/>
            </w:pPr>
            <w:r w:rsidRPr="00016FA4">
              <w:t>1655</w:t>
            </w:r>
          </w:p>
        </w:tc>
        <w:tc>
          <w:tcPr>
            <w:tcW w:w="455" w:type="pct"/>
            <w:hideMark/>
          </w:tcPr>
          <w:p w:rsidR="00AE0B1A" w:rsidRPr="00016FA4" w:rsidRDefault="00AE0B1A" w:rsidP="00016FA4">
            <w:pPr>
              <w:pStyle w:val="Tabletextright"/>
            </w:pPr>
            <w:r w:rsidRPr="00016FA4">
              <w:t>1740</w:t>
            </w:r>
          </w:p>
        </w:tc>
        <w:tc>
          <w:tcPr>
            <w:tcW w:w="450" w:type="pct"/>
            <w:hideMark/>
          </w:tcPr>
          <w:p w:rsidR="00AE0B1A" w:rsidRPr="00016FA4" w:rsidRDefault="00AE0B1A" w:rsidP="00016FA4">
            <w:pPr>
              <w:pStyle w:val="Tabletextright"/>
            </w:pPr>
            <w:r w:rsidRPr="00016FA4">
              <w:t>2070</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304</w:t>
            </w:r>
          </w:p>
        </w:tc>
        <w:tc>
          <w:tcPr>
            <w:tcW w:w="455" w:type="pct"/>
            <w:hideMark/>
          </w:tcPr>
          <w:p w:rsidR="00AE0B1A" w:rsidRPr="00016FA4" w:rsidRDefault="00AE0B1A" w:rsidP="00016FA4">
            <w:pPr>
              <w:pStyle w:val="Tabletextright"/>
            </w:pPr>
            <w:r w:rsidRPr="00016FA4">
              <w:t>530</w:t>
            </w:r>
          </w:p>
        </w:tc>
        <w:tc>
          <w:tcPr>
            <w:tcW w:w="455" w:type="pct"/>
            <w:hideMark/>
          </w:tcPr>
          <w:p w:rsidR="00AE0B1A" w:rsidRPr="00016FA4" w:rsidRDefault="00AE0B1A" w:rsidP="00016FA4">
            <w:pPr>
              <w:pStyle w:val="Tabletextright"/>
            </w:pPr>
            <w:r w:rsidRPr="00016FA4">
              <w:t>1157</w:t>
            </w:r>
          </w:p>
        </w:tc>
        <w:tc>
          <w:tcPr>
            <w:tcW w:w="455" w:type="pct"/>
            <w:hideMark/>
          </w:tcPr>
          <w:p w:rsidR="00AE0B1A" w:rsidRPr="00016FA4" w:rsidRDefault="00AE0B1A" w:rsidP="00016FA4">
            <w:pPr>
              <w:pStyle w:val="Tabletextright"/>
            </w:pPr>
            <w:r w:rsidRPr="00016FA4">
              <w:t>1187</w:t>
            </w:r>
          </w:p>
        </w:tc>
        <w:tc>
          <w:tcPr>
            <w:tcW w:w="455" w:type="pct"/>
            <w:hideMark/>
          </w:tcPr>
          <w:p w:rsidR="00AE0B1A" w:rsidRPr="00016FA4" w:rsidRDefault="00AE0B1A" w:rsidP="00016FA4">
            <w:pPr>
              <w:pStyle w:val="Tabletextright"/>
            </w:pPr>
            <w:r w:rsidRPr="00016FA4">
              <w:t>1197</w:t>
            </w:r>
          </w:p>
        </w:tc>
        <w:tc>
          <w:tcPr>
            <w:tcW w:w="455" w:type="pct"/>
            <w:hideMark/>
          </w:tcPr>
          <w:p w:rsidR="00AE0B1A" w:rsidRPr="00016FA4" w:rsidRDefault="00AE0B1A" w:rsidP="00016FA4">
            <w:pPr>
              <w:pStyle w:val="Tabletextright"/>
            </w:pPr>
            <w:r w:rsidRPr="00016FA4">
              <w:t>1305</w:t>
            </w:r>
          </w:p>
        </w:tc>
        <w:tc>
          <w:tcPr>
            <w:tcW w:w="455" w:type="pct"/>
            <w:hideMark/>
          </w:tcPr>
          <w:p w:rsidR="00AE0B1A" w:rsidRPr="00016FA4" w:rsidRDefault="00AE0B1A" w:rsidP="00016FA4">
            <w:pPr>
              <w:pStyle w:val="Tabletextright"/>
            </w:pPr>
            <w:r w:rsidRPr="00016FA4">
              <w:t>1449</w:t>
            </w:r>
          </w:p>
        </w:tc>
        <w:tc>
          <w:tcPr>
            <w:tcW w:w="455" w:type="pct"/>
            <w:hideMark/>
          </w:tcPr>
          <w:p w:rsidR="00AE0B1A" w:rsidRPr="00016FA4" w:rsidRDefault="00AE0B1A" w:rsidP="00016FA4">
            <w:pPr>
              <w:pStyle w:val="Tabletextright"/>
            </w:pPr>
            <w:r w:rsidRPr="00016FA4">
              <w:t>1496</w:t>
            </w:r>
          </w:p>
        </w:tc>
        <w:tc>
          <w:tcPr>
            <w:tcW w:w="450" w:type="pct"/>
            <w:hideMark/>
          </w:tcPr>
          <w:p w:rsidR="00AE0B1A" w:rsidRPr="00016FA4" w:rsidRDefault="00AE0B1A" w:rsidP="00016FA4">
            <w:pPr>
              <w:pStyle w:val="Tabletextright"/>
            </w:pPr>
            <w:r w:rsidRPr="00016FA4">
              <w:t>1674</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Petrel 4</w:t>
            </w:r>
          </w:p>
        </w:tc>
        <w:tc>
          <w:tcPr>
            <w:tcW w:w="418" w:type="pct"/>
            <w:noWrap/>
            <w:hideMark/>
          </w:tcPr>
          <w:p w:rsidR="00AE0B1A" w:rsidRPr="00016FA4" w:rsidRDefault="00AE0B1A" w:rsidP="00016FA4">
            <w:pPr>
              <w:pStyle w:val="Tabletextleft"/>
            </w:pPr>
            <w:proofErr w:type="spellStart"/>
            <w:r w:rsidRPr="00016FA4">
              <w:t>mKB</w:t>
            </w:r>
            <w:proofErr w:type="spellEnd"/>
          </w:p>
        </w:tc>
        <w:tc>
          <w:tcPr>
            <w:tcW w:w="402" w:type="pct"/>
            <w:hideMark/>
          </w:tcPr>
          <w:p w:rsidR="00AE0B1A" w:rsidRPr="00016FA4" w:rsidRDefault="00AE0B1A" w:rsidP="00016FA4">
            <w:pPr>
              <w:pStyle w:val="Tabletextright"/>
            </w:pPr>
            <w:r w:rsidRPr="00016FA4">
              <w:t>279</w:t>
            </w:r>
          </w:p>
        </w:tc>
        <w:tc>
          <w:tcPr>
            <w:tcW w:w="455" w:type="pct"/>
            <w:hideMark/>
          </w:tcPr>
          <w:p w:rsidR="00AE0B1A" w:rsidRPr="00016FA4" w:rsidRDefault="00AE0B1A" w:rsidP="00016FA4">
            <w:pPr>
              <w:pStyle w:val="Tabletextright"/>
            </w:pPr>
            <w:r w:rsidRPr="00016FA4">
              <w:t>516</w:t>
            </w:r>
          </w:p>
        </w:tc>
        <w:tc>
          <w:tcPr>
            <w:tcW w:w="455" w:type="pct"/>
            <w:hideMark/>
          </w:tcPr>
          <w:p w:rsidR="00AE0B1A" w:rsidRPr="00016FA4" w:rsidRDefault="00AE0B1A" w:rsidP="00016FA4">
            <w:pPr>
              <w:pStyle w:val="Tabletextright"/>
            </w:pPr>
            <w:r w:rsidRPr="00016FA4">
              <w:t>1207</w:t>
            </w:r>
          </w:p>
        </w:tc>
        <w:tc>
          <w:tcPr>
            <w:tcW w:w="455" w:type="pct"/>
            <w:hideMark/>
          </w:tcPr>
          <w:p w:rsidR="00AE0B1A" w:rsidRPr="00016FA4" w:rsidRDefault="00AE0B1A" w:rsidP="00016FA4">
            <w:pPr>
              <w:pStyle w:val="Tabletextright"/>
            </w:pPr>
            <w:r w:rsidRPr="00016FA4">
              <w:t>1225</w:t>
            </w:r>
          </w:p>
        </w:tc>
        <w:tc>
          <w:tcPr>
            <w:tcW w:w="455" w:type="pct"/>
            <w:hideMark/>
          </w:tcPr>
          <w:p w:rsidR="00AE0B1A" w:rsidRPr="00016FA4" w:rsidRDefault="00AE0B1A" w:rsidP="00016FA4">
            <w:pPr>
              <w:pStyle w:val="Tabletextright"/>
            </w:pPr>
            <w:r w:rsidRPr="00016FA4">
              <w:t>1244</w:t>
            </w:r>
          </w:p>
        </w:tc>
        <w:tc>
          <w:tcPr>
            <w:tcW w:w="455" w:type="pct"/>
            <w:hideMark/>
          </w:tcPr>
          <w:p w:rsidR="00AE0B1A" w:rsidRPr="00016FA4" w:rsidRDefault="00AE0B1A" w:rsidP="00016FA4">
            <w:pPr>
              <w:pStyle w:val="Tabletextright"/>
            </w:pPr>
            <w:r w:rsidRPr="00016FA4">
              <w:t>1471</w:t>
            </w:r>
          </w:p>
        </w:tc>
        <w:tc>
          <w:tcPr>
            <w:tcW w:w="455" w:type="pct"/>
            <w:hideMark/>
          </w:tcPr>
          <w:p w:rsidR="00AE0B1A" w:rsidRPr="00016FA4" w:rsidRDefault="00AE0B1A" w:rsidP="00016FA4">
            <w:pPr>
              <w:pStyle w:val="Tabletextright"/>
            </w:pPr>
            <w:r w:rsidRPr="00016FA4">
              <w:t>1706</w:t>
            </w:r>
          </w:p>
        </w:tc>
        <w:tc>
          <w:tcPr>
            <w:tcW w:w="455" w:type="pct"/>
            <w:hideMark/>
          </w:tcPr>
          <w:p w:rsidR="00AE0B1A" w:rsidRPr="00016FA4" w:rsidRDefault="00AE0B1A" w:rsidP="00016FA4">
            <w:pPr>
              <w:pStyle w:val="Tabletextright"/>
            </w:pPr>
            <w:r w:rsidRPr="00016FA4">
              <w:t>1770</w:t>
            </w:r>
          </w:p>
        </w:tc>
        <w:tc>
          <w:tcPr>
            <w:tcW w:w="450" w:type="pct"/>
            <w:hideMark/>
          </w:tcPr>
          <w:p w:rsidR="00AE0B1A" w:rsidRPr="00016FA4" w:rsidRDefault="00AE0B1A" w:rsidP="00016FA4">
            <w:pPr>
              <w:pStyle w:val="Tabletextright"/>
            </w:pPr>
            <w:r w:rsidRPr="00016FA4">
              <w:t>2136</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304</w:t>
            </w:r>
          </w:p>
        </w:tc>
        <w:tc>
          <w:tcPr>
            <w:tcW w:w="455" w:type="pct"/>
            <w:hideMark/>
          </w:tcPr>
          <w:p w:rsidR="00AE0B1A" w:rsidRPr="00016FA4" w:rsidRDefault="00AE0B1A" w:rsidP="00016FA4">
            <w:pPr>
              <w:pStyle w:val="Tabletextright"/>
            </w:pPr>
            <w:r w:rsidRPr="00016FA4">
              <w:t>536</w:t>
            </w:r>
          </w:p>
        </w:tc>
        <w:tc>
          <w:tcPr>
            <w:tcW w:w="455" w:type="pct"/>
            <w:hideMark/>
          </w:tcPr>
          <w:p w:rsidR="00AE0B1A" w:rsidRPr="00016FA4" w:rsidRDefault="00AE0B1A" w:rsidP="00016FA4">
            <w:pPr>
              <w:pStyle w:val="Tabletextright"/>
            </w:pPr>
            <w:r w:rsidRPr="00016FA4">
              <w:t>1175</w:t>
            </w:r>
          </w:p>
        </w:tc>
        <w:tc>
          <w:tcPr>
            <w:tcW w:w="455" w:type="pct"/>
            <w:hideMark/>
          </w:tcPr>
          <w:p w:rsidR="00AE0B1A" w:rsidRPr="00016FA4" w:rsidRDefault="00AE0B1A" w:rsidP="00016FA4">
            <w:pPr>
              <w:pStyle w:val="Tabletextright"/>
            </w:pPr>
            <w:r w:rsidRPr="00016FA4">
              <w:t>1189</w:t>
            </w:r>
          </w:p>
        </w:tc>
        <w:tc>
          <w:tcPr>
            <w:tcW w:w="455" w:type="pct"/>
            <w:hideMark/>
          </w:tcPr>
          <w:p w:rsidR="00AE0B1A" w:rsidRPr="00016FA4" w:rsidRDefault="00AE0B1A" w:rsidP="00016FA4">
            <w:pPr>
              <w:pStyle w:val="Tabletextright"/>
            </w:pPr>
            <w:r w:rsidRPr="00016FA4">
              <w:t>1205</w:t>
            </w:r>
          </w:p>
        </w:tc>
        <w:tc>
          <w:tcPr>
            <w:tcW w:w="455" w:type="pct"/>
            <w:hideMark/>
          </w:tcPr>
          <w:p w:rsidR="00AE0B1A" w:rsidRPr="00016FA4" w:rsidRDefault="00AE0B1A" w:rsidP="00016FA4">
            <w:pPr>
              <w:pStyle w:val="Tabletextright"/>
            </w:pPr>
            <w:r w:rsidRPr="00016FA4">
              <w:t>1343</w:t>
            </w:r>
          </w:p>
        </w:tc>
        <w:tc>
          <w:tcPr>
            <w:tcW w:w="455" w:type="pct"/>
            <w:hideMark/>
          </w:tcPr>
          <w:p w:rsidR="00AE0B1A" w:rsidRPr="00016FA4" w:rsidRDefault="00AE0B1A" w:rsidP="00016FA4">
            <w:pPr>
              <w:pStyle w:val="Tabletextright"/>
            </w:pPr>
            <w:r w:rsidRPr="00016FA4">
              <w:t>1488</w:t>
            </w:r>
          </w:p>
        </w:tc>
        <w:tc>
          <w:tcPr>
            <w:tcW w:w="455" w:type="pct"/>
            <w:hideMark/>
          </w:tcPr>
          <w:p w:rsidR="00AE0B1A" w:rsidRPr="00016FA4" w:rsidRDefault="00AE0B1A" w:rsidP="00016FA4">
            <w:pPr>
              <w:pStyle w:val="Tabletextright"/>
            </w:pPr>
            <w:r w:rsidRPr="00016FA4">
              <w:t>1528</w:t>
            </w:r>
          </w:p>
        </w:tc>
        <w:tc>
          <w:tcPr>
            <w:tcW w:w="450" w:type="pct"/>
            <w:hideMark/>
          </w:tcPr>
          <w:p w:rsidR="00AE0B1A" w:rsidRPr="00016FA4" w:rsidRDefault="00AE0B1A" w:rsidP="00016FA4">
            <w:pPr>
              <w:pStyle w:val="Tabletextright"/>
            </w:pPr>
            <w:r w:rsidRPr="00016FA4">
              <w:t>1727</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Petrel 5</w:t>
            </w:r>
          </w:p>
        </w:tc>
        <w:tc>
          <w:tcPr>
            <w:tcW w:w="418" w:type="pct"/>
            <w:hideMark/>
          </w:tcPr>
          <w:p w:rsidR="00AE0B1A" w:rsidRPr="00016FA4" w:rsidRDefault="00AE0B1A" w:rsidP="00016FA4">
            <w:pPr>
              <w:pStyle w:val="Tabletextleft"/>
            </w:pPr>
            <w:proofErr w:type="spellStart"/>
            <w:r w:rsidRPr="00016FA4">
              <w:t>mRT</w:t>
            </w:r>
            <w:proofErr w:type="spellEnd"/>
          </w:p>
        </w:tc>
        <w:tc>
          <w:tcPr>
            <w:tcW w:w="402" w:type="pct"/>
            <w:hideMark/>
          </w:tcPr>
          <w:p w:rsidR="00AE0B1A" w:rsidRPr="00016FA4" w:rsidRDefault="00AE0B1A" w:rsidP="00016FA4">
            <w:pPr>
              <w:pStyle w:val="Tabletextright"/>
            </w:pPr>
            <w:r w:rsidRPr="00016FA4">
              <w:t>298</w:t>
            </w:r>
          </w:p>
        </w:tc>
        <w:tc>
          <w:tcPr>
            <w:tcW w:w="455" w:type="pct"/>
            <w:hideMark/>
          </w:tcPr>
          <w:p w:rsidR="00AE0B1A" w:rsidRPr="00016FA4" w:rsidRDefault="00AE0B1A" w:rsidP="00016FA4">
            <w:pPr>
              <w:pStyle w:val="Tabletextright"/>
            </w:pPr>
            <w:r w:rsidRPr="00016FA4">
              <w:t>485</w:t>
            </w:r>
          </w:p>
        </w:tc>
        <w:tc>
          <w:tcPr>
            <w:tcW w:w="455" w:type="pct"/>
            <w:hideMark/>
          </w:tcPr>
          <w:p w:rsidR="00AE0B1A" w:rsidRPr="00016FA4" w:rsidRDefault="00AE0B1A" w:rsidP="00016FA4">
            <w:pPr>
              <w:pStyle w:val="Tabletextright"/>
            </w:pPr>
            <w:r w:rsidRPr="00016FA4">
              <w:t>1320</w:t>
            </w:r>
          </w:p>
        </w:tc>
        <w:tc>
          <w:tcPr>
            <w:tcW w:w="455" w:type="pct"/>
            <w:hideMark/>
          </w:tcPr>
          <w:p w:rsidR="00AE0B1A" w:rsidRPr="00016FA4" w:rsidRDefault="00AE0B1A" w:rsidP="00016FA4">
            <w:pPr>
              <w:pStyle w:val="Tabletextright"/>
            </w:pPr>
            <w:r w:rsidRPr="00016FA4">
              <w:t>1350</w:t>
            </w:r>
          </w:p>
        </w:tc>
        <w:tc>
          <w:tcPr>
            <w:tcW w:w="455" w:type="pct"/>
            <w:hideMark/>
          </w:tcPr>
          <w:p w:rsidR="00AE0B1A" w:rsidRPr="00016FA4" w:rsidRDefault="00AE0B1A" w:rsidP="00016FA4">
            <w:pPr>
              <w:pStyle w:val="Tabletextright"/>
            </w:pPr>
            <w:r w:rsidRPr="00016FA4">
              <w:t>1370</w:t>
            </w:r>
          </w:p>
        </w:tc>
        <w:tc>
          <w:tcPr>
            <w:tcW w:w="455" w:type="pct"/>
            <w:hideMark/>
          </w:tcPr>
          <w:p w:rsidR="00AE0B1A" w:rsidRPr="00016FA4" w:rsidRDefault="00AE0B1A" w:rsidP="00016FA4">
            <w:pPr>
              <w:pStyle w:val="Tabletextright"/>
            </w:pPr>
            <w:r w:rsidRPr="00016FA4">
              <w:t>1610</w:t>
            </w:r>
          </w:p>
        </w:tc>
        <w:tc>
          <w:tcPr>
            <w:tcW w:w="455" w:type="pct"/>
            <w:hideMark/>
          </w:tcPr>
          <w:p w:rsidR="00AE0B1A" w:rsidRPr="00016FA4" w:rsidRDefault="00AE0B1A" w:rsidP="00016FA4">
            <w:pPr>
              <w:pStyle w:val="Tabletextright"/>
            </w:pPr>
            <w:r w:rsidRPr="00016FA4">
              <w:t>1870</w:t>
            </w:r>
          </w:p>
        </w:tc>
        <w:tc>
          <w:tcPr>
            <w:tcW w:w="455" w:type="pct"/>
            <w:hideMark/>
          </w:tcPr>
          <w:p w:rsidR="00AE0B1A" w:rsidRPr="00016FA4" w:rsidRDefault="00AE0B1A" w:rsidP="00016FA4">
            <w:pPr>
              <w:pStyle w:val="Tabletextright"/>
            </w:pPr>
            <w:r w:rsidRPr="00016FA4">
              <w:t>1945</w:t>
            </w:r>
          </w:p>
        </w:tc>
        <w:tc>
          <w:tcPr>
            <w:tcW w:w="450" w:type="pct"/>
            <w:hideMark/>
          </w:tcPr>
          <w:p w:rsidR="00AE0B1A" w:rsidRPr="00016FA4" w:rsidRDefault="00AE0B1A" w:rsidP="00016FA4">
            <w:pPr>
              <w:pStyle w:val="Tabletextright"/>
            </w:pPr>
            <w:r w:rsidRPr="00016FA4">
              <w:t>2315</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335</w:t>
            </w:r>
          </w:p>
        </w:tc>
        <w:tc>
          <w:tcPr>
            <w:tcW w:w="455" w:type="pct"/>
            <w:hideMark/>
          </w:tcPr>
          <w:p w:rsidR="00AE0B1A" w:rsidRPr="00016FA4" w:rsidRDefault="00AE0B1A" w:rsidP="00016FA4">
            <w:pPr>
              <w:pStyle w:val="Tabletextright"/>
            </w:pPr>
            <w:r w:rsidRPr="00016FA4">
              <w:t>513</w:t>
            </w:r>
          </w:p>
        </w:tc>
        <w:tc>
          <w:tcPr>
            <w:tcW w:w="455" w:type="pct"/>
            <w:hideMark/>
          </w:tcPr>
          <w:p w:rsidR="00AE0B1A" w:rsidRPr="00016FA4" w:rsidRDefault="00AE0B1A" w:rsidP="00016FA4">
            <w:pPr>
              <w:pStyle w:val="Tabletextright"/>
            </w:pPr>
            <w:r w:rsidRPr="00016FA4">
              <w:t>1263</w:t>
            </w:r>
          </w:p>
        </w:tc>
        <w:tc>
          <w:tcPr>
            <w:tcW w:w="455" w:type="pct"/>
            <w:hideMark/>
          </w:tcPr>
          <w:p w:rsidR="00AE0B1A" w:rsidRPr="00016FA4" w:rsidRDefault="00AE0B1A" w:rsidP="00016FA4">
            <w:pPr>
              <w:pStyle w:val="Tabletextright"/>
            </w:pPr>
            <w:r w:rsidRPr="00016FA4">
              <w:t>1285</w:t>
            </w:r>
          </w:p>
        </w:tc>
        <w:tc>
          <w:tcPr>
            <w:tcW w:w="455" w:type="pct"/>
            <w:hideMark/>
          </w:tcPr>
          <w:p w:rsidR="00AE0B1A" w:rsidRPr="00016FA4" w:rsidRDefault="00AE0B1A" w:rsidP="00016FA4">
            <w:pPr>
              <w:pStyle w:val="Tabletextright"/>
            </w:pPr>
            <w:r w:rsidRPr="00016FA4">
              <w:t>1299</w:t>
            </w:r>
          </w:p>
        </w:tc>
        <w:tc>
          <w:tcPr>
            <w:tcW w:w="455" w:type="pct"/>
            <w:hideMark/>
          </w:tcPr>
          <w:p w:rsidR="00AE0B1A" w:rsidRPr="00016FA4" w:rsidRDefault="00AE0B1A" w:rsidP="00016FA4">
            <w:pPr>
              <w:pStyle w:val="Tabletextright"/>
            </w:pPr>
            <w:r w:rsidRPr="00016FA4">
              <w:t>1440</w:t>
            </w:r>
          </w:p>
        </w:tc>
        <w:tc>
          <w:tcPr>
            <w:tcW w:w="455" w:type="pct"/>
            <w:hideMark/>
          </w:tcPr>
          <w:p w:rsidR="00AE0B1A" w:rsidRPr="00016FA4" w:rsidRDefault="00AE0B1A" w:rsidP="00016FA4">
            <w:pPr>
              <w:pStyle w:val="Tabletextright"/>
            </w:pPr>
            <w:r w:rsidRPr="00016FA4">
              <w:t>1596</w:t>
            </w:r>
          </w:p>
        </w:tc>
        <w:tc>
          <w:tcPr>
            <w:tcW w:w="455" w:type="pct"/>
            <w:hideMark/>
          </w:tcPr>
          <w:p w:rsidR="00AE0B1A" w:rsidRPr="00016FA4" w:rsidRDefault="00AE0B1A" w:rsidP="00016FA4">
            <w:pPr>
              <w:pStyle w:val="Tabletextright"/>
            </w:pPr>
            <w:r w:rsidRPr="00016FA4">
              <w:t>1636</w:t>
            </w:r>
          </w:p>
        </w:tc>
        <w:tc>
          <w:tcPr>
            <w:tcW w:w="450" w:type="pct"/>
            <w:hideMark/>
          </w:tcPr>
          <w:p w:rsidR="00AE0B1A" w:rsidRPr="00016FA4" w:rsidRDefault="00AE0B1A" w:rsidP="00016FA4">
            <w:pPr>
              <w:pStyle w:val="Tabletextright"/>
            </w:pPr>
            <w:r w:rsidRPr="00016FA4">
              <w:t>1819</w:t>
            </w:r>
          </w:p>
        </w:tc>
      </w:tr>
      <w:tr w:rsidR="00AE0B1A" w:rsidRPr="00016FA4" w:rsidTr="00AE0B1A">
        <w:trPr>
          <w:cnfStyle w:val="000000100000" w:firstRow="0" w:lastRow="0" w:firstColumn="0" w:lastColumn="0" w:oddVBand="0" w:evenVBand="0" w:oddHBand="1" w:evenHBand="0" w:firstRowFirstColumn="0" w:firstRowLastColumn="0" w:lastRowFirstColumn="0" w:lastRowLastColumn="0"/>
          <w:cantSplit/>
        </w:trPr>
        <w:tc>
          <w:tcPr>
            <w:tcW w:w="544" w:type="pct"/>
            <w:hideMark/>
          </w:tcPr>
          <w:p w:rsidR="00AE0B1A" w:rsidRPr="00016FA4" w:rsidRDefault="00AE0B1A" w:rsidP="00016FA4">
            <w:pPr>
              <w:pStyle w:val="Tabletextleft"/>
            </w:pPr>
            <w:r w:rsidRPr="00016FA4">
              <w:t>Tern 1</w:t>
            </w:r>
          </w:p>
        </w:tc>
        <w:tc>
          <w:tcPr>
            <w:tcW w:w="418" w:type="pct"/>
            <w:noWrap/>
            <w:hideMark/>
          </w:tcPr>
          <w:p w:rsidR="00AE0B1A" w:rsidRPr="00016FA4" w:rsidRDefault="00AE0B1A" w:rsidP="00016FA4">
            <w:pPr>
              <w:pStyle w:val="Tabletextleft"/>
            </w:pPr>
            <w:proofErr w:type="spellStart"/>
            <w:r w:rsidRPr="00016FA4">
              <w:t>mKB</w:t>
            </w:r>
            <w:proofErr w:type="spellEnd"/>
          </w:p>
        </w:tc>
        <w:tc>
          <w:tcPr>
            <w:tcW w:w="402" w:type="pct"/>
            <w:hideMark/>
          </w:tcPr>
          <w:p w:rsidR="00AE0B1A" w:rsidRPr="00016FA4" w:rsidRDefault="00AE0B1A" w:rsidP="00016FA4">
            <w:pPr>
              <w:pStyle w:val="Tabletextright"/>
            </w:pPr>
            <w:r w:rsidRPr="00016FA4">
              <w:t>334</w:t>
            </w:r>
          </w:p>
        </w:tc>
        <w:tc>
          <w:tcPr>
            <w:tcW w:w="455" w:type="pct"/>
            <w:hideMark/>
          </w:tcPr>
          <w:p w:rsidR="00AE0B1A" w:rsidRPr="00016FA4" w:rsidRDefault="00AE0B1A" w:rsidP="00016FA4">
            <w:pPr>
              <w:pStyle w:val="Tabletextright"/>
            </w:pPr>
            <w:r w:rsidRPr="00016FA4">
              <w:t>496</w:t>
            </w:r>
          </w:p>
        </w:tc>
        <w:tc>
          <w:tcPr>
            <w:tcW w:w="455" w:type="pct"/>
            <w:hideMark/>
          </w:tcPr>
          <w:p w:rsidR="00AE0B1A" w:rsidRPr="00016FA4" w:rsidRDefault="00AE0B1A" w:rsidP="00016FA4">
            <w:pPr>
              <w:pStyle w:val="Tabletextright"/>
            </w:pPr>
            <w:r w:rsidRPr="00016FA4">
              <w:t>1090</w:t>
            </w:r>
          </w:p>
        </w:tc>
        <w:tc>
          <w:tcPr>
            <w:tcW w:w="455" w:type="pct"/>
            <w:hideMark/>
          </w:tcPr>
          <w:p w:rsidR="00AE0B1A" w:rsidRPr="00016FA4" w:rsidRDefault="00AE0B1A" w:rsidP="00016FA4">
            <w:pPr>
              <w:pStyle w:val="Tabletextright"/>
            </w:pPr>
            <w:r w:rsidRPr="00016FA4">
              <w:t>1110</w:t>
            </w:r>
          </w:p>
        </w:tc>
        <w:tc>
          <w:tcPr>
            <w:tcW w:w="455" w:type="pct"/>
            <w:hideMark/>
          </w:tcPr>
          <w:p w:rsidR="00AE0B1A" w:rsidRPr="00016FA4" w:rsidRDefault="00AE0B1A" w:rsidP="00016FA4">
            <w:pPr>
              <w:pStyle w:val="Tabletextright"/>
            </w:pPr>
            <w:r w:rsidRPr="00016FA4">
              <w:t>1110</w:t>
            </w:r>
          </w:p>
        </w:tc>
        <w:tc>
          <w:tcPr>
            <w:tcW w:w="455" w:type="pct"/>
            <w:hideMark/>
          </w:tcPr>
          <w:p w:rsidR="00AE0B1A" w:rsidRPr="00016FA4" w:rsidRDefault="00AE0B1A" w:rsidP="00016FA4">
            <w:pPr>
              <w:pStyle w:val="Tabletextright"/>
            </w:pPr>
            <w:r w:rsidRPr="00016FA4">
              <w:t>1225</w:t>
            </w:r>
          </w:p>
        </w:tc>
        <w:tc>
          <w:tcPr>
            <w:tcW w:w="455" w:type="pct"/>
            <w:hideMark/>
          </w:tcPr>
          <w:p w:rsidR="00AE0B1A" w:rsidRPr="00016FA4" w:rsidRDefault="00AE0B1A" w:rsidP="00016FA4">
            <w:pPr>
              <w:pStyle w:val="Tabletextright"/>
            </w:pPr>
            <w:r w:rsidRPr="00016FA4">
              <w:t>1335</w:t>
            </w:r>
          </w:p>
        </w:tc>
        <w:tc>
          <w:tcPr>
            <w:tcW w:w="455" w:type="pct"/>
            <w:hideMark/>
          </w:tcPr>
          <w:p w:rsidR="00AE0B1A" w:rsidRPr="00016FA4" w:rsidRDefault="00AE0B1A" w:rsidP="00016FA4">
            <w:pPr>
              <w:pStyle w:val="Tabletextright"/>
            </w:pPr>
            <w:r w:rsidRPr="00016FA4">
              <w:t>1440</w:t>
            </w:r>
          </w:p>
        </w:tc>
        <w:tc>
          <w:tcPr>
            <w:tcW w:w="450" w:type="pct"/>
            <w:hideMark/>
          </w:tcPr>
          <w:p w:rsidR="00AE0B1A" w:rsidRPr="00016FA4" w:rsidRDefault="00AE0B1A" w:rsidP="00016FA4">
            <w:pPr>
              <w:pStyle w:val="Tabletextright"/>
            </w:pPr>
            <w:r w:rsidRPr="00016FA4">
              <w:t>1660</w:t>
            </w:r>
          </w:p>
        </w:tc>
      </w:tr>
      <w:tr w:rsidR="00AE0B1A" w:rsidRPr="00016FA4" w:rsidTr="00AE0B1A">
        <w:trPr>
          <w:cnfStyle w:val="000000010000" w:firstRow="0" w:lastRow="0" w:firstColumn="0" w:lastColumn="0" w:oddVBand="0" w:evenVBand="0" w:oddHBand="0" w:evenHBand="1" w:firstRowFirstColumn="0" w:firstRowLastColumn="0" w:lastRowFirstColumn="0" w:lastRowLastColumn="0"/>
          <w:cantSplit/>
        </w:trPr>
        <w:tc>
          <w:tcPr>
            <w:tcW w:w="544" w:type="pct"/>
            <w:noWrap/>
            <w:hideMark/>
          </w:tcPr>
          <w:p w:rsidR="00AE0B1A" w:rsidRPr="00016FA4" w:rsidRDefault="00AE0B1A" w:rsidP="00016FA4">
            <w:pPr>
              <w:pStyle w:val="Tabletextleft"/>
            </w:pPr>
          </w:p>
        </w:tc>
        <w:tc>
          <w:tcPr>
            <w:tcW w:w="418" w:type="pct"/>
            <w:noWrap/>
            <w:hideMark/>
          </w:tcPr>
          <w:p w:rsidR="00AE0B1A" w:rsidRPr="00016FA4" w:rsidRDefault="00AE0B1A" w:rsidP="00016FA4">
            <w:pPr>
              <w:pStyle w:val="Tabletextleft"/>
            </w:pPr>
            <w:r w:rsidRPr="00016FA4">
              <w:t>TWT (</w:t>
            </w:r>
            <w:proofErr w:type="spellStart"/>
            <w:r w:rsidRPr="00016FA4">
              <w:t>ms</w:t>
            </w:r>
            <w:proofErr w:type="spellEnd"/>
            <w:r w:rsidRPr="00016FA4">
              <w:t>)</w:t>
            </w:r>
          </w:p>
        </w:tc>
        <w:tc>
          <w:tcPr>
            <w:tcW w:w="402" w:type="pct"/>
            <w:hideMark/>
          </w:tcPr>
          <w:p w:rsidR="00AE0B1A" w:rsidRPr="00016FA4" w:rsidRDefault="00AE0B1A" w:rsidP="00016FA4">
            <w:pPr>
              <w:pStyle w:val="Tabletextright"/>
            </w:pPr>
            <w:r w:rsidRPr="00016FA4">
              <w:t>357</w:t>
            </w:r>
          </w:p>
        </w:tc>
        <w:tc>
          <w:tcPr>
            <w:tcW w:w="455" w:type="pct"/>
            <w:hideMark/>
          </w:tcPr>
          <w:p w:rsidR="00AE0B1A" w:rsidRPr="00016FA4" w:rsidRDefault="00AE0B1A" w:rsidP="00016FA4">
            <w:pPr>
              <w:pStyle w:val="Tabletextright"/>
            </w:pPr>
            <w:r w:rsidRPr="00016FA4">
              <w:t>519</w:t>
            </w:r>
          </w:p>
        </w:tc>
        <w:tc>
          <w:tcPr>
            <w:tcW w:w="455" w:type="pct"/>
            <w:hideMark/>
          </w:tcPr>
          <w:p w:rsidR="00AE0B1A" w:rsidRPr="00016FA4" w:rsidRDefault="00AE0B1A" w:rsidP="00016FA4">
            <w:pPr>
              <w:pStyle w:val="Tabletextright"/>
            </w:pPr>
            <w:r w:rsidRPr="00016FA4">
              <w:t>1079</w:t>
            </w:r>
          </w:p>
        </w:tc>
        <w:tc>
          <w:tcPr>
            <w:tcW w:w="455" w:type="pct"/>
            <w:hideMark/>
          </w:tcPr>
          <w:p w:rsidR="00AE0B1A" w:rsidRPr="00016FA4" w:rsidRDefault="00AE0B1A" w:rsidP="00016FA4">
            <w:pPr>
              <w:pStyle w:val="Tabletextright"/>
            </w:pPr>
            <w:r w:rsidRPr="00016FA4">
              <w:t>1093</w:t>
            </w:r>
          </w:p>
        </w:tc>
        <w:tc>
          <w:tcPr>
            <w:tcW w:w="455" w:type="pct"/>
            <w:hideMark/>
          </w:tcPr>
          <w:p w:rsidR="00AE0B1A" w:rsidRPr="00016FA4" w:rsidRDefault="00AE0B1A" w:rsidP="00016FA4">
            <w:pPr>
              <w:pStyle w:val="Tabletextright"/>
            </w:pPr>
            <w:r w:rsidRPr="00016FA4">
              <w:t>1093</w:t>
            </w:r>
          </w:p>
        </w:tc>
        <w:tc>
          <w:tcPr>
            <w:tcW w:w="455" w:type="pct"/>
            <w:hideMark/>
          </w:tcPr>
          <w:p w:rsidR="00AE0B1A" w:rsidRPr="00016FA4" w:rsidRDefault="00AE0B1A" w:rsidP="00016FA4">
            <w:pPr>
              <w:pStyle w:val="Tabletextright"/>
            </w:pPr>
            <w:r w:rsidRPr="00016FA4">
              <w:t>1163</w:t>
            </w:r>
          </w:p>
        </w:tc>
        <w:tc>
          <w:tcPr>
            <w:tcW w:w="455" w:type="pct"/>
            <w:hideMark/>
          </w:tcPr>
          <w:p w:rsidR="00AE0B1A" w:rsidRPr="00016FA4" w:rsidRDefault="00AE0B1A" w:rsidP="00016FA4">
            <w:pPr>
              <w:pStyle w:val="Tabletextright"/>
            </w:pPr>
            <w:r w:rsidRPr="00016FA4">
              <w:t>1239</w:t>
            </w:r>
          </w:p>
        </w:tc>
        <w:tc>
          <w:tcPr>
            <w:tcW w:w="455" w:type="pct"/>
            <w:hideMark/>
          </w:tcPr>
          <w:p w:rsidR="00AE0B1A" w:rsidRPr="00016FA4" w:rsidRDefault="00AE0B1A" w:rsidP="00016FA4">
            <w:pPr>
              <w:pStyle w:val="Tabletextright"/>
            </w:pPr>
            <w:r w:rsidRPr="00016FA4">
              <w:t>1298</w:t>
            </w:r>
          </w:p>
        </w:tc>
        <w:tc>
          <w:tcPr>
            <w:tcW w:w="450" w:type="pct"/>
            <w:hideMark/>
          </w:tcPr>
          <w:p w:rsidR="00AE0B1A" w:rsidRPr="00016FA4" w:rsidRDefault="00AE0B1A" w:rsidP="00016FA4">
            <w:pPr>
              <w:pStyle w:val="Tabletextright"/>
            </w:pPr>
            <w:r w:rsidRPr="00016FA4">
              <w:t>1420</w:t>
            </w:r>
          </w:p>
        </w:tc>
      </w:tr>
    </w:tbl>
    <w:p w:rsidR="00AE0B1A" w:rsidRDefault="00AE0B1A" w:rsidP="00AE0B1A">
      <w:pPr>
        <w:pStyle w:val="Tabletitle"/>
      </w:pPr>
    </w:p>
    <w:p w:rsidR="00AE0B1A" w:rsidRDefault="00AE0B1A" w:rsidP="00AE0B1A">
      <w:pPr>
        <w:pStyle w:val="BodyText"/>
        <w:sectPr w:rsidR="00AE0B1A" w:rsidSect="009A01C9">
          <w:footerReference w:type="even" r:id="rId40"/>
          <w:footerReference w:type="default" r:id="rId41"/>
          <w:pgSz w:w="16840" w:h="11907" w:orient="landscape" w:code="9"/>
          <w:pgMar w:top="1418" w:right="1418" w:bottom="1418" w:left="1418" w:header="720" w:footer="397" w:gutter="0"/>
          <w:cols w:space="720"/>
          <w:docGrid w:linePitch="272"/>
        </w:sectPr>
      </w:pPr>
    </w:p>
    <w:p w:rsidR="00AE0B1A" w:rsidRDefault="00AE0B1A" w:rsidP="00AE0B1A">
      <w:pPr>
        <w:pStyle w:val="BodyText"/>
      </w:pPr>
      <w:r w:rsidRPr="00D96785">
        <w:lastRenderedPageBreak/>
        <w:t xml:space="preserve">The interpreted seismic horizons and faults were used to build a static </w:t>
      </w:r>
      <w:r>
        <w:t xml:space="preserve">geological </w:t>
      </w:r>
      <w:r w:rsidRPr="00D96785">
        <w:t>model (</w:t>
      </w:r>
      <w:r>
        <w:t>Appendix K</w:t>
      </w:r>
      <w:r w:rsidRPr="00D96785">
        <w:t>) and two dynamic reservoir simulation models (</w:t>
      </w:r>
      <w:r>
        <w:t>Appendix L</w:t>
      </w:r>
      <w:r w:rsidRPr="00D96785">
        <w:t xml:space="preserve">). The </w:t>
      </w:r>
      <w:r w:rsidRPr="00D96785">
        <w:rPr>
          <w:bCs/>
        </w:rPr>
        <w:t xml:space="preserve">static model (150 x 250 km) </w:t>
      </w:r>
      <w:r w:rsidRPr="00D96785">
        <w:t>was composed of eight major surfaces and 42 faults</w:t>
      </w:r>
      <w:r>
        <w:t xml:space="preserve"> and</w:t>
      </w:r>
      <w:r w:rsidRPr="00D96785">
        <w:t xml:space="preserve"> focussed on an area that largely outlines the central to eastern drainage cell of the Petrel Sub-basin (</w:t>
      </w:r>
      <w:r>
        <w:fldChar w:fldCharType="begin"/>
      </w:r>
      <w:r>
        <w:instrText xml:space="preserve"> REF _Ref372288044 \h </w:instrText>
      </w:r>
      <w:r>
        <w:fldChar w:fldCharType="separate"/>
      </w:r>
      <w:r w:rsidR="00F64E4F">
        <w:t>Figure </w:t>
      </w:r>
      <w:r w:rsidR="00F64E4F">
        <w:rPr>
          <w:noProof/>
        </w:rPr>
        <w:t>1</w:t>
      </w:r>
      <w:r w:rsidR="00F64E4F">
        <w:t>.</w:t>
      </w:r>
      <w:r w:rsidR="00F64E4F">
        <w:rPr>
          <w:noProof/>
        </w:rPr>
        <w:t>4</w:t>
      </w:r>
      <w:r>
        <w:fldChar w:fldCharType="end"/>
      </w:r>
      <w:r>
        <w:t>;</w:t>
      </w:r>
      <w:r w:rsidRPr="00D96785">
        <w:t xml:space="preserve"> </w:t>
      </w:r>
      <w:r w:rsidR="00B30F18">
        <w:fldChar w:fldCharType="begin"/>
      </w:r>
      <w:r w:rsidR="00B30F18">
        <w:instrText xml:space="preserve"> REF _Ref380156431 \h </w:instrText>
      </w:r>
      <w:r w:rsidR="00B30F18">
        <w:fldChar w:fldCharType="separate"/>
      </w:r>
      <w:r w:rsidR="00F64E4F">
        <w:t>Table </w:t>
      </w:r>
      <w:r w:rsidR="00F64E4F">
        <w:rPr>
          <w:noProof/>
        </w:rPr>
        <w:t>4</w:t>
      </w:r>
      <w:r w:rsidR="00F64E4F">
        <w:t>.</w:t>
      </w:r>
      <w:r w:rsidR="00F64E4F">
        <w:rPr>
          <w:noProof/>
        </w:rPr>
        <w:t>2</w:t>
      </w:r>
      <w:r w:rsidR="00B30F18">
        <w:fldChar w:fldCharType="end"/>
      </w:r>
      <w:r w:rsidRPr="00D96785">
        <w:t xml:space="preserve">). </w:t>
      </w:r>
      <w:r w:rsidRPr="00D96785">
        <w:rPr>
          <w:bCs/>
        </w:rPr>
        <w:t xml:space="preserve">The complete structural static model was then depth converted using regional-based time-depth algorithms. The depth-conversion methodology was based on </w:t>
      </w:r>
      <w:r w:rsidRPr="00D96785">
        <w:rPr>
          <w:bCs/>
          <w:noProof/>
        </w:rPr>
        <w:t>Goncharov et al. (1999)</w:t>
      </w:r>
      <w:r w:rsidRPr="00D96785">
        <w:rPr>
          <w:bCs/>
        </w:rPr>
        <w:t xml:space="preserve"> and </w:t>
      </w:r>
      <w:r w:rsidRPr="00D96785">
        <w:rPr>
          <w:bCs/>
          <w:noProof/>
        </w:rPr>
        <w:t>Johnston and Goncharov (2012)</w:t>
      </w:r>
      <w:r w:rsidRPr="00D96785">
        <w:rPr>
          <w:bCs/>
        </w:rPr>
        <w:t xml:space="preserve"> and adapted t</w:t>
      </w:r>
      <w:r>
        <w:rPr>
          <w:bCs/>
        </w:rPr>
        <w:t xml:space="preserve">o the available data, including incorporating </w:t>
      </w:r>
      <w:r w:rsidRPr="00D96785">
        <w:rPr>
          <w:bCs/>
        </w:rPr>
        <w:t>stacking velocities from multi-channel seismic data, ocean bottom seismographs, and well velocities</w:t>
      </w:r>
      <w:r w:rsidRPr="00D96785">
        <w:t>.</w:t>
      </w:r>
      <w:r w:rsidRPr="00D96785">
        <w:rPr>
          <w:bCs/>
        </w:rPr>
        <w:t xml:space="preserve"> </w:t>
      </w:r>
      <w:r w:rsidRPr="00D96785">
        <w:t>The velocity modelling was effective at this regional scale, as c</w:t>
      </w:r>
      <w:r w:rsidRPr="00D96785">
        <w:rPr>
          <w:bCs/>
        </w:rPr>
        <w:t>omparisons of interval velocities calculated independently using two models from refraction and reflection data</w:t>
      </w:r>
      <w:r>
        <w:rPr>
          <w:bCs/>
        </w:rPr>
        <w:t>,</w:t>
      </w:r>
      <w:r w:rsidRPr="00D96785">
        <w:rPr>
          <w:bCs/>
        </w:rPr>
        <w:t xml:space="preserve"> respectively, were good for the key geological horizons when matched to well data over a large part of the area (</w:t>
      </w:r>
      <w:r>
        <w:rPr>
          <w:bCs/>
        </w:rPr>
        <w:fldChar w:fldCharType="begin"/>
      </w:r>
      <w:r>
        <w:rPr>
          <w:bCs/>
        </w:rPr>
        <w:instrText xml:space="preserve"> REF _Ref372289285 \h </w:instrText>
      </w:r>
      <w:r>
        <w:rPr>
          <w:bCs/>
        </w:rPr>
      </w:r>
      <w:r>
        <w:rPr>
          <w:bCs/>
        </w:rPr>
        <w:fldChar w:fldCharType="separate"/>
      </w:r>
      <w:r w:rsidR="00F64E4F">
        <w:t xml:space="preserve">Figure </w:t>
      </w:r>
      <w:r w:rsidR="00F64E4F">
        <w:rPr>
          <w:noProof/>
        </w:rPr>
        <w:t>4</w:t>
      </w:r>
      <w:r w:rsidR="00F64E4F">
        <w:t>.</w:t>
      </w:r>
      <w:r w:rsidR="00F64E4F">
        <w:rPr>
          <w:noProof/>
        </w:rPr>
        <w:t>5</w:t>
      </w:r>
      <w:r>
        <w:rPr>
          <w:bCs/>
        </w:rPr>
        <w:fldChar w:fldCharType="end"/>
      </w:r>
      <w:r w:rsidRPr="00D96785">
        <w:rPr>
          <w:bCs/>
        </w:rPr>
        <w:t>). However, local discrepancies in depths to these horizons and corresponding well markers calculated using the two alternative velocity models exceed</w:t>
      </w:r>
      <w:r>
        <w:rPr>
          <w:bCs/>
        </w:rPr>
        <w:t>ed</w:t>
      </w:r>
      <w:r w:rsidRPr="00D96785">
        <w:rPr>
          <w:bCs/>
        </w:rPr>
        <w:t xml:space="preserve"> 10%</w:t>
      </w:r>
      <w:r>
        <w:rPr>
          <w:bCs/>
        </w:rPr>
        <w:t xml:space="preserve"> in some cases</w:t>
      </w:r>
      <w:r w:rsidRPr="00D96785">
        <w:rPr>
          <w:bCs/>
        </w:rPr>
        <w:t>. The depth converted structural model could be utilised as a base case for future geological models and represents the major features of the eastern flank of the sub-basin within the bounds of the data resolution (</w:t>
      </w:r>
      <w:r>
        <w:rPr>
          <w:bCs/>
        </w:rPr>
        <w:fldChar w:fldCharType="begin"/>
      </w:r>
      <w:r>
        <w:rPr>
          <w:bCs/>
        </w:rPr>
        <w:instrText xml:space="preserve"> REF _Ref372289294 \h </w:instrText>
      </w:r>
      <w:r>
        <w:rPr>
          <w:bCs/>
        </w:rPr>
      </w:r>
      <w:r>
        <w:rPr>
          <w:bCs/>
        </w:rPr>
        <w:fldChar w:fldCharType="separate"/>
      </w:r>
      <w:r w:rsidR="00F64E4F">
        <w:t xml:space="preserve">Figure </w:t>
      </w:r>
      <w:r w:rsidR="00F64E4F">
        <w:rPr>
          <w:noProof/>
        </w:rPr>
        <w:t>4</w:t>
      </w:r>
      <w:r w:rsidR="00F64E4F">
        <w:t>.</w:t>
      </w:r>
      <w:r w:rsidR="00F64E4F">
        <w:rPr>
          <w:noProof/>
        </w:rPr>
        <w:t>6</w:t>
      </w:r>
      <w:r>
        <w:rPr>
          <w:bCs/>
        </w:rPr>
        <w:fldChar w:fldCharType="end"/>
      </w:r>
      <w:r w:rsidRPr="00D96785">
        <w:rPr>
          <w:bCs/>
        </w:rPr>
        <w:t xml:space="preserve">). </w:t>
      </w:r>
      <w:r w:rsidRPr="00D96785">
        <w:t xml:space="preserve">This structural model was used for </w:t>
      </w:r>
      <w:r>
        <w:t xml:space="preserve">the </w:t>
      </w:r>
      <w:proofErr w:type="spellStart"/>
      <w:r w:rsidRPr="00D96785">
        <w:t>geomechanical</w:t>
      </w:r>
      <w:proofErr w:type="spellEnd"/>
      <w:r w:rsidRPr="00D96785">
        <w:t xml:space="preserve"> analysis (</w:t>
      </w:r>
      <w:r>
        <w:t>Appendix I</w:t>
      </w:r>
      <w:r w:rsidRPr="00D96785">
        <w:t>)</w:t>
      </w:r>
      <w:r>
        <w:t xml:space="preserve"> and</w:t>
      </w:r>
      <w:r w:rsidRPr="00D96785">
        <w:t xml:space="preserve"> hydrodynamic study (</w:t>
      </w:r>
      <w:r>
        <w:t>Appendix J</w:t>
      </w:r>
      <w:r w:rsidRPr="00D96785">
        <w:t xml:space="preserve">). </w:t>
      </w:r>
    </w:p>
    <w:p w:rsidR="00AE0B1A" w:rsidRDefault="00AE0B1A" w:rsidP="00AE0B1A">
      <w:pPr>
        <w:pStyle w:val="BodyText"/>
      </w:pPr>
      <w:r w:rsidRPr="00D96785">
        <w:t xml:space="preserve">The depth converted static structural model was </w:t>
      </w:r>
      <w:r>
        <w:t xml:space="preserve">used to construct a gridded 3D geological model </w:t>
      </w:r>
      <w:r w:rsidRPr="00D96785">
        <w:t>reflect</w:t>
      </w:r>
      <w:r>
        <w:t>ing</w:t>
      </w:r>
      <w:r w:rsidRPr="00D96785">
        <w:t xml:space="preserve"> th</w:t>
      </w:r>
      <w:r>
        <w:t>e local stratigraphy and</w:t>
      </w:r>
      <w:r w:rsidRPr="00D96785">
        <w:t xml:space="preserve"> geological hetero</w:t>
      </w:r>
      <w:r>
        <w:t>geneity</w:t>
      </w:r>
      <w:r w:rsidRPr="00D96785">
        <w:t xml:space="preserve">. </w:t>
      </w:r>
      <w:r>
        <w:t xml:space="preserve">The </w:t>
      </w:r>
      <w:r w:rsidRPr="00D96785">
        <w:t xml:space="preserve">geological model contained </w:t>
      </w:r>
      <w:r>
        <w:t xml:space="preserve">nine stratigraphic units at </w:t>
      </w:r>
      <w:r w:rsidRPr="00D96785">
        <w:t>a cell resolution of 300</w:t>
      </w:r>
      <w:r>
        <w:t xml:space="preserve"> x 300 m horizontally and 1-4</w:t>
      </w:r>
      <w:r w:rsidRPr="00D96785">
        <w:t xml:space="preserve"> m vertically, </w:t>
      </w:r>
      <w:r>
        <w:t>comprising</w:t>
      </w:r>
      <w:r w:rsidRPr="00D96785">
        <w:t xml:space="preserve"> approximately </w:t>
      </w:r>
      <w:r>
        <w:t>2</w:t>
      </w:r>
      <w:r w:rsidRPr="00D96785">
        <w:t xml:space="preserve"> billion cells</w:t>
      </w:r>
      <w:r>
        <w:t>,</w:t>
      </w:r>
      <w:r w:rsidRPr="00D96785">
        <w:t xml:space="preserve"> and populated with porosity </w:t>
      </w:r>
      <w:r>
        <w:t xml:space="preserve">estimates </w:t>
      </w:r>
      <w:r w:rsidRPr="00D96785">
        <w:t xml:space="preserve">derived from the </w:t>
      </w:r>
      <w:proofErr w:type="spellStart"/>
      <w:r w:rsidRPr="00D96785">
        <w:t>petro</w:t>
      </w:r>
      <w:r>
        <w:t>physical</w:t>
      </w:r>
      <w:proofErr w:type="spellEnd"/>
      <w:r>
        <w:t xml:space="preserve"> analysis (Appendix K).</w:t>
      </w:r>
    </w:p>
    <w:p w:rsidR="00AE0B1A" w:rsidRPr="00D96785" w:rsidRDefault="00AE0B1A" w:rsidP="00AE0B1A">
      <w:pPr>
        <w:pStyle w:val="BodyText"/>
        <w:rPr>
          <w:bCs/>
        </w:rPr>
      </w:pPr>
      <w:r w:rsidRPr="00D96785">
        <w:t>A fill-spill analysis was completed on the two reservoir surfaces</w:t>
      </w:r>
      <w:r>
        <w:t xml:space="preserve"> </w:t>
      </w:r>
      <w:r w:rsidRPr="00D96785">
        <w:t>to define probable fluid migration and accumulation pathways</w:t>
      </w:r>
      <w:r w:rsidRPr="00A221AE">
        <w:t xml:space="preserve"> </w:t>
      </w:r>
      <w:r>
        <w:t xml:space="preserve">using </w:t>
      </w:r>
      <w:proofErr w:type="spellStart"/>
      <w:r>
        <w:t>Permedia</w:t>
      </w:r>
      <w:r w:rsidRPr="009D5B2E">
        <w:rPr>
          <w:rStyle w:val="Superscript"/>
        </w:rPr>
        <w:t>TM</w:t>
      </w:r>
      <w:proofErr w:type="spellEnd"/>
      <w:r w:rsidRPr="00D96785">
        <w:t xml:space="preserve"> </w:t>
      </w:r>
      <w:r>
        <w:t>software (Appendix L)</w:t>
      </w:r>
      <w:r w:rsidRPr="00D96785">
        <w:t>.</w:t>
      </w:r>
      <w:r>
        <w:t xml:space="preserve"> A number of CO</w:t>
      </w:r>
      <w:r w:rsidRPr="009D5B2E">
        <w:rPr>
          <w:rStyle w:val="Subscript"/>
        </w:rPr>
        <w:t>2</w:t>
      </w:r>
      <w:r>
        <w:t xml:space="preserve"> point sources were located at the down-dip northwest region of the top reservoir surface map. Depth uncertainty was set at ±30 m for which the analysis created randomly 1,000 different realisations of the top reservoir surface map. For each realisation, CO</w:t>
      </w:r>
      <w:r w:rsidRPr="009D5B2E">
        <w:rPr>
          <w:rStyle w:val="Subscript"/>
        </w:rPr>
        <w:t>2</w:t>
      </w:r>
      <w:r>
        <w:t xml:space="preserve"> migrated from the point sources according to the surface topography, filled in and spilled from any structural closures reached on its migration path and continued migrating until reaching the edge of the map. The combination of 1,000 realisations gave a frequency distribution of migration pathways. The results of this analysis were used in selecting a representative injection site for dynamic reservoir simulation. </w:t>
      </w:r>
    </w:p>
    <w:p w:rsidR="00AE0B1A" w:rsidRDefault="00AE0B1A" w:rsidP="00AE0B1A">
      <w:pPr>
        <w:pStyle w:val="BodyText"/>
      </w:pPr>
      <w:r w:rsidRPr="00D96785">
        <w:t xml:space="preserve">A dynamic reservoir simulation </w:t>
      </w:r>
      <w:r>
        <w:t xml:space="preserve">was then undertaken for a </w:t>
      </w:r>
      <w:r w:rsidRPr="00D96785">
        <w:t xml:space="preserve">small area within the geological grid </w:t>
      </w:r>
      <w:r>
        <w:t>using</w:t>
      </w:r>
      <w:r w:rsidRPr="00D96785">
        <w:t xml:space="preserve"> </w:t>
      </w:r>
      <w:r>
        <w:t xml:space="preserve">the computer software package </w:t>
      </w:r>
      <w:r w:rsidRPr="00D96785">
        <w:t>CMG-GEM</w:t>
      </w:r>
      <w:r w:rsidRPr="009D5B2E">
        <w:rPr>
          <w:rStyle w:val="Superscript"/>
        </w:rPr>
        <w:t>TM</w:t>
      </w:r>
      <w:r>
        <w:rPr>
          <w:rStyle w:val="Superscript"/>
        </w:rPr>
        <w:t xml:space="preserve"> </w:t>
      </w:r>
      <w:r>
        <w:t>(Appendix L)</w:t>
      </w:r>
      <w:r w:rsidRPr="00D96785">
        <w:t>. The site for the CO</w:t>
      </w:r>
      <w:r w:rsidRPr="009D5B2E">
        <w:rPr>
          <w:rStyle w:val="Subscript"/>
        </w:rPr>
        <w:t>2</w:t>
      </w:r>
      <w:r w:rsidRPr="00D96785">
        <w:t xml:space="preserve"> injection simulation </w:t>
      </w:r>
      <w:r>
        <w:t>wa</w:t>
      </w:r>
      <w:r w:rsidRPr="00D96785">
        <w:t>s located 30</w:t>
      </w:r>
      <w:r>
        <w:t> </w:t>
      </w:r>
      <w:r w:rsidRPr="00D96785">
        <w:t>km to the north-northeast of the Petrel gas field (</w:t>
      </w:r>
      <w:r>
        <w:fldChar w:fldCharType="begin"/>
      </w:r>
      <w:r>
        <w:instrText xml:space="preserve"> REF _Ref372288044 \h </w:instrText>
      </w:r>
      <w:r>
        <w:fldChar w:fldCharType="separate"/>
      </w:r>
      <w:r w:rsidR="00F64E4F">
        <w:t>Figure </w:t>
      </w:r>
      <w:r w:rsidR="00F64E4F">
        <w:rPr>
          <w:noProof/>
        </w:rPr>
        <w:t>1</w:t>
      </w:r>
      <w:r w:rsidR="00F64E4F">
        <w:t>.</w:t>
      </w:r>
      <w:r w:rsidR="00F64E4F">
        <w:rPr>
          <w:noProof/>
        </w:rPr>
        <w:t>4</w:t>
      </w:r>
      <w:r>
        <w:fldChar w:fldCharType="end"/>
      </w:r>
      <w:r w:rsidRPr="00D96785">
        <w:t xml:space="preserve">), and was selected based on </w:t>
      </w:r>
      <w:r>
        <w:t>the following</w:t>
      </w:r>
      <w:r w:rsidRPr="00D96785">
        <w:t xml:space="preserve"> criteria</w:t>
      </w:r>
      <w:r>
        <w:t>:</w:t>
      </w:r>
    </w:p>
    <w:p w:rsidR="00AE0B1A" w:rsidRPr="00571026" w:rsidRDefault="00AE0B1A" w:rsidP="00AE0B1A">
      <w:pPr>
        <w:pStyle w:val="Listbulletlevel1numbered"/>
        <w:numPr>
          <w:ilvl w:val="0"/>
          <w:numId w:val="26"/>
        </w:numPr>
      </w:pPr>
      <w:r w:rsidRPr="00571026">
        <w:t>The location was representative of the stratigraphy and in a region with high quality reservoirs with good porosity and permeability values;</w:t>
      </w:r>
    </w:p>
    <w:p w:rsidR="00AE0B1A" w:rsidRPr="00571026" w:rsidRDefault="00AE0B1A" w:rsidP="00AE0B1A">
      <w:pPr>
        <w:pStyle w:val="Listbulletlevel1numbered"/>
        <w:numPr>
          <w:ilvl w:val="0"/>
          <w:numId w:val="26"/>
        </w:numPr>
      </w:pPr>
      <w:r w:rsidRPr="00571026">
        <w:t>The reservoirs were at a depth to test the effects of injection and plume migration for supercritical CO</w:t>
      </w:r>
      <w:r w:rsidRPr="00F27064">
        <w:rPr>
          <w:rStyle w:val="Subscript"/>
        </w:rPr>
        <w:t>2</w:t>
      </w:r>
      <w:r w:rsidRPr="00571026">
        <w:t xml:space="preserve">. </w:t>
      </w:r>
    </w:p>
    <w:p w:rsidR="00AE0B1A" w:rsidRDefault="00AE0B1A" w:rsidP="00AE0B1A">
      <w:pPr>
        <w:pStyle w:val="BodyText"/>
      </w:pPr>
      <w:r w:rsidRPr="00D96785">
        <w:t>Finally</w:t>
      </w:r>
      <w:r>
        <w:t>,</w:t>
      </w:r>
      <w:r w:rsidRPr="00D96785">
        <w:t xml:space="preserve"> the model was positioned to incorporate two faults </w:t>
      </w:r>
      <w:r>
        <w:t>that</w:t>
      </w:r>
      <w:r w:rsidRPr="00D96785">
        <w:t xml:space="preserve"> could </w:t>
      </w:r>
      <w:r>
        <w:t>provide insights as to</w:t>
      </w:r>
      <w:r w:rsidRPr="00D96785">
        <w:t xml:space="preserve"> the pressure effects of CO</w:t>
      </w:r>
      <w:r w:rsidRPr="009D5B2E">
        <w:rPr>
          <w:rStyle w:val="Subscript"/>
        </w:rPr>
        <w:t>2</w:t>
      </w:r>
      <w:r>
        <w:t xml:space="preserve"> injection on their behaviour.</w:t>
      </w:r>
    </w:p>
    <w:p w:rsidR="00AE0B1A" w:rsidRDefault="00AE0B1A" w:rsidP="00AE0B1A">
      <w:pPr>
        <w:pStyle w:val="Figuresandimagescentred"/>
      </w:pPr>
      <w:r>
        <w:rPr>
          <w:noProof/>
        </w:rPr>
        <w:lastRenderedPageBreak/>
        <w:drawing>
          <wp:inline distT="0" distB="0" distL="0" distR="0" wp14:anchorId="2A322702" wp14:editId="610F3E88">
            <wp:extent cx="5760720" cy="6699692"/>
            <wp:effectExtent l="0" t="0" r="0" b="6350"/>
            <wp:docPr id="2068" name="Picture 2068" descr="Due to the complexity of this document and the niche scientific target audience, no alternative description has been provided. Please email Geoscience Australia at clientservices@ga.gov.au for an alternative description." title="Fig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6finaldocs\0.REVIEW GA Record Summary + Appendices Internal  Review\Reviewed Draft\Figures\13-7199-3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0720" cy="6699692"/>
                    </a:xfrm>
                    <a:prstGeom prst="rect">
                      <a:avLst/>
                    </a:prstGeom>
                    <a:noFill/>
                    <a:ln>
                      <a:noFill/>
                    </a:ln>
                  </pic:spPr>
                </pic:pic>
              </a:graphicData>
            </a:graphic>
          </wp:inline>
        </w:drawing>
      </w:r>
    </w:p>
    <w:p w:rsidR="00AE0B1A" w:rsidRDefault="00AE0B1A" w:rsidP="00AE0B1A">
      <w:pPr>
        <w:pStyle w:val="Caption"/>
      </w:pPr>
      <w:bookmarkStart w:id="343" w:name="_Ref372289285"/>
      <w:bookmarkStart w:id="344" w:name="_Toc373095002"/>
      <w:bookmarkStart w:id="345" w:name="_Toc378252732"/>
      <w:bookmarkStart w:id="346" w:name="_Toc378253056"/>
      <w:bookmarkStart w:id="347" w:name="_Toc378253380"/>
      <w:bookmarkStart w:id="348" w:name="_Toc378253704"/>
      <w:bookmarkStart w:id="349" w:name="_Toc378254028"/>
      <w:bookmarkStart w:id="350" w:name="_Toc378254352"/>
      <w:bookmarkStart w:id="351" w:name="_Toc378254676"/>
      <w:bookmarkStart w:id="352" w:name="_Toc378255000"/>
      <w:bookmarkStart w:id="353" w:name="_Toc378255349"/>
      <w:r>
        <w:t xml:space="preserve">Figure </w:t>
      </w:r>
      <w:fldSimple w:instr=" STYLEREF 1 \s ">
        <w:r w:rsidR="00F64E4F">
          <w:rPr>
            <w:noProof/>
          </w:rPr>
          <w:t>4</w:t>
        </w:r>
      </w:fldSimple>
      <w:r w:rsidR="00AE5C2D">
        <w:t>.</w:t>
      </w:r>
      <w:fldSimple w:instr=" SEQ Figure \* ARABIC \s 1 ">
        <w:r w:rsidR="00F64E4F">
          <w:rPr>
            <w:noProof/>
          </w:rPr>
          <w:t>5</w:t>
        </w:r>
      </w:fldSimple>
      <w:bookmarkEnd w:id="343"/>
      <w:r>
        <w:t xml:space="preserve"> </w:t>
      </w:r>
      <w:r w:rsidRPr="00FF18AA">
        <w:t>Comparison of average seismic velocities derived from final stacking RMS velocities using the inverse Dix equation (a</w:t>
      </w:r>
      <w:r>
        <w:t>)</w:t>
      </w:r>
      <w:r w:rsidRPr="00FF18AA">
        <w:t>, final stacking RMS velocities (b</w:t>
      </w:r>
      <w:r>
        <w:t>)</w:t>
      </w:r>
      <w:r w:rsidRPr="00FF18AA">
        <w:t>, and refraction seismic velocities from the OBS data (c) along coincident reflection/refraction line</w:t>
      </w:r>
      <w:r w:rsidRPr="00583642">
        <w:t xml:space="preserve"> </w:t>
      </w:r>
      <w:r>
        <w:t xml:space="preserve">r9710003 (AGSO Regional 2D seismic line 100/03). The percentage in error velocity residuals is shown in d. and e. (d.) represents the percentage of error </w:t>
      </w:r>
      <w:r w:rsidRPr="00C94C2F">
        <w:t xml:space="preserve">between (a) and (c), </w:t>
      </w:r>
      <w:r>
        <w:t xml:space="preserve">and in (e) </w:t>
      </w:r>
      <w:r w:rsidRPr="00C94C2F">
        <w:t>between (b) and (c).</w:t>
      </w:r>
      <w:r>
        <w:t xml:space="preserve"> See Appendix K for further information. See </w:t>
      </w:r>
      <w:r>
        <w:fldChar w:fldCharType="begin"/>
      </w:r>
      <w:r>
        <w:instrText xml:space="preserve"> REF _Ref372289121 \h </w:instrText>
      </w:r>
      <w:r>
        <w:fldChar w:fldCharType="separate"/>
      </w:r>
      <w:r w:rsidR="00F64E4F">
        <w:t xml:space="preserve">Figure </w:t>
      </w:r>
      <w:r w:rsidR="00F64E4F">
        <w:rPr>
          <w:noProof/>
        </w:rPr>
        <w:t>4</w:t>
      </w:r>
      <w:r w:rsidR="00F64E4F">
        <w:t>.</w:t>
      </w:r>
      <w:r w:rsidR="00F64E4F">
        <w:rPr>
          <w:noProof/>
        </w:rPr>
        <w:t>4</w:t>
      </w:r>
      <w:r>
        <w:fldChar w:fldCharType="end"/>
      </w:r>
      <w:r>
        <w:t xml:space="preserve"> for seismic line location.</w:t>
      </w:r>
      <w:bookmarkEnd w:id="344"/>
      <w:bookmarkEnd w:id="345"/>
      <w:bookmarkEnd w:id="346"/>
      <w:bookmarkEnd w:id="347"/>
      <w:bookmarkEnd w:id="348"/>
      <w:bookmarkEnd w:id="349"/>
      <w:bookmarkEnd w:id="350"/>
      <w:bookmarkEnd w:id="351"/>
      <w:bookmarkEnd w:id="352"/>
      <w:bookmarkEnd w:id="353"/>
    </w:p>
    <w:p w:rsidR="00AE0B1A" w:rsidRDefault="00AE0B1A" w:rsidP="00AE0B1A">
      <w:pPr>
        <w:pStyle w:val="Figuresandimagescentred"/>
      </w:pPr>
      <w:r>
        <w:rPr>
          <w:noProof/>
        </w:rPr>
        <w:lastRenderedPageBreak/>
        <w:drawing>
          <wp:inline distT="0" distB="0" distL="0" distR="0" wp14:anchorId="20DEDA33" wp14:editId="2065947F">
            <wp:extent cx="5760720" cy="6038649"/>
            <wp:effectExtent l="0" t="0" r="0" b="635"/>
            <wp:docPr id="2069" name="Picture 2069" descr="Due to the complexity of this document and the niche scientific target audience, no alternative description has been provided. Please email Geoscience Australia at clientservices@ga.gov.au for an alternative description." title="Fig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6finaldocs\0.REVIEW GA Record Summary + Appendices Internal  Review\Reviewed Draft\Figures\13-7199-5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720" cy="6038649"/>
                    </a:xfrm>
                    <a:prstGeom prst="rect">
                      <a:avLst/>
                    </a:prstGeom>
                    <a:noFill/>
                    <a:ln>
                      <a:noFill/>
                    </a:ln>
                  </pic:spPr>
                </pic:pic>
              </a:graphicData>
            </a:graphic>
          </wp:inline>
        </w:drawing>
      </w:r>
    </w:p>
    <w:p w:rsidR="00AE0B1A" w:rsidRDefault="00AE0B1A" w:rsidP="00AE0B1A">
      <w:pPr>
        <w:pStyle w:val="Caption"/>
      </w:pPr>
      <w:bookmarkStart w:id="354" w:name="_Ref372289294"/>
      <w:bookmarkStart w:id="355" w:name="_Toc373095003"/>
      <w:bookmarkStart w:id="356" w:name="_Toc378252733"/>
      <w:bookmarkStart w:id="357" w:name="_Toc378253057"/>
      <w:bookmarkStart w:id="358" w:name="_Toc378253381"/>
      <w:bookmarkStart w:id="359" w:name="_Toc378253705"/>
      <w:bookmarkStart w:id="360" w:name="_Toc378254029"/>
      <w:bookmarkStart w:id="361" w:name="_Toc378254353"/>
      <w:bookmarkStart w:id="362" w:name="_Toc378254677"/>
      <w:bookmarkStart w:id="363" w:name="_Toc378255001"/>
      <w:bookmarkStart w:id="364" w:name="_Toc378255350"/>
      <w:r>
        <w:t xml:space="preserve">Figure </w:t>
      </w:r>
      <w:fldSimple w:instr=" STYLEREF 1 \s ">
        <w:r w:rsidR="00F64E4F">
          <w:rPr>
            <w:noProof/>
          </w:rPr>
          <w:t>4</w:t>
        </w:r>
      </w:fldSimple>
      <w:r w:rsidR="00AE5C2D">
        <w:t>.</w:t>
      </w:r>
      <w:fldSimple w:instr=" SEQ Figure \* ARABIC \s 1 ">
        <w:r w:rsidR="00F64E4F">
          <w:rPr>
            <w:noProof/>
          </w:rPr>
          <w:t>6</w:t>
        </w:r>
      </w:fldSimple>
      <w:bookmarkEnd w:id="354"/>
      <w:r>
        <w:t xml:space="preserve"> </w:t>
      </w:r>
      <w:r w:rsidRPr="001D32A2">
        <w:t xml:space="preserve">The static structural model of this study, showing some of the key surfaces and faults looking towards the southeast (a) and the east (b). See </w:t>
      </w:r>
      <w:r>
        <w:fldChar w:fldCharType="begin"/>
      </w:r>
      <w:r>
        <w:instrText xml:space="preserve"> REF _Ref372288044 \h </w:instrText>
      </w:r>
      <w:r>
        <w:fldChar w:fldCharType="separate"/>
      </w:r>
      <w:r w:rsidR="00F64E4F">
        <w:t>Figure </w:t>
      </w:r>
      <w:r w:rsidR="00F64E4F">
        <w:rPr>
          <w:noProof/>
        </w:rPr>
        <w:t>1</w:t>
      </w:r>
      <w:r w:rsidR="00F64E4F">
        <w:t>.</w:t>
      </w:r>
      <w:r w:rsidR="00F64E4F">
        <w:rPr>
          <w:noProof/>
        </w:rPr>
        <w:t>4</w:t>
      </w:r>
      <w:r>
        <w:fldChar w:fldCharType="end"/>
      </w:r>
      <w:r w:rsidRPr="001D32A2">
        <w:t xml:space="preserve"> for location of the model which is defined by the focus area outline in that figure. See Appendix K</w:t>
      </w:r>
      <w:r>
        <w:t xml:space="preserve"> for further information.</w:t>
      </w:r>
      <w:bookmarkEnd w:id="355"/>
      <w:bookmarkEnd w:id="356"/>
      <w:bookmarkEnd w:id="357"/>
      <w:bookmarkEnd w:id="358"/>
      <w:bookmarkEnd w:id="359"/>
      <w:bookmarkEnd w:id="360"/>
      <w:bookmarkEnd w:id="361"/>
      <w:bookmarkEnd w:id="362"/>
      <w:bookmarkEnd w:id="363"/>
      <w:bookmarkEnd w:id="364"/>
    </w:p>
    <w:p w:rsidR="00AE0B1A" w:rsidRPr="00D96785" w:rsidRDefault="00AE0B1A" w:rsidP="00AE0B1A">
      <w:pPr>
        <w:pStyle w:val="CommentText"/>
      </w:pPr>
      <w:r>
        <w:t>The simulation was completed using a</w:t>
      </w:r>
      <w:r w:rsidRPr="00D96785">
        <w:t xml:space="preserve"> CO</w:t>
      </w:r>
      <w:r w:rsidRPr="009D5B2E">
        <w:rPr>
          <w:rStyle w:val="Subscript"/>
        </w:rPr>
        <w:t>2</w:t>
      </w:r>
      <w:r w:rsidRPr="00D96785">
        <w:t xml:space="preserve"> injection rate of 14 million tonnes per annum (MTPA) over 30 years</w:t>
      </w:r>
      <w:r>
        <w:t xml:space="preserve">. This </w:t>
      </w:r>
      <w:r w:rsidRPr="00D96785">
        <w:t>was based on the predicted 2020 CO</w:t>
      </w:r>
      <w:r w:rsidRPr="009D5B2E">
        <w:rPr>
          <w:rStyle w:val="Subscript"/>
        </w:rPr>
        <w:t>2</w:t>
      </w:r>
      <w:r w:rsidRPr="00D96785">
        <w:t xml:space="preserve"> emissions from the Darwin Hub, as defined by the </w:t>
      </w:r>
      <w:r w:rsidRPr="00D96785">
        <w:rPr>
          <w:noProof/>
        </w:rPr>
        <w:t>Carbon Storage Taskforce (2009)</w:t>
      </w:r>
      <w:r>
        <w:rPr>
          <w:noProof/>
        </w:rPr>
        <w:t xml:space="preserve">, which is </w:t>
      </w:r>
      <w:r w:rsidRPr="00D96785">
        <w:t>the closest major emission source to the study area. The CO</w:t>
      </w:r>
      <w:r w:rsidRPr="009D5B2E">
        <w:rPr>
          <w:rStyle w:val="Subscript"/>
        </w:rPr>
        <w:t>2</w:t>
      </w:r>
      <w:r w:rsidRPr="00D96785">
        <w:t xml:space="preserve"> was injected using nine hypothetical vertical wells </w:t>
      </w:r>
      <w:r>
        <w:t xml:space="preserve">over a regular grid </w:t>
      </w:r>
      <w:r w:rsidRPr="00D96785">
        <w:t>with 3 km spacing (</w:t>
      </w:r>
      <w:r>
        <w:fldChar w:fldCharType="begin"/>
      </w:r>
      <w:r>
        <w:instrText xml:space="preserve"> REF _Ref372289349 \h </w:instrText>
      </w:r>
      <w:r>
        <w:fldChar w:fldCharType="separate"/>
      </w:r>
      <w:r w:rsidR="00F64E4F">
        <w:t xml:space="preserve">Figure </w:t>
      </w:r>
      <w:r w:rsidR="00F64E4F">
        <w:rPr>
          <w:noProof/>
        </w:rPr>
        <w:t>4</w:t>
      </w:r>
      <w:r w:rsidR="00F64E4F">
        <w:t>.</w:t>
      </w:r>
      <w:r w:rsidR="00F64E4F">
        <w:rPr>
          <w:noProof/>
        </w:rPr>
        <w:t>7</w:t>
      </w:r>
      <w:r>
        <w:fldChar w:fldCharType="end"/>
      </w:r>
      <w:r w:rsidRPr="00D96785">
        <w:t xml:space="preserve">). The simulation sets a maximum </w:t>
      </w:r>
      <w:r>
        <w:t>of</w:t>
      </w:r>
      <w:r w:rsidRPr="00D96785">
        <w:t xml:space="preserve"> 1.556 MTPA of CO</w:t>
      </w:r>
      <w:r w:rsidRPr="009D5B2E">
        <w:rPr>
          <w:rStyle w:val="Subscript"/>
        </w:rPr>
        <w:t>2</w:t>
      </w:r>
      <w:r w:rsidRPr="00D96785">
        <w:t xml:space="preserve"> per well</w:t>
      </w:r>
      <w:r>
        <w:t>,</w:t>
      </w:r>
      <w:r w:rsidRPr="00D96785">
        <w:t xml:space="preserve"> and a perforated interval in each well</w:t>
      </w:r>
      <w:r>
        <w:t xml:space="preserve"> of </w:t>
      </w:r>
      <w:r w:rsidRPr="00D96785">
        <w:t xml:space="preserve">300 m. It is important to note that </w:t>
      </w:r>
      <w:r>
        <w:t>w</w:t>
      </w:r>
      <w:r w:rsidRPr="00D96785">
        <w:t>ell design optimisation was beyond the scope of this study</w:t>
      </w:r>
      <w:r>
        <w:t xml:space="preserve"> as well design is site specific and configured to specific reservoir intervals. The number of wells required, their placement and construction, as well as injection parameters are all products of economics, reservoir architecture and even drilling rig availability. Given the regional-scale of this </w:t>
      </w:r>
      <w:r>
        <w:lastRenderedPageBreak/>
        <w:t xml:space="preserve">project, a detailed well design plan would not significantly add to the overall aims of the study. Therefore, </w:t>
      </w:r>
      <w:r w:rsidRPr="00D96785">
        <w:t>the number of wells, well spacing and perforation interval were not optimised in the simulation</w:t>
      </w:r>
      <w:r>
        <w:t>: t</w:t>
      </w:r>
      <w:r w:rsidRPr="00D96785">
        <w:t>he number of wells could be reduced by increasing injection rate per well or by increasing perforati</w:t>
      </w:r>
      <w:r>
        <w:t>on length using deviated wells.</w:t>
      </w:r>
    </w:p>
    <w:p w:rsidR="00AE0B1A" w:rsidRDefault="00AE0B1A" w:rsidP="00AE0B1A">
      <w:pPr>
        <w:pStyle w:val="Figuresandimagescentred"/>
      </w:pPr>
      <w:r>
        <w:rPr>
          <w:noProof/>
        </w:rPr>
        <w:drawing>
          <wp:inline distT="0" distB="0" distL="0" distR="0" wp14:anchorId="73FE87ED" wp14:editId="06B18D5B">
            <wp:extent cx="4500000" cy="6958800"/>
            <wp:effectExtent l="0" t="0" r="0" b="0"/>
            <wp:docPr id="2070" name="Picture 2070" descr="Due to the complexity of this document and the niche scientific target audience, no alternative description has been provided. Please email Geoscience Australia at clientservices@ga.gov.au for an alternative description." title="Fig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6finaldocs\0.REVIEW GA Record Summary + Appendices Internal  Review\Reviewed Draft\Figures\13-7199-3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500000" cy="6958800"/>
                    </a:xfrm>
                    <a:prstGeom prst="rect">
                      <a:avLst/>
                    </a:prstGeom>
                    <a:noFill/>
                    <a:ln>
                      <a:noFill/>
                    </a:ln>
                  </pic:spPr>
                </pic:pic>
              </a:graphicData>
            </a:graphic>
          </wp:inline>
        </w:drawing>
      </w:r>
    </w:p>
    <w:p w:rsidR="00AE0B1A" w:rsidRDefault="00AE0B1A" w:rsidP="00AE0B1A">
      <w:pPr>
        <w:pStyle w:val="Caption"/>
      </w:pPr>
      <w:bookmarkStart w:id="365" w:name="_Ref372289349"/>
      <w:bookmarkStart w:id="366" w:name="_Toc373095004"/>
      <w:bookmarkStart w:id="367" w:name="_Toc378252734"/>
      <w:bookmarkStart w:id="368" w:name="_Toc378253058"/>
      <w:bookmarkStart w:id="369" w:name="_Toc378253382"/>
      <w:bookmarkStart w:id="370" w:name="_Toc378253706"/>
      <w:bookmarkStart w:id="371" w:name="_Toc378254030"/>
      <w:bookmarkStart w:id="372" w:name="_Toc378254354"/>
      <w:bookmarkStart w:id="373" w:name="_Toc378254678"/>
      <w:bookmarkStart w:id="374" w:name="_Toc378255002"/>
      <w:bookmarkStart w:id="375" w:name="_Toc378255351"/>
      <w:r>
        <w:t xml:space="preserve">Figure </w:t>
      </w:r>
      <w:fldSimple w:instr=" STYLEREF 1 \s ">
        <w:r w:rsidR="00F64E4F">
          <w:rPr>
            <w:noProof/>
          </w:rPr>
          <w:t>4</w:t>
        </w:r>
      </w:fldSimple>
      <w:r w:rsidR="00AE5C2D">
        <w:t>.</w:t>
      </w:r>
      <w:fldSimple w:instr=" SEQ Figure \* ARABIC \s 1 ">
        <w:r w:rsidR="00F64E4F">
          <w:rPr>
            <w:noProof/>
          </w:rPr>
          <w:t>7</w:t>
        </w:r>
      </w:fldSimple>
      <w:bookmarkEnd w:id="365"/>
      <w:r>
        <w:t xml:space="preserve"> </w:t>
      </w:r>
      <w:r w:rsidRPr="00953B5C">
        <w:t xml:space="preserve">Top view (a) and sliced side view (b) of the Jurassic reservoir model with grid top depth. Top of page is north direction. See </w:t>
      </w:r>
      <w:r>
        <w:fldChar w:fldCharType="begin"/>
      </w:r>
      <w:r>
        <w:instrText xml:space="preserve"> REF _Ref372288044 \h </w:instrText>
      </w:r>
      <w:r>
        <w:fldChar w:fldCharType="separate"/>
      </w:r>
      <w:r w:rsidR="00F64E4F">
        <w:t>Figure </w:t>
      </w:r>
      <w:r w:rsidR="00F64E4F">
        <w:rPr>
          <w:noProof/>
        </w:rPr>
        <w:t>1</w:t>
      </w:r>
      <w:r w:rsidR="00F64E4F">
        <w:t>.</w:t>
      </w:r>
      <w:r w:rsidR="00F64E4F">
        <w:rPr>
          <w:noProof/>
        </w:rPr>
        <w:t>4</w:t>
      </w:r>
      <w:r>
        <w:fldChar w:fldCharType="end"/>
      </w:r>
      <w:r w:rsidRPr="00953B5C">
        <w:t xml:space="preserve"> for location. See Appendix L for further information.</w:t>
      </w:r>
      <w:bookmarkEnd w:id="366"/>
      <w:bookmarkEnd w:id="367"/>
      <w:bookmarkEnd w:id="368"/>
      <w:bookmarkEnd w:id="369"/>
      <w:bookmarkEnd w:id="370"/>
      <w:bookmarkEnd w:id="371"/>
      <w:bookmarkEnd w:id="372"/>
      <w:bookmarkEnd w:id="373"/>
      <w:bookmarkEnd w:id="374"/>
      <w:bookmarkEnd w:id="375"/>
    </w:p>
    <w:p w:rsidR="00AE0B1A" w:rsidRDefault="00AE0B1A" w:rsidP="00AE0B1A">
      <w:pPr>
        <w:pStyle w:val="Heading1"/>
      </w:pPr>
      <w:bookmarkStart w:id="376" w:name="_Toc372790307"/>
      <w:bookmarkStart w:id="377" w:name="_Toc378252890"/>
      <w:bookmarkStart w:id="378" w:name="_Toc378253214"/>
      <w:bookmarkStart w:id="379" w:name="_Toc378253538"/>
      <w:bookmarkStart w:id="380" w:name="_Toc378253862"/>
      <w:bookmarkStart w:id="381" w:name="_Toc378254186"/>
      <w:bookmarkStart w:id="382" w:name="_Toc378254510"/>
      <w:bookmarkStart w:id="383" w:name="_Toc378254834"/>
      <w:bookmarkStart w:id="384" w:name="_Toc378255158"/>
      <w:bookmarkStart w:id="385" w:name="_Toc383758216"/>
      <w:r>
        <w:lastRenderedPageBreak/>
        <w:t>Pre-</w:t>
      </w:r>
      <w:r w:rsidRPr="006B5A62">
        <w:t>competitive</w:t>
      </w:r>
      <w:r>
        <w:t xml:space="preserve"> </w:t>
      </w:r>
      <w:r w:rsidRPr="00C94C2F">
        <w:t>Data Acquisition</w:t>
      </w:r>
      <w:bookmarkEnd w:id="376"/>
      <w:bookmarkEnd w:id="377"/>
      <w:bookmarkEnd w:id="378"/>
      <w:bookmarkEnd w:id="379"/>
      <w:bookmarkEnd w:id="380"/>
      <w:bookmarkEnd w:id="381"/>
      <w:bookmarkEnd w:id="382"/>
      <w:bookmarkEnd w:id="383"/>
      <w:bookmarkEnd w:id="384"/>
      <w:bookmarkEnd w:id="385"/>
    </w:p>
    <w:p w:rsidR="00AE0B1A" w:rsidRPr="00C94C2F" w:rsidRDefault="00AE0B1A" w:rsidP="00AE0B1A">
      <w:pPr>
        <w:pStyle w:val="Heading2"/>
      </w:pPr>
      <w:bookmarkStart w:id="386" w:name="_Toc372790308"/>
      <w:bookmarkStart w:id="387" w:name="_Toc378252891"/>
      <w:bookmarkStart w:id="388" w:name="_Toc378253215"/>
      <w:bookmarkStart w:id="389" w:name="_Toc378253539"/>
      <w:bookmarkStart w:id="390" w:name="_Toc378253863"/>
      <w:bookmarkStart w:id="391" w:name="_Toc378254187"/>
      <w:bookmarkStart w:id="392" w:name="_Toc378254511"/>
      <w:bookmarkStart w:id="393" w:name="_Toc378254835"/>
      <w:bookmarkStart w:id="394" w:name="_Toc378255159"/>
      <w:bookmarkStart w:id="395" w:name="_Toc383758217"/>
      <w:r>
        <w:t xml:space="preserve">Seismic Survey </w:t>
      </w:r>
      <w:bookmarkEnd w:id="386"/>
      <w:r>
        <w:t>GA336</w:t>
      </w:r>
      <w:bookmarkEnd w:id="387"/>
      <w:bookmarkEnd w:id="388"/>
      <w:bookmarkEnd w:id="389"/>
      <w:bookmarkEnd w:id="390"/>
      <w:bookmarkEnd w:id="391"/>
      <w:bookmarkEnd w:id="392"/>
      <w:bookmarkEnd w:id="393"/>
      <w:bookmarkEnd w:id="394"/>
      <w:bookmarkEnd w:id="395"/>
    </w:p>
    <w:p w:rsidR="00AE0B1A" w:rsidRPr="00C94C2F" w:rsidRDefault="00AE0B1A" w:rsidP="00AE0B1A">
      <w:pPr>
        <w:pStyle w:val="BodyText"/>
      </w:pPr>
      <w:r>
        <w:t>In May 201</w:t>
      </w:r>
      <w:r w:rsidRPr="00C94C2F">
        <w:t>2</w:t>
      </w:r>
      <w:r w:rsidRPr="00430861">
        <w:t xml:space="preserve">, the </w:t>
      </w:r>
      <w:proofErr w:type="spellStart"/>
      <w:r w:rsidRPr="00430861">
        <w:rPr>
          <w:bCs/>
        </w:rPr>
        <w:t>Gardline</w:t>
      </w:r>
      <w:proofErr w:type="spellEnd"/>
      <w:r w:rsidRPr="00430861">
        <w:rPr>
          <w:bCs/>
        </w:rPr>
        <w:t xml:space="preserve"> CGG Pte Ltd </w:t>
      </w:r>
      <w:r w:rsidRPr="00430861">
        <w:t>seismic</w:t>
      </w:r>
      <w:r>
        <w:t xml:space="preserve"> vessel MV</w:t>
      </w:r>
      <w:r w:rsidRPr="00C94C2F">
        <w:t xml:space="preserve"> </w:t>
      </w:r>
      <w:r w:rsidRPr="00B353D1">
        <w:t>Duke</w:t>
      </w:r>
      <w:r w:rsidRPr="00C94C2F">
        <w:t xml:space="preserve">, </w:t>
      </w:r>
      <w:r w:rsidRPr="00DE0603">
        <w:t>acquired 4091 km of high-resolution 2D seismic refraction (GA336) and sub-bottom profiler (SBP) data (</w:t>
      </w:r>
      <w:r>
        <w:fldChar w:fldCharType="begin"/>
      </w:r>
      <w:r>
        <w:instrText xml:space="preserve"> REF _Ref372289378 \h </w:instrText>
      </w:r>
      <w:r>
        <w:fldChar w:fldCharType="separate"/>
      </w:r>
      <w:r w:rsidR="00F64E4F">
        <w:t xml:space="preserve">Figure </w:t>
      </w:r>
      <w:r w:rsidR="00F64E4F">
        <w:rPr>
          <w:noProof/>
        </w:rPr>
        <w:t>5</w:t>
      </w:r>
      <w:r w:rsidR="00F64E4F">
        <w:t>.</w:t>
      </w:r>
      <w:r w:rsidR="00F64E4F">
        <w:rPr>
          <w:noProof/>
        </w:rPr>
        <w:t>1</w:t>
      </w:r>
      <w:r>
        <w:fldChar w:fldCharType="end"/>
      </w:r>
      <w:r w:rsidRPr="00DE0603">
        <w:t>). The location was selected to increase 2D seismic</w:t>
      </w:r>
      <w:r w:rsidRPr="00C94C2F">
        <w:t xml:space="preserve"> data density in the </w:t>
      </w:r>
      <w:proofErr w:type="spellStart"/>
      <w:r>
        <w:t>southeastern</w:t>
      </w:r>
      <w:proofErr w:type="spellEnd"/>
      <w:r w:rsidRPr="00C94C2F">
        <w:t xml:space="preserve"> part of the </w:t>
      </w:r>
      <w:r>
        <w:t>Petrel S</w:t>
      </w:r>
      <w:r w:rsidRPr="00C94C2F">
        <w:t xml:space="preserve">ub-basin, previously </w:t>
      </w:r>
      <w:r>
        <w:t xml:space="preserve">only </w:t>
      </w:r>
      <w:r w:rsidRPr="00C94C2F">
        <w:t xml:space="preserve">covered by a few lines. The spacing between </w:t>
      </w:r>
      <w:r>
        <w:t xml:space="preserve">the </w:t>
      </w:r>
      <w:r w:rsidRPr="00C94C2F">
        <w:t>10 km</w:t>
      </w:r>
      <w:r>
        <w:t>-long</w:t>
      </w:r>
      <w:r w:rsidRPr="00C94C2F">
        <w:t xml:space="preserve"> lines was 3</w:t>
      </w:r>
      <w:r>
        <w:t xml:space="preserve"> km</w:t>
      </w:r>
      <w:r w:rsidRPr="00C94C2F">
        <w:t xml:space="preserve"> provid</w:t>
      </w:r>
      <w:r>
        <w:t>ing</w:t>
      </w:r>
      <w:r w:rsidRPr="00C94C2F">
        <w:t xml:space="preserve"> ties to existing </w:t>
      </w:r>
      <w:r>
        <w:t xml:space="preserve">2D </w:t>
      </w:r>
      <w:r w:rsidRPr="00C94C2F">
        <w:t xml:space="preserve">seismic surveys in the north and south, as well as the Petrel 3D seismic </w:t>
      </w:r>
      <w:r>
        <w:t>volume,</w:t>
      </w:r>
      <w:r w:rsidRPr="00C94C2F">
        <w:t xml:space="preserve"> and to </w:t>
      </w:r>
      <w:r>
        <w:t xml:space="preserve">the </w:t>
      </w:r>
      <w:r w:rsidRPr="00C94C2F">
        <w:t xml:space="preserve">key exploration wells </w:t>
      </w:r>
      <w:r>
        <w:t xml:space="preserve">of </w:t>
      </w:r>
      <w:r w:rsidRPr="00C94C2F">
        <w:t xml:space="preserve">Petrel 1, Petrel 4 and Flat Top 1. The acquisition and processing, undertaken by </w:t>
      </w:r>
      <w:proofErr w:type="spellStart"/>
      <w:r w:rsidRPr="00430861">
        <w:rPr>
          <w:bCs/>
        </w:rPr>
        <w:t>Fugro</w:t>
      </w:r>
      <w:proofErr w:type="spellEnd"/>
      <w:r w:rsidRPr="00430861">
        <w:rPr>
          <w:bCs/>
        </w:rPr>
        <w:t xml:space="preserve"> Seismic Imaging Pty</w:t>
      </w:r>
      <w:r w:rsidRPr="00C94C2F">
        <w:t xml:space="preserve">, focussed on enhancing the </w:t>
      </w:r>
      <w:r>
        <w:t>Mesozoic formations</w:t>
      </w:r>
      <w:r w:rsidRPr="00C94C2F">
        <w:t xml:space="preserve">. </w:t>
      </w:r>
      <w:r>
        <w:t>F</w:t>
      </w:r>
      <w:r w:rsidRPr="00C94C2F">
        <w:t>our key lines, including well-line ties</w:t>
      </w:r>
      <w:r>
        <w:t>,</w:t>
      </w:r>
      <w:r w:rsidRPr="00C94C2F">
        <w:t xml:space="preserve"> were depth converted using post-stack depth migration (PSDM)</w:t>
      </w:r>
      <w:r>
        <w:t xml:space="preserve"> that ensured good</w:t>
      </w:r>
      <w:r w:rsidRPr="00C94C2F">
        <w:t xml:space="preserve"> ties to well data</w:t>
      </w:r>
      <w:r>
        <w:t xml:space="preserve">. In addition, 2D simultaneous </w:t>
      </w:r>
      <w:r w:rsidRPr="00C94C2F">
        <w:t>inversion</w:t>
      </w:r>
      <w:r>
        <w:t xml:space="preserve"> analysis was completed on these four lines</w:t>
      </w:r>
      <w:r w:rsidRPr="00C94C2F">
        <w:t xml:space="preserve"> to assist </w:t>
      </w:r>
      <w:r>
        <w:t xml:space="preserve">in </w:t>
      </w:r>
      <w:r w:rsidRPr="00C94C2F">
        <w:t>reservoir characteristic quantification (porosity, sand percentage</w:t>
      </w:r>
      <w:r>
        <w:t>,</w:t>
      </w:r>
      <w:r w:rsidRPr="00C94C2F">
        <w:t xml:space="preserve"> etc.). The results of the PSDM and inversion are detailed in Appendi</w:t>
      </w:r>
      <w:r w:rsidR="0066176E">
        <w:t>x M</w:t>
      </w:r>
      <w:r w:rsidRPr="00C94C2F">
        <w:t>.</w:t>
      </w:r>
    </w:p>
    <w:p w:rsidR="00AE0B1A" w:rsidRDefault="00AE0B1A" w:rsidP="00AE0B1A">
      <w:pPr>
        <w:pStyle w:val="Figuresandimagescentred"/>
      </w:pPr>
      <w:r>
        <w:rPr>
          <w:noProof/>
        </w:rPr>
        <w:drawing>
          <wp:inline distT="0" distB="0" distL="0" distR="0" wp14:anchorId="64889214" wp14:editId="6659080B">
            <wp:extent cx="5353200" cy="4251600"/>
            <wp:effectExtent l="0" t="0" r="0" b="0"/>
            <wp:docPr id="2072" name="Picture 2072" descr="Due to the complexity of this document and the niche scientific target audience, no alternative description has been provided. Please email Geoscience Australia at clientservices@ga.gov.au for an alternative description."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6finaldocs\0.REVIEW GA Record Summary + Appendices Internal  Review\Reviewed Draft\Figures\13-7199-1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375" t="30718" r="11244" b="25767"/>
                    <a:stretch/>
                  </pic:blipFill>
                  <pic:spPr bwMode="auto">
                    <a:xfrm>
                      <a:off x="0" y="0"/>
                      <a:ext cx="5353200" cy="4251600"/>
                    </a:xfrm>
                    <a:prstGeom prst="rect">
                      <a:avLst/>
                    </a:prstGeom>
                    <a:noFill/>
                    <a:ln>
                      <a:noFill/>
                    </a:ln>
                    <a:extLst>
                      <a:ext uri="{53640926-AAD7-44D8-BBD7-CCE9431645EC}">
                        <a14:shadowObscured xmlns:a14="http://schemas.microsoft.com/office/drawing/2010/main"/>
                      </a:ext>
                    </a:extLst>
                  </pic:spPr>
                </pic:pic>
              </a:graphicData>
            </a:graphic>
          </wp:inline>
        </w:drawing>
      </w:r>
    </w:p>
    <w:p w:rsidR="00AE0B1A" w:rsidRPr="00255748" w:rsidRDefault="00AE0B1A" w:rsidP="00AE0B1A">
      <w:pPr>
        <w:pStyle w:val="Caption"/>
      </w:pPr>
      <w:bookmarkStart w:id="396" w:name="_Ref372289378"/>
      <w:bookmarkStart w:id="397" w:name="_Toc373095005"/>
      <w:bookmarkStart w:id="398" w:name="_Toc378252735"/>
      <w:bookmarkStart w:id="399" w:name="_Toc378253059"/>
      <w:bookmarkStart w:id="400" w:name="_Toc378253383"/>
      <w:bookmarkStart w:id="401" w:name="_Toc378253707"/>
      <w:bookmarkStart w:id="402" w:name="_Toc378254031"/>
      <w:bookmarkStart w:id="403" w:name="_Toc378254355"/>
      <w:bookmarkStart w:id="404" w:name="_Toc378254679"/>
      <w:bookmarkStart w:id="405" w:name="_Toc378255003"/>
      <w:bookmarkStart w:id="406" w:name="_Toc378255352"/>
      <w:r>
        <w:t xml:space="preserve">Figure </w:t>
      </w:r>
      <w:fldSimple w:instr=" STYLEREF 1 \s ">
        <w:r w:rsidR="00F64E4F">
          <w:rPr>
            <w:noProof/>
          </w:rPr>
          <w:t>5</w:t>
        </w:r>
      </w:fldSimple>
      <w:r w:rsidR="00AE5C2D">
        <w:t>.</w:t>
      </w:r>
      <w:fldSimple w:instr=" SEQ Figure \* ARABIC \s 1 ">
        <w:r w:rsidR="00F64E4F">
          <w:rPr>
            <w:noProof/>
          </w:rPr>
          <w:t>1</w:t>
        </w:r>
      </w:fldSimple>
      <w:bookmarkEnd w:id="396"/>
      <w:r>
        <w:t xml:space="preserve"> </w:t>
      </w:r>
      <w:r w:rsidRPr="00C52A69">
        <w:t xml:space="preserve">Location map for pre-competitive data acquired as part of this study, including GA336 and SOL5436/GA335 surveys. Petrel 3D seismic survey is shown for further spatial reference. See </w:t>
      </w:r>
      <w:r>
        <w:fldChar w:fldCharType="begin"/>
      </w:r>
      <w:r>
        <w:instrText xml:space="preserve"> REF _Ref372289121 \h </w:instrText>
      </w:r>
      <w:r>
        <w:fldChar w:fldCharType="separate"/>
      </w:r>
      <w:r w:rsidR="00F64E4F">
        <w:t xml:space="preserve">Figure </w:t>
      </w:r>
      <w:r w:rsidR="00F64E4F">
        <w:rPr>
          <w:noProof/>
        </w:rPr>
        <w:t>4</w:t>
      </w:r>
      <w:r w:rsidR="00F64E4F">
        <w:t>.</w:t>
      </w:r>
      <w:r w:rsidR="00F64E4F">
        <w:rPr>
          <w:noProof/>
        </w:rPr>
        <w:t>4</w:t>
      </w:r>
      <w:r>
        <w:fldChar w:fldCharType="end"/>
      </w:r>
      <w:r>
        <w:t xml:space="preserve"> </w:t>
      </w:r>
      <w:r w:rsidRPr="00C52A69">
        <w:t>for location.</w:t>
      </w:r>
      <w:bookmarkEnd w:id="397"/>
      <w:bookmarkEnd w:id="398"/>
      <w:bookmarkEnd w:id="399"/>
      <w:bookmarkEnd w:id="400"/>
      <w:bookmarkEnd w:id="401"/>
      <w:bookmarkEnd w:id="402"/>
      <w:bookmarkEnd w:id="403"/>
      <w:bookmarkEnd w:id="404"/>
      <w:bookmarkEnd w:id="405"/>
      <w:bookmarkEnd w:id="406"/>
    </w:p>
    <w:p w:rsidR="00AE0B1A" w:rsidRPr="00C94C2F" w:rsidRDefault="00AE0B1A" w:rsidP="00AE0B1A">
      <w:pPr>
        <w:pStyle w:val="Heading2"/>
      </w:pPr>
      <w:bookmarkStart w:id="407" w:name="_Toc372790309"/>
      <w:bookmarkStart w:id="408" w:name="_Toc378252892"/>
      <w:bookmarkStart w:id="409" w:name="_Toc378253216"/>
      <w:bookmarkStart w:id="410" w:name="_Toc378253540"/>
      <w:bookmarkStart w:id="411" w:name="_Toc378253864"/>
      <w:bookmarkStart w:id="412" w:name="_Toc378254188"/>
      <w:bookmarkStart w:id="413" w:name="_Toc378254512"/>
      <w:bookmarkStart w:id="414" w:name="_Toc378254836"/>
      <w:bookmarkStart w:id="415" w:name="_Toc378255160"/>
      <w:bookmarkStart w:id="416" w:name="_Toc383758218"/>
      <w:r>
        <w:lastRenderedPageBreak/>
        <w:t xml:space="preserve">Marine </w:t>
      </w:r>
      <w:r w:rsidRPr="006B5A62">
        <w:t>Study</w:t>
      </w:r>
      <w:r>
        <w:t xml:space="preserve"> SOL5463/GA335</w:t>
      </w:r>
      <w:bookmarkEnd w:id="407"/>
      <w:bookmarkEnd w:id="408"/>
      <w:bookmarkEnd w:id="409"/>
      <w:bookmarkEnd w:id="410"/>
      <w:bookmarkEnd w:id="411"/>
      <w:bookmarkEnd w:id="412"/>
      <w:bookmarkEnd w:id="413"/>
      <w:bookmarkEnd w:id="414"/>
      <w:bookmarkEnd w:id="415"/>
      <w:bookmarkEnd w:id="416"/>
    </w:p>
    <w:p w:rsidR="00AE0B1A" w:rsidRDefault="00AE0B1A" w:rsidP="00AE0B1A">
      <w:pPr>
        <w:pStyle w:val="BodyText"/>
      </w:pPr>
      <w:r w:rsidRPr="00E10BBC">
        <w:t>In May 2012, Geoscience Australia, in collaboration with the Australian Institute of Marine Science (AIMS), carried out a seabed and shallow subsurface mapping and characterisation survey (SOL5463/GA335) of two key areas in the Petrel Sub-basin</w:t>
      </w:r>
      <w:r>
        <w:t>. This survey was designed to investigate evidence for potential fluid leakage to the seafloor</w:t>
      </w:r>
      <w:r w:rsidRPr="00E10BBC">
        <w:t xml:space="preserve"> </w:t>
      </w:r>
      <w:r>
        <w:t xml:space="preserve">as part of an evaluation of the regional seal quality </w:t>
      </w:r>
      <w:r w:rsidRPr="00E10BBC">
        <w:t>(</w:t>
      </w:r>
      <w:r>
        <w:fldChar w:fldCharType="begin"/>
      </w:r>
      <w:r>
        <w:instrText xml:space="preserve"> REF _Ref372289378 \h </w:instrText>
      </w:r>
      <w:r>
        <w:fldChar w:fldCharType="separate"/>
      </w:r>
      <w:r w:rsidR="00F64E4F">
        <w:t xml:space="preserve">Figure </w:t>
      </w:r>
      <w:r w:rsidR="00F64E4F">
        <w:rPr>
          <w:noProof/>
        </w:rPr>
        <w:t>5</w:t>
      </w:r>
      <w:r w:rsidR="00F64E4F">
        <w:t>.</w:t>
      </w:r>
      <w:r w:rsidR="00F64E4F">
        <w:rPr>
          <w:noProof/>
        </w:rPr>
        <w:t>1</w:t>
      </w:r>
      <w:r>
        <w:fldChar w:fldCharType="end"/>
      </w:r>
      <w:r w:rsidRPr="00E10BBC">
        <w:t xml:space="preserve">). </w:t>
      </w:r>
    </w:p>
    <w:p w:rsidR="00AE0B1A" w:rsidRPr="00E10BBC" w:rsidRDefault="00AE0B1A" w:rsidP="00AE0B1A">
      <w:pPr>
        <w:pStyle w:val="BodyText"/>
      </w:pPr>
      <w:r w:rsidRPr="00E10BBC">
        <w:t xml:space="preserve">The AIMS vessel, the RV </w:t>
      </w:r>
      <w:r w:rsidRPr="009D5B2E">
        <w:rPr>
          <w:rStyle w:val="Italic"/>
        </w:rPr>
        <w:t>Solander</w:t>
      </w:r>
      <w:r w:rsidRPr="00E10BBC">
        <w:t xml:space="preserve">, collected geophysical, </w:t>
      </w:r>
      <w:proofErr w:type="spellStart"/>
      <w:r w:rsidRPr="00E10BBC">
        <w:t>sedimentological</w:t>
      </w:r>
      <w:proofErr w:type="spellEnd"/>
      <w:r w:rsidRPr="00E10BBC">
        <w:t xml:space="preserve"> and bio</w:t>
      </w:r>
      <w:r>
        <w:t>logical</w:t>
      </w:r>
      <w:r w:rsidRPr="00E10BBC">
        <w:t xml:space="preserve"> data including 652 km</w:t>
      </w:r>
      <w:r w:rsidRPr="009D5B2E">
        <w:rPr>
          <w:rStyle w:val="Superscript"/>
        </w:rPr>
        <w:t>2</w:t>
      </w:r>
      <w:r w:rsidRPr="00E10BBC">
        <w:t xml:space="preserve"> of </w:t>
      </w:r>
      <w:proofErr w:type="spellStart"/>
      <w:r w:rsidRPr="00E10BBC">
        <w:t>multibeam</w:t>
      </w:r>
      <w:proofErr w:type="spellEnd"/>
      <w:r w:rsidRPr="00E10BBC">
        <w:t xml:space="preserve"> bathymetry, backscatter and water column data, 655 line</w:t>
      </w:r>
      <w:r>
        <w:t>-</w:t>
      </w:r>
      <w:r w:rsidRPr="00E10BBC">
        <w:t xml:space="preserve">km of multi-channel SBP data, as well as 33 grab samples, 13 towed-video transects, 12 conductivity-temperature-depth profiles and nine </w:t>
      </w:r>
      <w:proofErr w:type="spellStart"/>
      <w:r w:rsidRPr="00E10BBC">
        <w:t>vibrocores</w:t>
      </w:r>
      <w:proofErr w:type="spellEnd"/>
      <w:r w:rsidRPr="00E10BBC">
        <w:t xml:space="preserve"> from the two areas. The survey characterised the shallow subsurface stratigraphy (top 100 m) and </w:t>
      </w:r>
      <w:r>
        <w:t xml:space="preserve">provided baseline data for </w:t>
      </w:r>
      <w:r w:rsidRPr="00E10BBC">
        <w:t xml:space="preserve">two representative </w:t>
      </w:r>
      <w:r>
        <w:t xml:space="preserve">seafloor </w:t>
      </w:r>
      <w:r w:rsidRPr="00E10BBC">
        <w:t xml:space="preserve">environments of the Joseph Bonaparte Gulf. See </w:t>
      </w:r>
      <w:r w:rsidRPr="00E10BBC">
        <w:rPr>
          <w:noProof/>
        </w:rPr>
        <w:t>Carroll et al. (2012</w:t>
      </w:r>
      <w:r>
        <w:rPr>
          <w:noProof/>
        </w:rPr>
        <w:t xml:space="preserve">) </w:t>
      </w:r>
      <w:r>
        <w:t>for further information</w:t>
      </w:r>
      <w:r w:rsidRPr="00E10BBC">
        <w:t xml:space="preserve"> </w:t>
      </w:r>
      <w:r>
        <w:t>on</w:t>
      </w:r>
      <w:r w:rsidRPr="00E10BBC">
        <w:t xml:space="preserve"> the 2012</w:t>
      </w:r>
      <w:r>
        <w:t xml:space="preserve"> Bonaparte Marine Survey</w:t>
      </w:r>
      <w:r w:rsidRPr="00E10BBC">
        <w:t>.</w:t>
      </w:r>
    </w:p>
    <w:p w:rsidR="00AE0B1A" w:rsidRDefault="00AE0B1A" w:rsidP="00AE0B1A">
      <w:pPr>
        <w:pStyle w:val="BodyText"/>
      </w:pPr>
      <w:r>
        <w:t>Survey A</w:t>
      </w:r>
      <w:r w:rsidRPr="00E10BBC">
        <w:t>rea 1</w:t>
      </w:r>
      <w:r>
        <w:t xml:space="preserve"> is</w:t>
      </w:r>
      <w:r w:rsidRPr="00E10BBC">
        <w:t xml:space="preserve"> located on the </w:t>
      </w:r>
      <w:r>
        <w:t>southeast</w:t>
      </w:r>
      <w:r w:rsidRPr="00E10BBC">
        <w:t xml:space="preserve"> margin of the central </w:t>
      </w:r>
      <w:r>
        <w:t>Petrel S</w:t>
      </w:r>
      <w:r w:rsidRPr="00E10BBC">
        <w:t>ub-basin (</w:t>
      </w:r>
      <w:r>
        <w:fldChar w:fldCharType="begin"/>
      </w:r>
      <w:r>
        <w:instrText xml:space="preserve"> REF _Ref372289378 \h </w:instrText>
      </w:r>
      <w:r>
        <w:fldChar w:fldCharType="separate"/>
      </w:r>
      <w:r w:rsidR="00F64E4F">
        <w:t xml:space="preserve">Figure </w:t>
      </w:r>
      <w:r w:rsidR="00F64E4F">
        <w:rPr>
          <w:noProof/>
        </w:rPr>
        <w:t>5</w:t>
      </w:r>
      <w:r w:rsidR="00F64E4F">
        <w:t>.</w:t>
      </w:r>
      <w:r w:rsidR="00F64E4F">
        <w:rPr>
          <w:noProof/>
        </w:rPr>
        <w:t>1</w:t>
      </w:r>
      <w:r>
        <w:fldChar w:fldCharType="end"/>
      </w:r>
      <w:r w:rsidRPr="00E10BBC">
        <w:t>)</w:t>
      </w:r>
      <w:r>
        <w:t xml:space="preserve"> and</w:t>
      </w:r>
      <w:r w:rsidRPr="00E10BBC">
        <w:t xml:space="preserve"> lies in water depths </w:t>
      </w:r>
      <w:r>
        <w:t xml:space="preserve">of </w:t>
      </w:r>
      <w:r w:rsidRPr="00E10BBC">
        <w:t>between 78 and 102 m (</w:t>
      </w:r>
      <w:r>
        <w:fldChar w:fldCharType="begin"/>
      </w:r>
      <w:r>
        <w:instrText xml:space="preserve"> REF _Ref372289419 \h </w:instrText>
      </w:r>
      <w:r>
        <w:fldChar w:fldCharType="separate"/>
      </w:r>
      <w:r w:rsidR="00F64E4F">
        <w:t xml:space="preserve">Figure </w:t>
      </w:r>
      <w:r w:rsidR="00F64E4F">
        <w:rPr>
          <w:noProof/>
        </w:rPr>
        <w:t>5</w:t>
      </w:r>
      <w:r w:rsidR="00F64E4F">
        <w:t>.</w:t>
      </w:r>
      <w:r w:rsidR="00F64E4F">
        <w:rPr>
          <w:noProof/>
        </w:rPr>
        <w:t>2</w:t>
      </w:r>
      <w:r>
        <w:fldChar w:fldCharType="end"/>
      </w:r>
      <w:r w:rsidRPr="00E10BBC">
        <w:t xml:space="preserve">). This site was selected </w:t>
      </w:r>
      <w:r>
        <w:t>to determine the</w:t>
      </w:r>
      <w:r w:rsidRPr="00E10BBC">
        <w:t xml:space="preserve"> effectiveness of the seals and to identify the presence of any faults in the shallow subsurface through the identification of any </w:t>
      </w:r>
      <w:r>
        <w:t xml:space="preserve">seafloor </w:t>
      </w:r>
      <w:r w:rsidRPr="00E10BBC">
        <w:t xml:space="preserve">seepage, or subsurface </w:t>
      </w:r>
      <w:r>
        <w:t>fluid migration</w:t>
      </w:r>
      <w:r w:rsidRPr="00E10BBC">
        <w:t xml:space="preserve">. </w:t>
      </w:r>
    </w:p>
    <w:p w:rsidR="00AE0B1A" w:rsidRDefault="00214A5B" w:rsidP="00AE0B1A">
      <w:pPr>
        <w:pStyle w:val="Figuresandimagescentred"/>
      </w:pPr>
      <w:r>
        <w:rPr>
          <w:noProof/>
        </w:rPr>
        <w:drawing>
          <wp:inline distT="0" distB="0" distL="0" distR="0" wp14:anchorId="009674BA" wp14:editId="2708B82C">
            <wp:extent cx="4465675" cy="3561907"/>
            <wp:effectExtent l="0" t="0" r="0" b="635"/>
            <wp:docPr id="7" name="Picture 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199-14.jpg"/>
                    <pic:cNvPicPr/>
                  </pic:nvPicPr>
                  <pic:blipFill rotWithShape="1">
                    <a:blip r:embed="rId46" cstate="print">
                      <a:extLst>
                        <a:ext uri="{28A0092B-C50C-407E-A947-70E740481C1C}">
                          <a14:useLocalDpi xmlns:a14="http://schemas.microsoft.com/office/drawing/2010/main" val="0"/>
                        </a:ext>
                      </a:extLst>
                    </a:blip>
                    <a:srcRect l="11070" t="34598" r="11439" b="21666"/>
                    <a:stretch/>
                  </pic:blipFill>
                  <pic:spPr bwMode="auto">
                    <a:xfrm>
                      <a:off x="0" y="0"/>
                      <a:ext cx="4463535" cy="3560200"/>
                    </a:xfrm>
                    <a:prstGeom prst="rect">
                      <a:avLst/>
                    </a:prstGeom>
                    <a:ln>
                      <a:noFill/>
                    </a:ln>
                    <a:extLst>
                      <a:ext uri="{53640926-AAD7-44D8-BBD7-CCE9431645EC}">
                        <a14:shadowObscured xmlns:a14="http://schemas.microsoft.com/office/drawing/2010/main"/>
                      </a:ext>
                    </a:extLst>
                  </pic:spPr>
                </pic:pic>
              </a:graphicData>
            </a:graphic>
          </wp:inline>
        </w:drawing>
      </w:r>
    </w:p>
    <w:p w:rsidR="00AE0B1A" w:rsidRPr="00E10BBC" w:rsidRDefault="00AE0B1A" w:rsidP="00AE0B1A">
      <w:pPr>
        <w:pStyle w:val="Caption"/>
      </w:pPr>
      <w:bookmarkStart w:id="417" w:name="_Ref372289419"/>
      <w:bookmarkStart w:id="418" w:name="_Toc373095006"/>
      <w:bookmarkStart w:id="419" w:name="_Toc378252736"/>
      <w:bookmarkStart w:id="420" w:name="_Toc378253060"/>
      <w:bookmarkStart w:id="421" w:name="_Toc378253384"/>
      <w:bookmarkStart w:id="422" w:name="_Toc378253708"/>
      <w:bookmarkStart w:id="423" w:name="_Toc378254032"/>
      <w:bookmarkStart w:id="424" w:name="_Toc378254356"/>
      <w:bookmarkStart w:id="425" w:name="_Toc378254680"/>
      <w:bookmarkStart w:id="426" w:name="_Toc378255004"/>
      <w:bookmarkStart w:id="427" w:name="_Toc378255353"/>
      <w:r>
        <w:t xml:space="preserve">Figure </w:t>
      </w:r>
      <w:fldSimple w:instr=" STYLEREF 1 \s ">
        <w:r w:rsidR="00F64E4F">
          <w:rPr>
            <w:noProof/>
          </w:rPr>
          <w:t>5</w:t>
        </w:r>
      </w:fldSimple>
      <w:r w:rsidR="00AE5C2D">
        <w:t>.</w:t>
      </w:r>
      <w:fldSimple w:instr=" SEQ Figure \* ARABIC \s 1 ">
        <w:r w:rsidR="00F64E4F">
          <w:rPr>
            <w:noProof/>
          </w:rPr>
          <w:t>2</w:t>
        </w:r>
      </w:fldSimple>
      <w:bookmarkEnd w:id="417"/>
      <w:r>
        <w:t xml:space="preserve"> </w:t>
      </w:r>
      <w:r w:rsidRPr="001F612E">
        <w:t>Bathymetry images of Area 1 (a) and Area 2 (b) in the Petrel Sub-basin from marine survey SOL5463/GA335 that show the location of sampling stations and the sub-bottom profile and seismic lines GA335/06 (</w:t>
      </w:r>
      <w:r>
        <w:fldChar w:fldCharType="begin"/>
      </w:r>
      <w:r>
        <w:instrText xml:space="preserve"> REF _Ref372289433 \h </w:instrText>
      </w:r>
      <w:r>
        <w:fldChar w:fldCharType="separate"/>
      </w:r>
      <w:r w:rsidR="00F64E4F">
        <w:t xml:space="preserve">Figure </w:t>
      </w:r>
      <w:r w:rsidR="00F64E4F">
        <w:rPr>
          <w:noProof/>
        </w:rPr>
        <w:t>5</w:t>
      </w:r>
      <w:r w:rsidR="00F64E4F">
        <w:t>.</w:t>
      </w:r>
      <w:r w:rsidR="00F64E4F">
        <w:rPr>
          <w:noProof/>
        </w:rPr>
        <w:t>3</w:t>
      </w:r>
      <w:r>
        <w:fldChar w:fldCharType="end"/>
      </w:r>
      <w:r w:rsidRPr="001F612E">
        <w:t>b), GA335/48 (</w:t>
      </w:r>
      <w:r>
        <w:fldChar w:fldCharType="begin"/>
      </w:r>
      <w:r>
        <w:instrText xml:space="preserve"> REF _Ref372289441 \h </w:instrText>
      </w:r>
      <w:r>
        <w:fldChar w:fldCharType="separate"/>
      </w:r>
      <w:r w:rsidR="00F64E4F">
        <w:t xml:space="preserve">Figure </w:t>
      </w:r>
      <w:r w:rsidR="00F64E4F">
        <w:rPr>
          <w:noProof/>
        </w:rPr>
        <w:t>5</w:t>
      </w:r>
      <w:r w:rsidR="00F64E4F">
        <w:t>.</w:t>
      </w:r>
      <w:r w:rsidR="00F64E4F">
        <w:rPr>
          <w:noProof/>
        </w:rPr>
        <w:t>4</w:t>
      </w:r>
      <w:r>
        <w:fldChar w:fldCharType="end"/>
      </w:r>
      <w:r w:rsidRPr="001F612E">
        <w:t>b) and BG91</w:t>
      </w:r>
      <w:r w:rsidRPr="00571026">
        <w:t>/08 (</w:t>
      </w:r>
      <w:r>
        <w:fldChar w:fldCharType="begin"/>
      </w:r>
      <w:r>
        <w:instrText xml:space="preserve"> REF _Ref372289441 \h </w:instrText>
      </w:r>
      <w:r>
        <w:fldChar w:fldCharType="separate"/>
      </w:r>
      <w:r w:rsidR="00F64E4F">
        <w:t xml:space="preserve">Figure </w:t>
      </w:r>
      <w:r w:rsidR="00F64E4F">
        <w:rPr>
          <w:noProof/>
        </w:rPr>
        <w:t>5</w:t>
      </w:r>
      <w:r w:rsidR="00F64E4F">
        <w:t>.</w:t>
      </w:r>
      <w:r w:rsidR="00F64E4F">
        <w:rPr>
          <w:noProof/>
        </w:rPr>
        <w:t>4</w:t>
      </w:r>
      <w:r>
        <w:fldChar w:fldCharType="end"/>
      </w:r>
      <w:r w:rsidRPr="00571026">
        <w:t>).</w:t>
      </w:r>
      <w:bookmarkEnd w:id="418"/>
      <w:bookmarkEnd w:id="419"/>
      <w:bookmarkEnd w:id="420"/>
      <w:bookmarkEnd w:id="421"/>
      <w:bookmarkEnd w:id="422"/>
      <w:bookmarkEnd w:id="423"/>
      <w:bookmarkEnd w:id="424"/>
      <w:bookmarkEnd w:id="425"/>
      <w:bookmarkEnd w:id="426"/>
      <w:bookmarkEnd w:id="427"/>
    </w:p>
    <w:p w:rsidR="00AE0B1A" w:rsidRDefault="00AE0B1A" w:rsidP="00AE0B1A">
      <w:pPr>
        <w:pStyle w:val="BodyText"/>
      </w:pPr>
      <w:r w:rsidRPr="00E10BBC">
        <w:t xml:space="preserve">Area 1 </w:t>
      </w:r>
      <w:r>
        <w:t>occurs</w:t>
      </w:r>
      <w:r w:rsidRPr="00E10BBC">
        <w:t xml:space="preserve"> over a series of major faults that were identified from pre-existing 2D seismic data. The faults </w:t>
      </w:r>
      <w:r>
        <w:t>are</w:t>
      </w:r>
      <w:r w:rsidRPr="00E10BBC">
        <w:t xml:space="preserve"> </w:t>
      </w:r>
      <w:r>
        <w:t>observed</w:t>
      </w:r>
      <w:r w:rsidRPr="00E10BBC">
        <w:t xml:space="preserve"> to intersect the formations </w:t>
      </w:r>
      <w:r>
        <w:t>targeted for CO</w:t>
      </w:r>
      <w:r w:rsidRPr="009D5B2E">
        <w:rPr>
          <w:rStyle w:val="Subscript"/>
        </w:rPr>
        <w:t>2</w:t>
      </w:r>
      <w:r>
        <w:t xml:space="preserve"> geological storage, </w:t>
      </w:r>
      <w:r w:rsidRPr="00E10BBC">
        <w:t>terminat</w:t>
      </w:r>
      <w:r>
        <w:t>ing</w:t>
      </w:r>
      <w:r w:rsidRPr="00E10BBC">
        <w:t xml:space="preserve"> in the </w:t>
      </w:r>
      <w:r w:rsidRPr="00E10BBC">
        <w:lastRenderedPageBreak/>
        <w:t xml:space="preserve">Bathurst Island Group. </w:t>
      </w:r>
      <w:r>
        <w:t>D</w:t>
      </w:r>
      <w:r w:rsidRPr="00E10BBC">
        <w:t>iscontinuous and</w:t>
      </w:r>
      <w:r>
        <w:t xml:space="preserve"> </w:t>
      </w:r>
      <w:r w:rsidRPr="00E10BBC">
        <w:t>/</w:t>
      </w:r>
      <w:r>
        <w:t xml:space="preserve"> </w:t>
      </w:r>
      <w:r w:rsidRPr="00E10BBC">
        <w:t>or faded amplitude traces</w:t>
      </w:r>
      <w:r>
        <w:t xml:space="preserve"> in the </w:t>
      </w:r>
      <w:r w:rsidRPr="00E10BBC">
        <w:t xml:space="preserve">2D seismic data </w:t>
      </w:r>
      <w:r>
        <w:t>suggest</w:t>
      </w:r>
      <w:r w:rsidRPr="00E10BBC">
        <w:t xml:space="preserve"> that there might have been fluid migration associated with these faults </w:t>
      </w:r>
      <w:r>
        <w:t>from</w:t>
      </w:r>
      <w:r w:rsidRPr="00E10BBC">
        <w:t xml:space="preserve"> depth </w:t>
      </w:r>
      <w:r>
        <w:t>to the near-surface</w:t>
      </w:r>
      <w:r w:rsidRPr="00E10BBC">
        <w:t xml:space="preserve">. </w:t>
      </w:r>
      <w:r>
        <w:t>However, detailed analysis</w:t>
      </w:r>
      <w:r w:rsidRPr="00E10BBC">
        <w:t xml:space="preserve"> of the high-resolution bathymetry and SBP data from Area 1 did not identify any seafloor or shallow subsurface geophysical evidence of shallow faults </w:t>
      </w:r>
      <w:r>
        <w:t xml:space="preserve">extending </w:t>
      </w:r>
      <w:r w:rsidRPr="00E10BBC">
        <w:t>to the surface</w:t>
      </w:r>
      <w:r>
        <w:t>, or evidence of seepage from deeper geological sources</w:t>
      </w:r>
      <w:r w:rsidRPr="00E10BBC">
        <w:t xml:space="preserve"> (</w:t>
      </w:r>
      <w:r>
        <w:fldChar w:fldCharType="begin"/>
      </w:r>
      <w:r>
        <w:instrText xml:space="preserve"> REF _Ref372289433 \h </w:instrText>
      </w:r>
      <w:r>
        <w:fldChar w:fldCharType="separate"/>
      </w:r>
      <w:r w:rsidR="00F64E4F">
        <w:t xml:space="preserve">Figure </w:t>
      </w:r>
      <w:r w:rsidR="00F64E4F">
        <w:rPr>
          <w:noProof/>
        </w:rPr>
        <w:t>5</w:t>
      </w:r>
      <w:r w:rsidR="00F64E4F">
        <w:t>.</w:t>
      </w:r>
      <w:r w:rsidR="00F64E4F">
        <w:rPr>
          <w:noProof/>
        </w:rPr>
        <w:t>3</w:t>
      </w:r>
      <w:r>
        <w:fldChar w:fldCharType="end"/>
      </w:r>
      <w:r>
        <w:t>b</w:t>
      </w:r>
      <w:r w:rsidRPr="00E10BBC">
        <w:t>).</w:t>
      </w:r>
    </w:p>
    <w:p w:rsidR="00AE0B1A" w:rsidRDefault="00AE0B1A" w:rsidP="00AE0B1A">
      <w:pPr>
        <w:pStyle w:val="Figuresandimagescentred"/>
      </w:pPr>
      <w:r>
        <w:rPr>
          <w:noProof/>
        </w:rPr>
        <w:drawing>
          <wp:inline distT="0" distB="0" distL="0" distR="0" wp14:anchorId="148E3718" wp14:editId="2EE46129">
            <wp:extent cx="5760720" cy="5740496"/>
            <wp:effectExtent l="0" t="0" r="0" b="0"/>
            <wp:docPr id="5" name="Picture 5" descr="Due to the complexity of this document and the niche scientific target audience, no alternative description has been provided. Please email Geoscience Australia at clientservices@ga.gov.au for an alternative description." title="FIg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04255\AppData\Local\Microsoft\Windows\Temporary Internet Files\Content.Word\13-7199-1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0720" cy="5740496"/>
                    </a:xfrm>
                    <a:prstGeom prst="rect">
                      <a:avLst/>
                    </a:prstGeom>
                    <a:noFill/>
                    <a:ln>
                      <a:noFill/>
                    </a:ln>
                  </pic:spPr>
                </pic:pic>
              </a:graphicData>
            </a:graphic>
          </wp:inline>
        </w:drawing>
      </w:r>
    </w:p>
    <w:p w:rsidR="00AE0B1A" w:rsidRPr="00255748" w:rsidRDefault="00AE0B1A" w:rsidP="00AE0B1A">
      <w:pPr>
        <w:pStyle w:val="Caption"/>
      </w:pPr>
      <w:bookmarkStart w:id="428" w:name="_Ref372289433"/>
      <w:bookmarkStart w:id="429" w:name="_Toc373095007"/>
      <w:bookmarkStart w:id="430" w:name="_Toc378252737"/>
      <w:bookmarkStart w:id="431" w:name="_Toc378253061"/>
      <w:bookmarkStart w:id="432" w:name="_Toc378253385"/>
      <w:bookmarkStart w:id="433" w:name="_Toc378253709"/>
      <w:bookmarkStart w:id="434" w:name="_Toc378254033"/>
      <w:bookmarkStart w:id="435" w:name="_Toc378254357"/>
      <w:bookmarkStart w:id="436" w:name="_Toc378254681"/>
      <w:bookmarkStart w:id="437" w:name="_Toc378255005"/>
      <w:bookmarkStart w:id="438" w:name="_Toc378255354"/>
      <w:r>
        <w:t xml:space="preserve">Figure </w:t>
      </w:r>
      <w:fldSimple w:instr=" STYLEREF 1 \s ">
        <w:r w:rsidR="00F64E4F">
          <w:rPr>
            <w:noProof/>
          </w:rPr>
          <w:t>5</w:t>
        </w:r>
      </w:fldSimple>
      <w:r w:rsidR="00AE5C2D">
        <w:t>.</w:t>
      </w:r>
      <w:fldSimple w:instr=" SEQ Figure \* ARABIC \s 1 ">
        <w:r w:rsidR="00F64E4F">
          <w:rPr>
            <w:noProof/>
          </w:rPr>
          <w:t>3</w:t>
        </w:r>
      </w:fldSimple>
      <w:bookmarkEnd w:id="428"/>
      <w:r>
        <w:t xml:space="preserve"> </w:t>
      </w:r>
      <w:r w:rsidRPr="00F95723">
        <w:t>Evidence of pockmarks in SOL5463/GA335 survey Area 1. (a) High resolution bathymetry showing a pockmark cluster field in detail over GA335/06. Inset graph show the profile over the pockmark cluster in an overall depression with deeper spikes coinciding</w:t>
      </w:r>
      <w:r>
        <w:t xml:space="preserve"> </w:t>
      </w:r>
      <w:r w:rsidRPr="00277D5B">
        <w:t>with individual pockmarks. (b) Multi-channel SBP line GA335/06 shows the build-up of sediment in the shallow subsurface including a pockmark cluster fiel</w:t>
      </w:r>
      <w:r>
        <w:t xml:space="preserve">d, a number of superimposed </w:t>
      </w:r>
      <w:proofErr w:type="spellStart"/>
      <w:r>
        <w:t>pal</w:t>
      </w:r>
      <w:r w:rsidR="00F649CD">
        <w:t>a</w:t>
      </w:r>
      <w:r w:rsidRPr="00277D5B">
        <w:t>eo</w:t>
      </w:r>
      <w:proofErr w:type="spellEnd"/>
      <w:r w:rsidRPr="00277D5B">
        <w:t>-channel cut-and-fill featur</w:t>
      </w:r>
      <w:r>
        <w:t>es and unconformities numbered.</w:t>
      </w:r>
      <w:bookmarkEnd w:id="429"/>
      <w:bookmarkEnd w:id="430"/>
      <w:bookmarkEnd w:id="431"/>
      <w:bookmarkEnd w:id="432"/>
      <w:bookmarkEnd w:id="433"/>
      <w:bookmarkEnd w:id="434"/>
      <w:bookmarkEnd w:id="435"/>
      <w:bookmarkEnd w:id="436"/>
      <w:bookmarkEnd w:id="437"/>
      <w:bookmarkEnd w:id="438"/>
    </w:p>
    <w:p w:rsidR="00AE0B1A" w:rsidRDefault="00AE0B1A" w:rsidP="00AE0B1A">
      <w:pPr>
        <w:pStyle w:val="BodyText"/>
      </w:pPr>
      <w:r>
        <w:t>Survey Area 2 is</w:t>
      </w:r>
      <w:r w:rsidRPr="00E10BBC">
        <w:t xml:space="preserve"> located on the eastern margin of the Petrel Sub-basin (</w:t>
      </w:r>
      <w:r>
        <w:fldChar w:fldCharType="begin"/>
      </w:r>
      <w:r>
        <w:instrText xml:space="preserve"> REF _Ref372289378 \h </w:instrText>
      </w:r>
      <w:r>
        <w:fldChar w:fldCharType="separate"/>
      </w:r>
      <w:r w:rsidR="00F64E4F">
        <w:t xml:space="preserve">Figure </w:t>
      </w:r>
      <w:r w:rsidR="00F64E4F">
        <w:rPr>
          <w:noProof/>
        </w:rPr>
        <w:t>5</w:t>
      </w:r>
      <w:r w:rsidR="00F64E4F">
        <w:t>.</w:t>
      </w:r>
      <w:r w:rsidR="00F64E4F">
        <w:rPr>
          <w:noProof/>
        </w:rPr>
        <w:t>1</w:t>
      </w:r>
      <w:r>
        <w:fldChar w:fldCharType="end"/>
      </w:r>
      <w:r w:rsidRPr="00E10BBC">
        <w:t>)</w:t>
      </w:r>
      <w:r>
        <w:t xml:space="preserve">. Here </w:t>
      </w:r>
      <w:r w:rsidRPr="00E10BBC">
        <w:t xml:space="preserve">the </w:t>
      </w:r>
      <w:r>
        <w:t xml:space="preserve">seafloor </w:t>
      </w:r>
      <w:r w:rsidRPr="00E10BBC">
        <w:t xml:space="preserve">environment is dominated by </w:t>
      </w:r>
      <w:r>
        <w:t xml:space="preserve">linear </w:t>
      </w:r>
      <w:r w:rsidRPr="00E10BBC">
        <w:t xml:space="preserve">carbonate banks </w:t>
      </w:r>
      <w:r>
        <w:t>and ridges, located in water depths of between 23 and 90</w:t>
      </w:r>
      <w:r w:rsidRPr="00E10BBC">
        <w:t xml:space="preserve"> m (</w:t>
      </w:r>
      <w:r>
        <w:fldChar w:fldCharType="begin"/>
      </w:r>
      <w:r>
        <w:instrText xml:space="preserve"> REF _Ref372289419 \h </w:instrText>
      </w:r>
      <w:r>
        <w:fldChar w:fldCharType="separate"/>
      </w:r>
      <w:r w:rsidR="00F64E4F">
        <w:t xml:space="preserve">Figure </w:t>
      </w:r>
      <w:r w:rsidR="00F64E4F">
        <w:rPr>
          <w:noProof/>
        </w:rPr>
        <w:t>5</w:t>
      </w:r>
      <w:r w:rsidR="00F64E4F">
        <w:t>.</w:t>
      </w:r>
      <w:r w:rsidR="00F64E4F">
        <w:rPr>
          <w:noProof/>
        </w:rPr>
        <w:t>2</w:t>
      </w:r>
      <w:r>
        <w:fldChar w:fldCharType="end"/>
      </w:r>
      <w:r w:rsidR="003838AC">
        <w:t>b</w:t>
      </w:r>
      <w:r w:rsidRPr="00E10BBC">
        <w:t>). T</w:t>
      </w:r>
      <w:r>
        <w:t xml:space="preserve">his area was selected to investigate whether large sub-basin-bounding </w:t>
      </w:r>
      <w:r>
        <w:lastRenderedPageBreak/>
        <w:t xml:space="preserve">faults identified from the </w:t>
      </w:r>
      <w:r w:rsidRPr="00E10BBC">
        <w:t>2D seismic data</w:t>
      </w:r>
      <w:r>
        <w:t xml:space="preserve"> extended to the seafloor </w:t>
      </w:r>
      <w:r w:rsidRPr="00E10BBC">
        <w:t>(</w:t>
      </w:r>
      <w:r>
        <w:fldChar w:fldCharType="begin"/>
      </w:r>
      <w:r>
        <w:instrText xml:space="preserve"> REF _Ref372289441 \h </w:instrText>
      </w:r>
      <w:r>
        <w:fldChar w:fldCharType="separate"/>
      </w:r>
      <w:r w:rsidR="00F64E4F">
        <w:t xml:space="preserve">Figure </w:t>
      </w:r>
      <w:r w:rsidR="00F64E4F">
        <w:rPr>
          <w:noProof/>
        </w:rPr>
        <w:t>5</w:t>
      </w:r>
      <w:r w:rsidR="00F64E4F">
        <w:t>.</w:t>
      </w:r>
      <w:r w:rsidR="00F64E4F">
        <w:rPr>
          <w:noProof/>
        </w:rPr>
        <w:t>4</w:t>
      </w:r>
      <w:r>
        <w:fldChar w:fldCharType="end"/>
      </w:r>
      <w:r>
        <w:t>c</w:t>
      </w:r>
      <w:r w:rsidRPr="00E10BBC">
        <w:t xml:space="preserve">). The high-resolution bathymetry and SBP survey data indicate that </w:t>
      </w:r>
      <w:r>
        <w:t>faulting occurred during</w:t>
      </w:r>
      <w:r w:rsidRPr="00E10BBC">
        <w:t xml:space="preserve"> the </w:t>
      </w:r>
      <w:r>
        <w:t xml:space="preserve">Neogene to </w:t>
      </w:r>
      <w:r w:rsidRPr="00E10BBC">
        <w:t>Qua</w:t>
      </w:r>
      <w:r>
        <w:t>t</w:t>
      </w:r>
      <w:r w:rsidRPr="00E10BBC">
        <w:t>ernary</w:t>
      </w:r>
      <w:r>
        <w:t xml:space="preserve">. Associated faded and disrupted seismic amplitudes may be </w:t>
      </w:r>
      <w:r w:rsidRPr="00E10BBC">
        <w:t xml:space="preserve">evidence of fluid migration </w:t>
      </w:r>
      <w:r>
        <w:t xml:space="preserve">in the shallow subsurface of the banks </w:t>
      </w:r>
      <w:r w:rsidRPr="00E10BBC">
        <w:t>(</w:t>
      </w:r>
      <w:r>
        <w:fldChar w:fldCharType="begin"/>
      </w:r>
      <w:r>
        <w:instrText xml:space="preserve"> REF _Ref372289441 \h </w:instrText>
      </w:r>
      <w:r>
        <w:fldChar w:fldCharType="separate"/>
      </w:r>
      <w:r w:rsidR="00F64E4F">
        <w:t xml:space="preserve">Figure </w:t>
      </w:r>
      <w:r w:rsidR="00F64E4F">
        <w:rPr>
          <w:noProof/>
        </w:rPr>
        <w:t>5</w:t>
      </w:r>
      <w:r w:rsidR="00F64E4F">
        <w:t>.</w:t>
      </w:r>
      <w:r w:rsidR="00F64E4F">
        <w:rPr>
          <w:noProof/>
        </w:rPr>
        <w:t>4</w:t>
      </w:r>
      <w:r>
        <w:fldChar w:fldCharType="end"/>
      </w:r>
      <w:r>
        <w:t>a, b</w:t>
      </w:r>
      <w:r w:rsidRPr="00E10BBC">
        <w:t xml:space="preserve">). </w:t>
      </w:r>
      <w:r>
        <w:t>While t</w:t>
      </w:r>
      <w:r w:rsidRPr="00E10BBC">
        <w:t>his could be related to the deeper sub-basin-bounding faults</w:t>
      </w:r>
      <w:r>
        <w:t>, masking and attenuation of the acoustic sub-bottom signal deep in the section did not allow this to be determined conclusively</w:t>
      </w:r>
      <w:r w:rsidRPr="00E10BBC">
        <w:t>. Moreover, the carbonate banks and ridges that are present in this area may be related to late-stage faulting</w:t>
      </w:r>
      <w:r>
        <w:t>, which we</w:t>
      </w:r>
      <w:r w:rsidRPr="00E10BBC">
        <w:t xml:space="preserve"> infer</w:t>
      </w:r>
      <w:r>
        <w:t xml:space="preserve"> </w:t>
      </w:r>
      <w:r w:rsidRPr="00E10BBC">
        <w:t>from their linear morphology</w:t>
      </w:r>
      <w:r>
        <w:t>.</w:t>
      </w:r>
      <w:r w:rsidRPr="00E10BBC">
        <w:t xml:space="preserve"> </w:t>
      </w:r>
      <w:r>
        <w:t>The linear</w:t>
      </w:r>
      <w:r w:rsidRPr="00E10BBC">
        <w:t xml:space="preserve"> shape</w:t>
      </w:r>
      <w:r>
        <w:t xml:space="preserve"> of the banks</w:t>
      </w:r>
      <w:r w:rsidRPr="00E10BBC">
        <w:t xml:space="preserve"> could also be related </w:t>
      </w:r>
      <w:r>
        <w:t xml:space="preserve">to </w:t>
      </w:r>
      <w:r w:rsidRPr="00E10BBC">
        <w:t xml:space="preserve">the development of </w:t>
      </w:r>
      <w:proofErr w:type="spellStart"/>
      <w:r w:rsidRPr="00E10BBC">
        <w:t>reef</w:t>
      </w:r>
      <w:r>
        <w:t>al</w:t>
      </w:r>
      <w:proofErr w:type="spellEnd"/>
      <w:r w:rsidRPr="00E10BBC">
        <w:t xml:space="preserve"> environments during periods of lower sea level and to erosion by tidal currents. </w:t>
      </w:r>
    </w:p>
    <w:p w:rsidR="00AE0B1A" w:rsidRPr="00A037EB" w:rsidRDefault="00AE0B1A" w:rsidP="00AE0B1A">
      <w:pPr>
        <w:pStyle w:val="BodyText"/>
      </w:pPr>
      <w:r w:rsidRPr="00E10BBC">
        <w:t xml:space="preserve">Pockmarks </w:t>
      </w:r>
      <w:r>
        <w:t xml:space="preserve">on the seafloor </w:t>
      </w:r>
      <w:r w:rsidRPr="00E10BBC">
        <w:t xml:space="preserve">are found throughout </w:t>
      </w:r>
      <w:r>
        <w:t>both Area 1 and Area 2,</w:t>
      </w:r>
      <w:r w:rsidRPr="00E10BBC">
        <w:t xml:space="preserve"> concentrated </w:t>
      </w:r>
      <w:r>
        <w:t>i</w:t>
      </w:r>
      <w:r w:rsidRPr="00E10BBC">
        <w:t xml:space="preserve">n the valleys </w:t>
      </w:r>
      <w:r>
        <w:t>(up to 2 m depth) and plains (up to 1 m depth) (</w:t>
      </w:r>
      <w:r>
        <w:fldChar w:fldCharType="begin"/>
      </w:r>
      <w:r>
        <w:instrText xml:space="preserve"> REF _Ref372289433 \h </w:instrText>
      </w:r>
      <w:r>
        <w:fldChar w:fldCharType="separate"/>
      </w:r>
      <w:r w:rsidR="00F64E4F">
        <w:t xml:space="preserve">Figure </w:t>
      </w:r>
      <w:r w:rsidR="00F64E4F">
        <w:rPr>
          <w:noProof/>
        </w:rPr>
        <w:t>5</w:t>
      </w:r>
      <w:r w:rsidR="00F64E4F">
        <w:t>.</w:t>
      </w:r>
      <w:r w:rsidR="00F64E4F">
        <w:rPr>
          <w:noProof/>
        </w:rPr>
        <w:t>3</w:t>
      </w:r>
      <w:r>
        <w:fldChar w:fldCharType="end"/>
      </w:r>
      <w:r>
        <w:t>a). In Area 2, clusters of pockmarks also occur on the margins of the linear banks and ridges (</w:t>
      </w:r>
      <w:r>
        <w:fldChar w:fldCharType="begin"/>
      </w:r>
      <w:r>
        <w:instrText xml:space="preserve"> REF _Ref372289441 \h </w:instrText>
      </w:r>
      <w:r>
        <w:fldChar w:fldCharType="separate"/>
      </w:r>
      <w:r w:rsidR="00F64E4F">
        <w:t xml:space="preserve">Figure </w:t>
      </w:r>
      <w:r w:rsidR="00F64E4F">
        <w:rPr>
          <w:noProof/>
        </w:rPr>
        <w:t>5</w:t>
      </w:r>
      <w:r w:rsidR="00F64E4F">
        <w:t>.</w:t>
      </w:r>
      <w:r w:rsidR="00F64E4F">
        <w:rPr>
          <w:noProof/>
        </w:rPr>
        <w:t>4</w:t>
      </w:r>
      <w:r>
        <w:fldChar w:fldCharType="end"/>
      </w:r>
      <w:r>
        <w:t xml:space="preserve">a). In both Area 1 and Area 2, the pockmarks commonly occur in spatially distinct clusters and occasionally in relatively linear chains. Discordant and discontinuous reflectors in the </w:t>
      </w:r>
      <w:r w:rsidRPr="00E10BBC">
        <w:t xml:space="preserve">SBP data </w:t>
      </w:r>
      <w:r>
        <w:t>immediately beneath the pockmarks indicate</w:t>
      </w:r>
      <w:r w:rsidRPr="00E10BBC">
        <w:t xml:space="preserve"> that </w:t>
      </w:r>
      <w:r>
        <w:t xml:space="preserve">they occur wholly within the shallow (&lt;7 s two-way-time) sub-surface sediments, and do not have any direct links with deeper basin sources </w:t>
      </w:r>
      <w:r w:rsidRPr="00E10BBC">
        <w:t>(</w:t>
      </w:r>
      <w:r>
        <w:fldChar w:fldCharType="begin"/>
      </w:r>
      <w:r>
        <w:instrText xml:space="preserve"> REF _Ref372289433 \h </w:instrText>
      </w:r>
      <w:r>
        <w:fldChar w:fldCharType="separate"/>
      </w:r>
      <w:r w:rsidR="00F64E4F">
        <w:t xml:space="preserve">Figure </w:t>
      </w:r>
      <w:r w:rsidR="00F64E4F">
        <w:rPr>
          <w:noProof/>
        </w:rPr>
        <w:t>5</w:t>
      </w:r>
      <w:r w:rsidR="00F64E4F">
        <w:t>.</w:t>
      </w:r>
      <w:r w:rsidR="00F64E4F">
        <w:rPr>
          <w:noProof/>
        </w:rPr>
        <w:t>3</w:t>
      </w:r>
      <w:r>
        <w:fldChar w:fldCharType="end"/>
      </w:r>
      <w:r>
        <w:t>b</w:t>
      </w:r>
      <w:r w:rsidRPr="00E10BBC">
        <w:t>)</w:t>
      </w:r>
      <w:r>
        <w:t>. This suggests that the pockmarks are relatively recent features, most likely formed during and after the latest post-glacial marine transgression.</w:t>
      </w:r>
    </w:p>
    <w:p w:rsidR="00AE0B1A" w:rsidRPr="00E10BBC" w:rsidRDefault="00AE0B1A" w:rsidP="00AE0B1A">
      <w:pPr>
        <w:pStyle w:val="BodyText"/>
      </w:pPr>
      <w:r w:rsidRPr="00E10BBC">
        <w:t xml:space="preserve">The </w:t>
      </w:r>
      <w:r>
        <w:t xml:space="preserve">two </w:t>
      </w:r>
      <w:r w:rsidRPr="00E10BBC">
        <w:t xml:space="preserve">dominant processes </w:t>
      </w:r>
      <w:r>
        <w:t>form</w:t>
      </w:r>
      <w:r w:rsidRPr="00E10BBC">
        <w:t>in</w:t>
      </w:r>
      <w:r>
        <w:t>g</w:t>
      </w:r>
      <w:r w:rsidRPr="00E10BBC">
        <w:t xml:space="preserve"> the pockmarks </w:t>
      </w:r>
      <w:r>
        <w:t>are inferred to be from the</w:t>
      </w:r>
      <w:r w:rsidRPr="00E10BBC">
        <w:t xml:space="preserve"> breakdown of </w:t>
      </w:r>
      <w:r>
        <w:t xml:space="preserve">Pleistocene- to Holocene-aged </w:t>
      </w:r>
      <w:r w:rsidRPr="00E10BBC">
        <w:t xml:space="preserve">organic matter </w:t>
      </w:r>
      <w:r>
        <w:t xml:space="preserve">and dewatering </w:t>
      </w:r>
      <w:r w:rsidRPr="00E10BBC">
        <w:t>in the shallow subsurface</w:t>
      </w:r>
      <w:r>
        <w:t xml:space="preserve"> sediments</w:t>
      </w:r>
      <w:r w:rsidRPr="00E10BBC">
        <w:t xml:space="preserve">. Isotopic geochemical analysis on core and </w:t>
      </w:r>
      <w:r>
        <w:t xml:space="preserve">seabed </w:t>
      </w:r>
      <w:r w:rsidRPr="00E10BBC">
        <w:t xml:space="preserve">sediment samples recovered from </w:t>
      </w:r>
      <w:r>
        <w:t xml:space="preserve">pockmarks in </w:t>
      </w:r>
      <w:r w:rsidRPr="00E10BBC">
        <w:t xml:space="preserve">Area 1 support </w:t>
      </w:r>
      <w:r>
        <w:t>this finding,</w:t>
      </w:r>
      <w:r w:rsidRPr="00E10BBC">
        <w:t xml:space="preserve"> with all samples having δ</w:t>
      </w:r>
      <w:r w:rsidRPr="009D5B2E">
        <w:rPr>
          <w:rStyle w:val="Superscript"/>
        </w:rPr>
        <w:t>13</w:t>
      </w:r>
      <w:r w:rsidRPr="00E10BBC">
        <w:t>C and δ</w:t>
      </w:r>
      <w:r w:rsidRPr="009D5B2E">
        <w:rPr>
          <w:rStyle w:val="Superscript"/>
        </w:rPr>
        <w:t>18</w:t>
      </w:r>
      <w:r w:rsidRPr="00E10BBC">
        <w:t xml:space="preserve">O values consistent with </w:t>
      </w:r>
      <w:r>
        <w:t xml:space="preserve">a </w:t>
      </w:r>
      <w:r w:rsidRPr="00E10BBC">
        <w:t>seawater</w:t>
      </w:r>
      <w:r>
        <w:t xml:space="preserve"> carbonate source</w:t>
      </w:r>
      <w:r w:rsidRPr="00E10BBC">
        <w:t xml:space="preserve">. </w:t>
      </w:r>
      <w:r>
        <w:t xml:space="preserve">No </w:t>
      </w:r>
      <w:proofErr w:type="spellStart"/>
      <w:r>
        <w:t>thermogenic</w:t>
      </w:r>
      <w:proofErr w:type="spellEnd"/>
      <w:r>
        <w:t xml:space="preserve"> isotopic signatures were measured. A</w:t>
      </w:r>
      <w:r w:rsidRPr="00E10BBC">
        <w:t xml:space="preserve">nalysis of the organic compounds present in </w:t>
      </w:r>
      <w:r>
        <w:t>the core</w:t>
      </w:r>
      <w:r w:rsidRPr="00E10BBC">
        <w:t xml:space="preserve"> </w:t>
      </w:r>
      <w:r>
        <w:t xml:space="preserve">samples </w:t>
      </w:r>
      <w:r w:rsidRPr="00E10BBC">
        <w:t>did not indicate any active oil and gas signatures</w:t>
      </w:r>
      <w:r>
        <w:t>,</w:t>
      </w:r>
      <w:r w:rsidRPr="00E10BBC">
        <w:t xml:space="preserve"> </w:t>
      </w:r>
      <w:r>
        <w:t>with</w:t>
      </w:r>
      <w:r w:rsidRPr="00E10BBC">
        <w:t xml:space="preserve"> compounds related to the bacterial consumption </w:t>
      </w:r>
      <w:r>
        <w:t xml:space="preserve">of </w:t>
      </w:r>
      <w:r w:rsidRPr="00E10BBC">
        <w:t xml:space="preserve">late Quaternary </w:t>
      </w:r>
      <w:r>
        <w:t>organic matter,</w:t>
      </w:r>
      <w:r w:rsidRPr="00E10BBC">
        <w:t xml:space="preserve"> including wood and leaf matter</w:t>
      </w:r>
      <w:r>
        <w:t>, both of which were contained in the sediment samples</w:t>
      </w:r>
      <w:r w:rsidRPr="00E10BBC">
        <w:t>.</w:t>
      </w:r>
    </w:p>
    <w:p w:rsidR="00AE0B1A" w:rsidRDefault="00AE0B1A" w:rsidP="00AE0B1A">
      <w:pPr>
        <w:pStyle w:val="Figuresandimagescentred"/>
      </w:pPr>
      <w:r w:rsidRPr="00A16A90">
        <w:rPr>
          <w:noProof/>
        </w:rPr>
        <w:lastRenderedPageBreak/>
        <w:drawing>
          <wp:inline distT="0" distB="0" distL="0" distR="0" wp14:anchorId="0A701E07" wp14:editId="0A3CB040">
            <wp:extent cx="4788000" cy="7084800"/>
            <wp:effectExtent l="0" t="0" r="0" b="1905"/>
            <wp:docPr id="6" name="Picture 6" descr="Due to the complexity of this document and the niche scientific target audience, no alternative description has been provided. Please email Geoscience Australia at clientservices@ga.gov.au for an alternative description." title="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for_Consoli\13-7199-1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88000" cy="7084800"/>
                    </a:xfrm>
                    <a:prstGeom prst="rect">
                      <a:avLst/>
                    </a:prstGeom>
                    <a:noFill/>
                    <a:ln>
                      <a:noFill/>
                    </a:ln>
                  </pic:spPr>
                </pic:pic>
              </a:graphicData>
            </a:graphic>
          </wp:inline>
        </w:drawing>
      </w:r>
    </w:p>
    <w:p w:rsidR="00AE0B1A" w:rsidRPr="00255748" w:rsidRDefault="00AE0B1A" w:rsidP="00AE0B1A">
      <w:pPr>
        <w:pStyle w:val="Caption"/>
      </w:pPr>
      <w:bookmarkStart w:id="439" w:name="_Ref372289441"/>
      <w:bookmarkStart w:id="440" w:name="_Toc373095008"/>
      <w:bookmarkStart w:id="441" w:name="_Toc378252738"/>
      <w:bookmarkStart w:id="442" w:name="_Toc378253062"/>
      <w:bookmarkStart w:id="443" w:name="_Toc378253386"/>
      <w:bookmarkStart w:id="444" w:name="_Toc378253710"/>
      <w:bookmarkStart w:id="445" w:name="_Toc378254034"/>
      <w:bookmarkStart w:id="446" w:name="_Toc378254358"/>
      <w:bookmarkStart w:id="447" w:name="_Toc378254682"/>
      <w:bookmarkStart w:id="448" w:name="_Toc378255006"/>
      <w:bookmarkStart w:id="449" w:name="_Toc378255355"/>
      <w:r>
        <w:t xml:space="preserve">Figure </w:t>
      </w:r>
      <w:fldSimple w:instr=" STYLEREF 1 \s ">
        <w:r w:rsidR="00F64E4F">
          <w:rPr>
            <w:noProof/>
          </w:rPr>
          <w:t>5</w:t>
        </w:r>
      </w:fldSimple>
      <w:r w:rsidR="00AE5C2D">
        <w:t>.</w:t>
      </w:r>
      <w:fldSimple w:instr=" SEQ Figure \* ARABIC \s 1 ">
        <w:r w:rsidR="00F64E4F">
          <w:rPr>
            <w:noProof/>
          </w:rPr>
          <w:t>4</w:t>
        </w:r>
      </w:fldSimple>
      <w:bookmarkEnd w:id="439"/>
      <w:r>
        <w:t xml:space="preserve"> </w:t>
      </w:r>
      <w:r w:rsidRPr="00512F3B">
        <w:t>Evidence of faults and possible indicators of fluid leakage in SOL5463/GA335 survey Area 2. (a) High resolution bathymetry over GA0335/048, the site of possible fluid leakage indicators and faulting showing a distinct absence of pockmar</w:t>
      </w:r>
      <w:r w:rsidRPr="00571026">
        <w:t xml:space="preserve">k clusters at this location. Individual pockmarks, in yellow, are unevenly distributed over this section of the seabed. </w:t>
      </w:r>
      <w:r w:rsidRPr="00571026">
        <w:rPr>
          <w:rFonts w:eastAsia="Times"/>
        </w:rPr>
        <w:t>(b) SBP line GA335/048 showing the Quaternary faults (vertical black lines) and a</w:t>
      </w:r>
      <w:r w:rsidRPr="00571026">
        <w:t xml:space="preserve"> </w:t>
      </w:r>
      <w:r w:rsidRPr="00571026">
        <w:rPr>
          <w:rFonts w:eastAsia="Times"/>
        </w:rPr>
        <w:t xml:space="preserve">faded amplitude trace suggesting possible leakage features (arrowed). Faults are located next to a large carbonate bank (see </w:t>
      </w:r>
      <w:r>
        <w:rPr>
          <w:rFonts w:eastAsia="Times"/>
        </w:rPr>
        <w:fldChar w:fldCharType="begin"/>
      </w:r>
      <w:r>
        <w:rPr>
          <w:rFonts w:eastAsia="Times"/>
        </w:rPr>
        <w:instrText xml:space="preserve"> REF _Ref372289419 \h </w:instrText>
      </w:r>
      <w:r>
        <w:rPr>
          <w:rFonts w:eastAsia="Times"/>
        </w:rPr>
      </w:r>
      <w:r>
        <w:rPr>
          <w:rFonts w:eastAsia="Times"/>
        </w:rPr>
        <w:fldChar w:fldCharType="separate"/>
      </w:r>
      <w:r w:rsidR="00F64E4F">
        <w:t xml:space="preserve">Figure </w:t>
      </w:r>
      <w:r w:rsidR="00F64E4F">
        <w:rPr>
          <w:noProof/>
        </w:rPr>
        <w:t>5</w:t>
      </w:r>
      <w:r w:rsidR="00F64E4F">
        <w:t>.</w:t>
      </w:r>
      <w:r w:rsidR="00F64E4F">
        <w:rPr>
          <w:noProof/>
        </w:rPr>
        <w:t>2</w:t>
      </w:r>
      <w:r>
        <w:rPr>
          <w:rFonts w:eastAsia="Times"/>
        </w:rPr>
        <w:fldChar w:fldCharType="end"/>
      </w:r>
      <w:r w:rsidRPr="00571026">
        <w:rPr>
          <w:rFonts w:eastAsia="Times"/>
        </w:rPr>
        <w:t>). (c) Shows that Figure (b) sits above deeper sub-basin-bounding faults and polygonal faulting in the Bathurst Island Group interpreted in 2D seismic line BG91/08. Seismic interpretation and well data shows the top of the Bathurst Island Group (Horizon 1) is located approximately 200 m under the present seafloor of Area 2 and that the top of the Sandpiper Sandstone (Horizon 2) is intersected by major Mesozoic faults</w:t>
      </w:r>
      <w:r w:rsidRPr="00571026">
        <w:t>.</w:t>
      </w:r>
      <w:bookmarkEnd w:id="440"/>
      <w:bookmarkEnd w:id="441"/>
      <w:bookmarkEnd w:id="442"/>
      <w:bookmarkEnd w:id="443"/>
      <w:bookmarkEnd w:id="444"/>
      <w:bookmarkEnd w:id="445"/>
      <w:bookmarkEnd w:id="446"/>
      <w:bookmarkEnd w:id="447"/>
      <w:bookmarkEnd w:id="448"/>
      <w:bookmarkEnd w:id="449"/>
    </w:p>
    <w:p w:rsidR="00AE0B1A" w:rsidRPr="00C94C2F" w:rsidRDefault="00AE0B1A" w:rsidP="00AE0B1A">
      <w:pPr>
        <w:pStyle w:val="Heading1"/>
      </w:pPr>
      <w:bookmarkStart w:id="450" w:name="_Toc363463342"/>
      <w:bookmarkStart w:id="451" w:name="_Toc364233487"/>
      <w:bookmarkStart w:id="452" w:name="_Toc363463343"/>
      <w:bookmarkStart w:id="453" w:name="_Toc364233488"/>
      <w:bookmarkStart w:id="454" w:name="_Toc363463344"/>
      <w:bookmarkStart w:id="455" w:name="_Toc364233489"/>
      <w:bookmarkStart w:id="456" w:name="_Toc363463345"/>
      <w:bookmarkStart w:id="457" w:name="_Toc364233490"/>
      <w:bookmarkStart w:id="458" w:name="_Toc363463346"/>
      <w:bookmarkStart w:id="459" w:name="_Toc364233491"/>
      <w:bookmarkStart w:id="460" w:name="_Toc363463347"/>
      <w:bookmarkStart w:id="461" w:name="_Toc364233492"/>
      <w:bookmarkStart w:id="462" w:name="_Toc363463348"/>
      <w:bookmarkStart w:id="463" w:name="_Toc364233493"/>
      <w:bookmarkStart w:id="464" w:name="_Toc363463349"/>
      <w:bookmarkStart w:id="465" w:name="_Toc364233494"/>
      <w:bookmarkStart w:id="466" w:name="_Toc372790310"/>
      <w:bookmarkStart w:id="467" w:name="_Toc378252893"/>
      <w:bookmarkStart w:id="468" w:name="_Toc378253217"/>
      <w:bookmarkStart w:id="469" w:name="_Toc378253541"/>
      <w:bookmarkStart w:id="470" w:name="_Toc378253865"/>
      <w:bookmarkStart w:id="471" w:name="_Toc378254189"/>
      <w:bookmarkStart w:id="472" w:name="_Toc378254513"/>
      <w:bookmarkStart w:id="473" w:name="_Toc378254837"/>
      <w:bookmarkStart w:id="474" w:name="_Toc378255161"/>
      <w:bookmarkStart w:id="475" w:name="_Toc38375821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r w:rsidRPr="00C94C2F">
        <w:lastRenderedPageBreak/>
        <w:t xml:space="preserve">Petrel </w:t>
      </w:r>
      <w:r w:rsidRPr="006B5A62">
        <w:t>Sub</w:t>
      </w:r>
      <w:r w:rsidRPr="00C94C2F">
        <w:t>-basin CO</w:t>
      </w:r>
      <w:r w:rsidRPr="00255748">
        <w:rPr>
          <w:rStyle w:val="Subscript"/>
        </w:rPr>
        <w:t>2</w:t>
      </w:r>
      <w:r w:rsidRPr="00C94C2F">
        <w:t xml:space="preserve"> Storage</w:t>
      </w:r>
      <w:bookmarkEnd w:id="466"/>
      <w:bookmarkEnd w:id="467"/>
      <w:bookmarkEnd w:id="468"/>
      <w:bookmarkEnd w:id="469"/>
      <w:bookmarkEnd w:id="470"/>
      <w:bookmarkEnd w:id="471"/>
      <w:bookmarkEnd w:id="472"/>
      <w:bookmarkEnd w:id="473"/>
      <w:bookmarkEnd w:id="474"/>
      <w:bookmarkEnd w:id="475"/>
      <w:r w:rsidRPr="00C94C2F">
        <w:t xml:space="preserve"> </w:t>
      </w:r>
    </w:p>
    <w:p w:rsidR="00AE0B1A" w:rsidRPr="00C94C2F" w:rsidRDefault="00AE0B1A" w:rsidP="00AE0B1A">
      <w:pPr>
        <w:pStyle w:val="BodyText"/>
      </w:pPr>
      <w:r>
        <w:t>With the exception of the Frigate Shale (see below) the stratigraphic nomenclature follows</w:t>
      </w:r>
      <w:r w:rsidRPr="00C94C2F">
        <w:t xml:space="preserve"> </w:t>
      </w:r>
      <w:hyperlink w:anchor="_ENREF_21" w:tooltip="Colwell, 1996 #54" w:history="1">
        <w:r w:rsidRPr="00C94C2F">
          <w:rPr>
            <w:noProof/>
          </w:rPr>
          <w:t>Colwell and Kennard (1996</w:t>
        </w:r>
      </w:hyperlink>
      <w:r w:rsidRPr="00C94C2F">
        <w:rPr>
          <w:noProof/>
        </w:rPr>
        <w:t xml:space="preserve">), </w:t>
      </w:r>
      <w:r>
        <w:rPr>
          <w:noProof/>
        </w:rPr>
        <w:t>Lang and Gibson-Poole (2001)</w:t>
      </w:r>
      <w:r w:rsidRPr="00C94C2F">
        <w:t xml:space="preserve"> and </w:t>
      </w:r>
      <w:r>
        <w:rPr>
          <w:noProof/>
        </w:rPr>
        <w:t>Nicoll et al. (2009)</w:t>
      </w:r>
      <w:r w:rsidRPr="00C94C2F">
        <w:t>.</w:t>
      </w:r>
      <w:r>
        <w:t xml:space="preserve"> In this study, t</w:t>
      </w:r>
      <w:r w:rsidRPr="00C94C2F">
        <w:t xml:space="preserve">he Frigate Shale </w:t>
      </w:r>
      <w:r>
        <w:t>has</w:t>
      </w:r>
      <w:r w:rsidRPr="00C94C2F">
        <w:t xml:space="preserve"> been </w:t>
      </w:r>
      <w:r>
        <w:t>informally designated into</w:t>
      </w:r>
      <w:r w:rsidRPr="00C94C2F">
        <w:t xml:space="preserve"> the upper and lower Frigate </w:t>
      </w:r>
      <w:r>
        <w:t>Shale</w:t>
      </w:r>
      <w:r w:rsidRPr="00C94C2F">
        <w:t xml:space="preserve">. This is </w:t>
      </w:r>
      <w:r>
        <w:t>to clearly separate the sandstone-dominated lower Frigate Shale reservoir and the mudstone-dominated upper Frigate Shale seal.</w:t>
      </w:r>
    </w:p>
    <w:p w:rsidR="00AE0B1A" w:rsidRPr="00C94C2F" w:rsidRDefault="00AE0B1A" w:rsidP="00AE0B1A">
      <w:pPr>
        <w:pStyle w:val="Heading2"/>
      </w:pPr>
      <w:bookmarkStart w:id="476" w:name="_Toc372790311"/>
      <w:bookmarkStart w:id="477" w:name="_Toc378252894"/>
      <w:bookmarkStart w:id="478" w:name="_Toc378253218"/>
      <w:bookmarkStart w:id="479" w:name="_Toc378253542"/>
      <w:bookmarkStart w:id="480" w:name="_Toc378253866"/>
      <w:bookmarkStart w:id="481" w:name="_Toc378254190"/>
      <w:bookmarkStart w:id="482" w:name="_Toc378254514"/>
      <w:bookmarkStart w:id="483" w:name="_Toc378254838"/>
      <w:bookmarkStart w:id="484" w:name="_Toc378255162"/>
      <w:bookmarkStart w:id="485" w:name="_Toc383758220"/>
      <w:r w:rsidRPr="00C94C2F">
        <w:t xml:space="preserve">Reservoir and Seal </w:t>
      </w:r>
      <w:r w:rsidRPr="006B5A62">
        <w:t>Characterisation</w:t>
      </w:r>
      <w:bookmarkEnd w:id="476"/>
      <w:bookmarkEnd w:id="477"/>
      <w:bookmarkEnd w:id="478"/>
      <w:bookmarkEnd w:id="479"/>
      <w:bookmarkEnd w:id="480"/>
      <w:bookmarkEnd w:id="481"/>
      <w:bookmarkEnd w:id="482"/>
      <w:bookmarkEnd w:id="483"/>
      <w:bookmarkEnd w:id="484"/>
      <w:bookmarkEnd w:id="485"/>
    </w:p>
    <w:p w:rsidR="00AE0B1A" w:rsidRPr="00447A1F" w:rsidRDefault="00AE0B1A" w:rsidP="00AE0B1A">
      <w:pPr>
        <w:pStyle w:val="BodyText"/>
      </w:pPr>
      <w:r w:rsidRPr="00447A1F">
        <w:t>This study has identified two distinct Mesozoic reservoir-seal pairs suitable for CO</w:t>
      </w:r>
      <w:r w:rsidRPr="00F60B69">
        <w:rPr>
          <w:rStyle w:val="Subscript"/>
        </w:rPr>
        <w:t>2</w:t>
      </w:r>
      <w:r w:rsidRPr="00447A1F">
        <w:t xml:space="preserve"> storage. The Jurassic reservoir comprises the Plover and </w:t>
      </w:r>
      <w:proofErr w:type="spellStart"/>
      <w:r w:rsidRPr="00447A1F">
        <w:t>Elang</w:t>
      </w:r>
      <w:proofErr w:type="spellEnd"/>
      <w:r w:rsidRPr="00447A1F">
        <w:t xml:space="preserve"> formations and the lower Frigate Shale with a Jurassic seal, the upper Frigate Shale. The second reservoir-seal pair comprises the Cretaceous reservoir of the Sandpiper Sandstone with a regional Cretaceous seal in the Bathurst Island Group. The regional seal overlies both upper and lower reservoirs across the entire sub-basin (</w:t>
      </w:r>
      <w:r>
        <w:fldChar w:fldCharType="begin"/>
      </w:r>
      <w:r>
        <w:instrText xml:space="preserve"> REF _Ref372288054 \h </w:instrText>
      </w:r>
      <w:r>
        <w:fldChar w:fldCharType="separate"/>
      </w:r>
      <w:r w:rsidR="00F64E4F">
        <w:t xml:space="preserve">Figure </w:t>
      </w:r>
      <w:r w:rsidR="00F64E4F">
        <w:rPr>
          <w:noProof/>
        </w:rPr>
        <w:t>1</w:t>
      </w:r>
      <w:r w:rsidR="00F64E4F">
        <w:t>.</w:t>
      </w:r>
      <w:r w:rsidR="00F64E4F">
        <w:rPr>
          <w:noProof/>
        </w:rPr>
        <w:t>5</w:t>
      </w:r>
      <w:r>
        <w:fldChar w:fldCharType="end"/>
      </w:r>
      <w:r w:rsidRPr="00447A1F">
        <w:t xml:space="preserve">). </w:t>
      </w:r>
      <w:r w:rsidR="00B30F18">
        <w:fldChar w:fldCharType="begin"/>
      </w:r>
      <w:r w:rsidR="00B30F18">
        <w:instrText xml:space="preserve"> REF _Ref380156531 \h </w:instrText>
      </w:r>
      <w:r w:rsidR="00B30F18">
        <w:fldChar w:fldCharType="separate"/>
      </w:r>
      <w:r w:rsidR="00F64E4F">
        <w:t xml:space="preserve">Table </w:t>
      </w:r>
      <w:r w:rsidR="00F64E4F">
        <w:rPr>
          <w:noProof/>
        </w:rPr>
        <w:t>6</w:t>
      </w:r>
      <w:r w:rsidR="00F64E4F">
        <w:t>.</w:t>
      </w:r>
      <w:r w:rsidR="00F64E4F">
        <w:rPr>
          <w:noProof/>
        </w:rPr>
        <w:t>1</w:t>
      </w:r>
      <w:r w:rsidR="00B30F18">
        <w:fldChar w:fldCharType="end"/>
      </w:r>
      <w:r w:rsidR="000F46DF">
        <w:t xml:space="preserve"> </w:t>
      </w:r>
      <w:r w:rsidRPr="00447A1F">
        <w:t>presents a summary of the s</w:t>
      </w:r>
      <w:r w:rsidRPr="00255748">
        <w:t xml:space="preserve">edimentology, </w:t>
      </w:r>
      <w:proofErr w:type="spellStart"/>
      <w:r w:rsidRPr="00255748">
        <w:t>lithofacies</w:t>
      </w:r>
      <w:proofErr w:type="spellEnd"/>
      <w:r w:rsidRPr="00255748">
        <w:t xml:space="preserve"> and depositional environment for these formations.</w:t>
      </w:r>
      <w:r w:rsidRPr="00447A1F">
        <w:t xml:space="preserve"> </w:t>
      </w:r>
      <w:r w:rsidR="003838AC" w:rsidRPr="003838AC">
        <w:t xml:space="preserve">The </w:t>
      </w:r>
      <w:proofErr w:type="spellStart"/>
      <w:r w:rsidR="003838AC" w:rsidRPr="003838AC">
        <w:t>petrophysical</w:t>
      </w:r>
      <w:proofErr w:type="spellEnd"/>
      <w:r w:rsidR="003838AC" w:rsidRPr="003838AC">
        <w:t xml:space="preserve"> analysis of the reservoirs in key wells is shown in </w:t>
      </w:r>
      <w:r w:rsidR="003838AC">
        <w:fldChar w:fldCharType="begin"/>
      </w:r>
      <w:r w:rsidR="003838AC">
        <w:instrText xml:space="preserve"> REF _Ref380156553 \h </w:instrText>
      </w:r>
      <w:r w:rsidR="003838AC">
        <w:fldChar w:fldCharType="separate"/>
      </w:r>
      <w:r w:rsidR="00F64E4F">
        <w:t>Table </w:t>
      </w:r>
      <w:r w:rsidR="00F64E4F">
        <w:rPr>
          <w:noProof/>
        </w:rPr>
        <w:t>6</w:t>
      </w:r>
      <w:r w:rsidR="00F64E4F">
        <w:t>.</w:t>
      </w:r>
      <w:r w:rsidR="00F64E4F">
        <w:rPr>
          <w:noProof/>
        </w:rPr>
        <w:t>2</w:t>
      </w:r>
      <w:r w:rsidR="003838AC">
        <w:fldChar w:fldCharType="end"/>
      </w:r>
      <w:r w:rsidR="003838AC" w:rsidRPr="003838AC">
        <w:t>.</w:t>
      </w:r>
      <w:r w:rsidR="003838AC">
        <w:t xml:space="preserve"> </w:t>
      </w:r>
      <w:r w:rsidRPr="00447A1F">
        <w:t>The distribution of the formations across the study area is shown in the well sections (</w:t>
      </w:r>
      <w:r>
        <w:fldChar w:fldCharType="begin"/>
      </w:r>
      <w:r>
        <w:instrText xml:space="preserve"> REF _Ref372804609 \h </w:instrText>
      </w:r>
      <w:r>
        <w:fldChar w:fldCharType="separate"/>
      </w:r>
      <w:r w:rsidR="00F64E4F">
        <w:t xml:space="preserve">Figure </w:t>
      </w:r>
      <w:r w:rsidR="00F64E4F">
        <w:rPr>
          <w:noProof/>
        </w:rPr>
        <w:t>6</w:t>
      </w:r>
      <w:r w:rsidR="00F64E4F">
        <w:t>.</w:t>
      </w:r>
      <w:r w:rsidR="00F64E4F">
        <w:rPr>
          <w:noProof/>
        </w:rPr>
        <w:t>1</w:t>
      </w:r>
      <w:r>
        <w:fldChar w:fldCharType="end"/>
      </w:r>
      <w:r w:rsidRPr="00447A1F">
        <w:t>) and a composite of Petrel 1 provides a standard well analysis (</w:t>
      </w:r>
      <w:r>
        <w:fldChar w:fldCharType="begin"/>
      </w:r>
      <w:r>
        <w:instrText xml:space="preserve"> REF _Ref372804598 \h </w:instrText>
      </w:r>
      <w:r>
        <w:fldChar w:fldCharType="separate"/>
      </w:r>
      <w:r w:rsidR="00F64E4F">
        <w:t xml:space="preserve">Figure </w:t>
      </w:r>
      <w:r w:rsidR="00F64E4F">
        <w:rPr>
          <w:noProof/>
        </w:rPr>
        <w:t>6</w:t>
      </w:r>
      <w:r w:rsidR="00F64E4F">
        <w:t>.</w:t>
      </w:r>
      <w:r w:rsidR="00F64E4F">
        <w:rPr>
          <w:noProof/>
        </w:rPr>
        <w:t>2</w:t>
      </w:r>
      <w:r>
        <w:fldChar w:fldCharType="end"/>
      </w:r>
      <w:r w:rsidRPr="00447A1F">
        <w:t xml:space="preserve">). The summary of the sedimentology and stratigraphy presented below is based on the contents of Appendices A, B, C, D, E, F, G and </w:t>
      </w:r>
      <w:r>
        <w:t>M</w:t>
      </w:r>
      <w:r w:rsidRPr="00447A1F">
        <w:t>.</w:t>
      </w:r>
    </w:p>
    <w:p w:rsidR="00AE0B1A" w:rsidRDefault="00AE0B1A" w:rsidP="00AE0B1A">
      <w:pPr>
        <w:pStyle w:val="Tabletitle"/>
      </w:pPr>
      <w:bookmarkStart w:id="486" w:name="_Ref380156531"/>
      <w:bookmarkStart w:id="487" w:name="_Toc372790377"/>
      <w:bookmarkStart w:id="488" w:name="_Toc378252831"/>
      <w:bookmarkStart w:id="489" w:name="_Toc378253155"/>
      <w:bookmarkStart w:id="490" w:name="_Toc378253479"/>
      <w:bookmarkStart w:id="491" w:name="_Toc378253803"/>
      <w:bookmarkStart w:id="492" w:name="_Toc378254127"/>
      <w:bookmarkStart w:id="493" w:name="_Toc378254451"/>
      <w:bookmarkStart w:id="494" w:name="_Toc378254775"/>
      <w:bookmarkStart w:id="495" w:name="_Toc378255099"/>
      <w:bookmarkStart w:id="496" w:name="_Toc378255448"/>
      <w:r>
        <w:t xml:space="preserve">Table </w:t>
      </w:r>
      <w:fldSimple w:instr=" STYLEREF 1 \s ">
        <w:r w:rsidR="00F64E4F">
          <w:rPr>
            <w:noProof/>
          </w:rPr>
          <w:t>6</w:t>
        </w:r>
      </w:fldSimple>
      <w:r>
        <w:t>.</w:t>
      </w:r>
      <w:fldSimple w:instr=" SEQ Table \* ARABIC \s 1 ">
        <w:r w:rsidR="00F64E4F">
          <w:rPr>
            <w:noProof/>
          </w:rPr>
          <w:t>1</w:t>
        </w:r>
      </w:fldSimple>
      <w:bookmarkEnd w:id="486"/>
      <w:r>
        <w:t xml:space="preserve"> </w:t>
      </w:r>
      <w:r w:rsidRPr="002C77C1">
        <w:t xml:space="preserve">Sedimentology, </w:t>
      </w:r>
      <w:proofErr w:type="spellStart"/>
      <w:r w:rsidRPr="002C77C1">
        <w:t>facies</w:t>
      </w:r>
      <w:proofErr w:type="spellEnd"/>
      <w:r w:rsidRPr="002C77C1">
        <w:t xml:space="preserve"> and depositional environment of the formations for this study. See Appendix C for full details.</w:t>
      </w:r>
      <w:bookmarkEnd w:id="487"/>
      <w:bookmarkEnd w:id="488"/>
      <w:bookmarkEnd w:id="489"/>
      <w:bookmarkEnd w:id="490"/>
      <w:bookmarkEnd w:id="491"/>
      <w:bookmarkEnd w:id="492"/>
      <w:bookmarkEnd w:id="493"/>
      <w:bookmarkEnd w:id="494"/>
      <w:bookmarkEnd w:id="495"/>
      <w:bookmarkEnd w:id="496"/>
    </w:p>
    <w:tbl>
      <w:tblPr>
        <w:tblStyle w:val="TableGAHeaderRow"/>
        <w:tblW w:w="5000" w:type="pct"/>
        <w:tblInd w:w="0" w:type="dxa"/>
        <w:tblLayout w:type="fixed"/>
        <w:tblLook w:val="04A0" w:firstRow="1" w:lastRow="0" w:firstColumn="1" w:lastColumn="0" w:noHBand="0" w:noVBand="1"/>
        <w:tblCaption w:val="Table 6.1"/>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568"/>
        <w:gridCol w:w="1190"/>
        <w:gridCol w:w="6097"/>
        <w:gridCol w:w="1330"/>
      </w:tblGrid>
      <w:tr w:rsidR="00AE0B1A" w:rsidRPr="006535D5" w:rsidTr="00AE0B1A">
        <w:trPr>
          <w:cnfStyle w:val="100000000000" w:firstRow="1" w:lastRow="0" w:firstColumn="0" w:lastColumn="0" w:oddVBand="0" w:evenVBand="0" w:oddHBand="0" w:evenHBand="0" w:firstRowFirstColumn="0" w:firstRowLastColumn="0" w:lastRowFirstColumn="0" w:lastRowLastColumn="0"/>
          <w:trHeight w:val="232"/>
          <w:tblHeader/>
        </w:trPr>
        <w:tc>
          <w:tcPr>
            <w:tcW w:w="309" w:type="pct"/>
            <w:noWrap/>
            <w:hideMark/>
          </w:tcPr>
          <w:p w:rsidR="00AE0B1A" w:rsidRPr="006535D5" w:rsidRDefault="00AE0B1A" w:rsidP="00FD0A94">
            <w:pPr>
              <w:pStyle w:val="Tabletextleft"/>
              <w:rPr>
                <w:b w:val="0"/>
              </w:rPr>
            </w:pPr>
            <w:r w:rsidRPr="006535D5">
              <w:t>F</w:t>
            </w:r>
            <w:r>
              <w:t>m.</w:t>
            </w:r>
          </w:p>
        </w:tc>
        <w:tc>
          <w:tcPr>
            <w:tcW w:w="648" w:type="pct"/>
            <w:noWrap/>
            <w:hideMark/>
          </w:tcPr>
          <w:p w:rsidR="00AE0B1A" w:rsidRPr="006535D5" w:rsidRDefault="00AE0B1A" w:rsidP="00FD0A94">
            <w:pPr>
              <w:pStyle w:val="Tabletextleft"/>
              <w:rPr>
                <w:b w:val="0"/>
              </w:rPr>
            </w:pPr>
            <w:proofErr w:type="spellStart"/>
            <w:r w:rsidRPr="006535D5">
              <w:t>Lithofacies</w:t>
            </w:r>
            <w:proofErr w:type="spellEnd"/>
          </w:p>
        </w:tc>
        <w:tc>
          <w:tcPr>
            <w:tcW w:w="3319" w:type="pct"/>
            <w:noWrap/>
            <w:hideMark/>
          </w:tcPr>
          <w:p w:rsidR="00AE0B1A" w:rsidRPr="009D5B2E" w:rsidRDefault="00AE0B1A" w:rsidP="00FD0A94">
            <w:pPr>
              <w:pStyle w:val="Tabletextleft"/>
            </w:pPr>
            <w:proofErr w:type="spellStart"/>
            <w:r w:rsidRPr="006535D5">
              <w:t>Facies</w:t>
            </w:r>
            <w:proofErr w:type="spellEnd"/>
            <w:r w:rsidRPr="006535D5">
              <w:t xml:space="preserve"> description</w:t>
            </w:r>
          </w:p>
          <w:p w:rsidR="00AE0B1A" w:rsidRPr="006535D5" w:rsidRDefault="00AE0B1A" w:rsidP="00FD0A94">
            <w:pPr>
              <w:pStyle w:val="Tabletextleft"/>
              <w:rPr>
                <w:b w:val="0"/>
              </w:rPr>
            </w:pPr>
          </w:p>
        </w:tc>
        <w:tc>
          <w:tcPr>
            <w:tcW w:w="724" w:type="pct"/>
            <w:noWrap/>
            <w:hideMark/>
          </w:tcPr>
          <w:p w:rsidR="00AE0B1A" w:rsidRPr="00531087" w:rsidRDefault="00AE0B1A" w:rsidP="00FD0A94">
            <w:pPr>
              <w:pStyle w:val="Tabletextleft"/>
            </w:pPr>
            <w:r w:rsidRPr="00531087">
              <w:t>Depositional Environment</w:t>
            </w: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1083"/>
        </w:trPr>
        <w:tc>
          <w:tcPr>
            <w:tcW w:w="309" w:type="pct"/>
            <w:vMerge w:val="restart"/>
            <w:noWrap/>
            <w:textDirection w:val="btLr"/>
            <w:hideMark/>
          </w:tcPr>
          <w:p w:rsidR="00AE0B1A" w:rsidRPr="009D5B2E" w:rsidRDefault="00AE0B1A" w:rsidP="00AE0B1A">
            <w:pPr>
              <w:pStyle w:val="Tabletextcentred"/>
            </w:pPr>
            <w:proofErr w:type="spellStart"/>
            <w:r w:rsidRPr="009D5B2E">
              <w:t>Wangarlu</w:t>
            </w:r>
            <w:proofErr w:type="spellEnd"/>
          </w:p>
        </w:tc>
        <w:tc>
          <w:tcPr>
            <w:tcW w:w="648" w:type="pct"/>
            <w:noWrap/>
            <w:hideMark/>
          </w:tcPr>
          <w:p w:rsidR="00AE0B1A" w:rsidRPr="000E55EC" w:rsidRDefault="00AE0B1A" w:rsidP="00AE0B1A">
            <w:pPr>
              <w:pStyle w:val="Tabletextleft"/>
            </w:pPr>
            <w:r w:rsidRPr="000E55EC">
              <w:t>Massive mudstone</w:t>
            </w:r>
          </w:p>
        </w:tc>
        <w:tc>
          <w:tcPr>
            <w:tcW w:w="3319" w:type="pct"/>
            <w:noWrap/>
            <w:hideMark/>
          </w:tcPr>
          <w:p w:rsidR="00AE0B1A" w:rsidRPr="000E55EC" w:rsidRDefault="00AE0B1A" w:rsidP="00AE0B1A">
            <w:pPr>
              <w:pStyle w:val="Tabletextleft"/>
            </w:pPr>
            <w:r w:rsidRPr="000E55EC">
              <w:t>Dark grey to black, very hard massive blocky, mudstone, 90-95% medium/dark grey argillaceous material, minor quartz silt, trace calcareous material, trace white mica, nil visible porosity.</w:t>
            </w:r>
          </w:p>
        </w:tc>
        <w:tc>
          <w:tcPr>
            <w:tcW w:w="724" w:type="pct"/>
            <w:vMerge w:val="restart"/>
            <w:textDirection w:val="btLr"/>
            <w:hideMark/>
          </w:tcPr>
          <w:p w:rsidR="00AE0B1A" w:rsidRPr="00531087" w:rsidRDefault="00AE0B1A" w:rsidP="00AE0B1A">
            <w:pPr>
              <w:pStyle w:val="Tabletextcentred"/>
            </w:pPr>
            <w:r w:rsidRPr="00531087">
              <w:t>Offshore marine shelf</w:t>
            </w: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530"/>
        </w:trPr>
        <w:tc>
          <w:tcPr>
            <w:tcW w:w="309" w:type="pct"/>
            <w:vMerge/>
            <w:noWrap/>
            <w:hideMark/>
          </w:tcPr>
          <w:p w:rsidR="00AE0B1A" w:rsidRPr="00450995" w:rsidRDefault="00AE0B1A" w:rsidP="00AE0B1A">
            <w:pPr>
              <w:pStyle w:val="Tabletextcentred"/>
            </w:pPr>
          </w:p>
        </w:tc>
        <w:tc>
          <w:tcPr>
            <w:tcW w:w="648" w:type="pct"/>
            <w:noWrap/>
            <w:hideMark/>
          </w:tcPr>
          <w:p w:rsidR="00AE0B1A" w:rsidRPr="000E55EC" w:rsidRDefault="00AE0B1A" w:rsidP="00AE0B1A">
            <w:pPr>
              <w:pStyle w:val="Tabletextleft"/>
            </w:pPr>
            <w:r w:rsidRPr="000E55EC">
              <w:t>Mudstone with shell fragments</w:t>
            </w:r>
          </w:p>
        </w:tc>
        <w:tc>
          <w:tcPr>
            <w:tcW w:w="3319" w:type="pct"/>
            <w:noWrap/>
            <w:hideMark/>
          </w:tcPr>
          <w:p w:rsidR="00AE0B1A" w:rsidRPr="000E55EC" w:rsidRDefault="00AE0B1A" w:rsidP="00AE0B1A">
            <w:pPr>
              <w:pStyle w:val="Tabletextleft"/>
            </w:pPr>
            <w:r w:rsidRPr="000E55EC">
              <w:t>Light grey mudstone hard and blocky texture, occasionally calcareous with shell fragments and pyrite blebs.</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542"/>
        </w:trPr>
        <w:tc>
          <w:tcPr>
            <w:tcW w:w="309" w:type="pct"/>
            <w:vMerge/>
            <w:noWrap/>
            <w:hideMark/>
          </w:tcPr>
          <w:p w:rsidR="00AE0B1A" w:rsidRPr="00450995" w:rsidRDefault="00AE0B1A" w:rsidP="00AE0B1A">
            <w:pPr>
              <w:pStyle w:val="Tabletextcentred"/>
            </w:pPr>
          </w:p>
        </w:tc>
        <w:tc>
          <w:tcPr>
            <w:tcW w:w="648" w:type="pct"/>
            <w:noWrap/>
            <w:hideMark/>
          </w:tcPr>
          <w:p w:rsidR="00AE0B1A" w:rsidRPr="000E55EC" w:rsidRDefault="00AE0B1A" w:rsidP="00AE0B1A">
            <w:pPr>
              <w:pStyle w:val="Tabletextleft"/>
            </w:pPr>
            <w:r w:rsidRPr="000E55EC">
              <w:t xml:space="preserve">Silty </w:t>
            </w:r>
            <w:r>
              <w:t>m</w:t>
            </w:r>
            <w:r w:rsidRPr="000E55EC">
              <w:t>udstone</w:t>
            </w:r>
          </w:p>
        </w:tc>
        <w:tc>
          <w:tcPr>
            <w:tcW w:w="3319" w:type="pct"/>
            <w:noWrap/>
            <w:hideMark/>
          </w:tcPr>
          <w:p w:rsidR="00AE0B1A" w:rsidRPr="000E55EC" w:rsidRDefault="00AE0B1A" w:rsidP="00AE0B1A">
            <w:pPr>
              <w:pStyle w:val="Tabletextleft"/>
            </w:pPr>
            <w:r w:rsidRPr="000E55EC">
              <w:t xml:space="preserve">Mudstone with small siltstone lenses, medium/ dark grey, very hard massive, blocky, 80-90% medium grey argillaceous, 10-20% silt to very fine quartz grains. Minor calcareous material, trace very fine </w:t>
            </w:r>
            <w:proofErr w:type="spellStart"/>
            <w:r w:rsidRPr="000E55EC">
              <w:t>glauconite</w:t>
            </w:r>
            <w:proofErr w:type="spellEnd"/>
            <w:r w:rsidRPr="000E55EC">
              <w:t xml:space="preserve"> pellets with few pyrite aggregates, nil visible porosity.</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737"/>
        </w:trPr>
        <w:tc>
          <w:tcPr>
            <w:tcW w:w="309" w:type="pct"/>
            <w:vMerge/>
            <w:noWrap/>
            <w:hideMark/>
          </w:tcPr>
          <w:p w:rsidR="00AE0B1A" w:rsidRPr="00450995" w:rsidRDefault="00AE0B1A" w:rsidP="00AE0B1A">
            <w:pPr>
              <w:pStyle w:val="Tabletextcentred"/>
            </w:pPr>
          </w:p>
        </w:tc>
        <w:tc>
          <w:tcPr>
            <w:tcW w:w="648" w:type="pct"/>
            <w:noWrap/>
            <w:hideMark/>
          </w:tcPr>
          <w:p w:rsidR="00AE0B1A" w:rsidRPr="000E55EC" w:rsidRDefault="00AE0B1A" w:rsidP="00AE0B1A">
            <w:pPr>
              <w:pStyle w:val="Tabletextleft"/>
            </w:pPr>
            <w:r w:rsidRPr="000E55EC">
              <w:t xml:space="preserve">Mudstone </w:t>
            </w:r>
            <w:proofErr w:type="spellStart"/>
            <w:r w:rsidRPr="000E55EC">
              <w:t>interbedded</w:t>
            </w:r>
            <w:proofErr w:type="spellEnd"/>
            <w:r w:rsidRPr="000E55EC">
              <w:t xml:space="preserve"> with siltstone </w:t>
            </w:r>
          </w:p>
        </w:tc>
        <w:tc>
          <w:tcPr>
            <w:tcW w:w="3319" w:type="pct"/>
            <w:noWrap/>
            <w:hideMark/>
          </w:tcPr>
          <w:p w:rsidR="00AE0B1A" w:rsidRPr="000E55EC" w:rsidRDefault="00AE0B1A" w:rsidP="00AE0B1A">
            <w:pPr>
              <w:pStyle w:val="Tabletextleft"/>
            </w:pPr>
            <w:r w:rsidRPr="000E55EC">
              <w:t xml:space="preserve">Mudstone </w:t>
            </w:r>
            <w:proofErr w:type="spellStart"/>
            <w:r w:rsidRPr="000E55EC">
              <w:t>interbedded</w:t>
            </w:r>
            <w:proofErr w:type="spellEnd"/>
            <w:r w:rsidRPr="000E55EC">
              <w:t xml:space="preserve"> with siltstone and / or very fine-grained sandstone.</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1254"/>
        </w:trPr>
        <w:tc>
          <w:tcPr>
            <w:tcW w:w="309" w:type="pct"/>
            <w:vMerge/>
            <w:noWrap/>
            <w:hideMark/>
          </w:tcPr>
          <w:p w:rsidR="00AE0B1A" w:rsidRPr="00450995" w:rsidRDefault="00AE0B1A" w:rsidP="00AE0B1A">
            <w:pPr>
              <w:pStyle w:val="Tabletextcentred"/>
            </w:pPr>
          </w:p>
        </w:tc>
        <w:tc>
          <w:tcPr>
            <w:tcW w:w="648" w:type="pct"/>
            <w:noWrap/>
            <w:hideMark/>
          </w:tcPr>
          <w:p w:rsidR="00AE0B1A" w:rsidRPr="000E55EC" w:rsidRDefault="00AE0B1A" w:rsidP="00AE0B1A">
            <w:pPr>
              <w:pStyle w:val="Tabletextleft"/>
            </w:pPr>
            <w:r w:rsidRPr="000E55EC">
              <w:t>Siltstone /fine-</w:t>
            </w:r>
            <w:r>
              <w:t>grained</w:t>
            </w:r>
            <w:r w:rsidRPr="000E55EC">
              <w:t xml:space="preserve"> sandstone </w:t>
            </w:r>
            <w:proofErr w:type="spellStart"/>
            <w:r w:rsidRPr="000E55EC">
              <w:t>interbedded</w:t>
            </w:r>
            <w:proofErr w:type="spellEnd"/>
            <w:r w:rsidRPr="000E55EC">
              <w:t xml:space="preserve"> with shale</w:t>
            </w:r>
          </w:p>
        </w:tc>
        <w:tc>
          <w:tcPr>
            <w:tcW w:w="3319" w:type="pct"/>
            <w:noWrap/>
            <w:hideMark/>
          </w:tcPr>
          <w:p w:rsidR="00AE0B1A" w:rsidRPr="000E55EC" w:rsidRDefault="00AE0B1A" w:rsidP="00AE0B1A">
            <w:pPr>
              <w:pStyle w:val="Tabletextleft"/>
            </w:pPr>
            <w:r w:rsidRPr="000E55EC">
              <w:t xml:space="preserve">Argillaceous siltstone interlaminated with mudstone, mottled medium grey/ brown to light greenish-grey, moderately hard to hard, blocky, predominantly silt (trace to 50%), to very fine quartz, 20-50 % very fine to fine </w:t>
            </w:r>
            <w:proofErr w:type="spellStart"/>
            <w:r w:rsidRPr="000E55EC">
              <w:t>glauconite</w:t>
            </w:r>
            <w:proofErr w:type="spellEnd"/>
            <w:r w:rsidRPr="000E55EC">
              <w:t xml:space="preserve"> pellets, trace white mica,, trace carbonaceous material, nil to very poor visible porosity. </w:t>
            </w:r>
          </w:p>
        </w:tc>
        <w:tc>
          <w:tcPr>
            <w:tcW w:w="724" w:type="pct"/>
            <w:vMerge w:val="restart"/>
            <w:textDirection w:val="btLr"/>
            <w:hideMark/>
          </w:tcPr>
          <w:p w:rsidR="00AE0B1A" w:rsidRPr="00531087" w:rsidRDefault="00AE0B1A" w:rsidP="00AE0B1A">
            <w:pPr>
              <w:pStyle w:val="Tabletextcentred"/>
            </w:pPr>
            <w:r w:rsidRPr="00531087">
              <w:t>Offshore marine shelf</w:t>
            </w: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801"/>
        </w:trPr>
        <w:tc>
          <w:tcPr>
            <w:tcW w:w="309" w:type="pct"/>
            <w:vMerge/>
            <w:noWrap/>
            <w:hideMark/>
          </w:tcPr>
          <w:p w:rsidR="00AE0B1A" w:rsidRPr="00450995" w:rsidRDefault="00AE0B1A" w:rsidP="00AE0B1A">
            <w:pPr>
              <w:pStyle w:val="Tabletextcentred"/>
            </w:pPr>
          </w:p>
        </w:tc>
        <w:tc>
          <w:tcPr>
            <w:tcW w:w="648" w:type="pct"/>
            <w:noWrap/>
            <w:hideMark/>
          </w:tcPr>
          <w:p w:rsidR="00AE0B1A" w:rsidRPr="000E55EC" w:rsidRDefault="00960530" w:rsidP="00960530">
            <w:pPr>
              <w:pStyle w:val="Tabletextleft"/>
            </w:pPr>
            <w:r>
              <w:t>Glauconitic</w:t>
            </w:r>
            <w:r w:rsidR="00AE0B1A" w:rsidRPr="000E55EC">
              <w:t xml:space="preserve"> argillaceous siltstone</w:t>
            </w:r>
          </w:p>
        </w:tc>
        <w:tc>
          <w:tcPr>
            <w:tcW w:w="3319" w:type="pct"/>
            <w:noWrap/>
            <w:hideMark/>
          </w:tcPr>
          <w:p w:rsidR="00AE0B1A" w:rsidRPr="000E55EC" w:rsidRDefault="00AE0B1A" w:rsidP="00AE0B1A">
            <w:pPr>
              <w:pStyle w:val="Tabletextleft"/>
            </w:pPr>
            <w:r w:rsidRPr="000E55EC">
              <w:t xml:space="preserve">Mottled medium to dark olive green, moderately hard to hard, blocky, 50-60 % silt to very fine/ fine sandstone, clear translucent, angular to sub-rounded, slightly elongate to slightly spherical, moderately sorted, 25-30% fine to medium </w:t>
            </w:r>
            <w:proofErr w:type="spellStart"/>
            <w:r w:rsidRPr="000E55EC">
              <w:t>glauconite</w:t>
            </w:r>
            <w:proofErr w:type="spellEnd"/>
            <w:r w:rsidRPr="000E55EC">
              <w:t xml:space="preserve"> pellets, 20-25% light/medium grey argillaceous material, trace calcareous material, no to very poor visible porosity.</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554"/>
        </w:trPr>
        <w:tc>
          <w:tcPr>
            <w:tcW w:w="309" w:type="pct"/>
            <w:vMerge/>
            <w:noWrap/>
            <w:hideMark/>
          </w:tcPr>
          <w:p w:rsidR="00AE0B1A" w:rsidRPr="00450995" w:rsidRDefault="00AE0B1A" w:rsidP="00AE0B1A">
            <w:pPr>
              <w:pStyle w:val="Tabletextcentred"/>
            </w:pPr>
          </w:p>
        </w:tc>
        <w:tc>
          <w:tcPr>
            <w:tcW w:w="648" w:type="pct"/>
            <w:noWrap/>
            <w:hideMark/>
          </w:tcPr>
          <w:p w:rsidR="00AE0B1A" w:rsidRPr="000E55EC" w:rsidRDefault="00AE0B1A" w:rsidP="00AE0B1A">
            <w:pPr>
              <w:pStyle w:val="Tabletextleft"/>
            </w:pPr>
            <w:proofErr w:type="spellStart"/>
            <w:r w:rsidRPr="000E55EC">
              <w:t>Packstone</w:t>
            </w:r>
            <w:proofErr w:type="spellEnd"/>
            <w:r w:rsidRPr="000E55EC">
              <w:t xml:space="preserve"> limestone</w:t>
            </w:r>
          </w:p>
        </w:tc>
        <w:tc>
          <w:tcPr>
            <w:tcW w:w="3319" w:type="pct"/>
            <w:noWrap/>
            <w:hideMark/>
          </w:tcPr>
          <w:p w:rsidR="00AE0B1A" w:rsidRPr="000E55EC" w:rsidRDefault="00AE0B1A" w:rsidP="00AE0B1A">
            <w:pPr>
              <w:pStyle w:val="Tabletextleft"/>
            </w:pPr>
            <w:r w:rsidRPr="000E55EC">
              <w:t xml:space="preserve">Brown limestone composed of shell fragment </w:t>
            </w:r>
            <w:proofErr w:type="spellStart"/>
            <w:r w:rsidRPr="000E55EC">
              <w:t>packstone</w:t>
            </w:r>
            <w:proofErr w:type="spellEnd"/>
            <w:r w:rsidRPr="000E55EC">
              <w:t xml:space="preserve"> and </w:t>
            </w:r>
            <w:proofErr w:type="spellStart"/>
            <w:r w:rsidRPr="000E55EC">
              <w:t>micritic</w:t>
            </w:r>
            <w:proofErr w:type="spellEnd"/>
            <w:r w:rsidRPr="000E55EC">
              <w:t xml:space="preserve"> matrix.</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1033"/>
        </w:trPr>
        <w:tc>
          <w:tcPr>
            <w:tcW w:w="309" w:type="pct"/>
            <w:vMerge/>
            <w:noWrap/>
            <w:hideMark/>
          </w:tcPr>
          <w:p w:rsidR="00AE0B1A" w:rsidRPr="00450995" w:rsidRDefault="00AE0B1A" w:rsidP="00AE0B1A">
            <w:pPr>
              <w:pStyle w:val="Tabletextcentred"/>
            </w:pPr>
          </w:p>
        </w:tc>
        <w:tc>
          <w:tcPr>
            <w:tcW w:w="648" w:type="pct"/>
            <w:noWrap/>
            <w:hideMark/>
          </w:tcPr>
          <w:p w:rsidR="00AE0B1A" w:rsidRPr="000E55EC" w:rsidRDefault="00AE0B1A" w:rsidP="00AE0B1A">
            <w:pPr>
              <w:pStyle w:val="Tabletextleft"/>
            </w:pPr>
            <w:r w:rsidRPr="000E55EC">
              <w:t>Fine</w:t>
            </w:r>
            <w:r>
              <w:t>-</w:t>
            </w:r>
            <w:r w:rsidRPr="000E55EC">
              <w:t xml:space="preserve"> to coarse</w:t>
            </w:r>
            <w:r>
              <w:t>-</w:t>
            </w:r>
            <w:r w:rsidRPr="000E55EC">
              <w:t xml:space="preserve"> grained sandstone</w:t>
            </w:r>
          </w:p>
        </w:tc>
        <w:tc>
          <w:tcPr>
            <w:tcW w:w="3319" w:type="pct"/>
            <w:noWrap/>
            <w:hideMark/>
          </w:tcPr>
          <w:p w:rsidR="00AE0B1A" w:rsidRPr="000E55EC" w:rsidRDefault="00AE0B1A" w:rsidP="00AE0B1A">
            <w:pPr>
              <w:pStyle w:val="Tabletextleft"/>
            </w:pPr>
            <w:r w:rsidRPr="000E55EC">
              <w:t>Quartz white to light tan, sub-angular –sub-rounded, fine to coarse-grained sandstone, occasionally silty, fairly sorted, friable with trace of kaolin.</w:t>
            </w:r>
          </w:p>
        </w:tc>
        <w:tc>
          <w:tcPr>
            <w:tcW w:w="724" w:type="pct"/>
            <w:noWrap/>
            <w:textDirection w:val="btLr"/>
            <w:hideMark/>
          </w:tcPr>
          <w:p w:rsidR="00AE0B1A" w:rsidRPr="00531087" w:rsidRDefault="00AE0B1A" w:rsidP="00AE0B1A">
            <w:pPr>
              <w:pStyle w:val="Tabletextcentred"/>
            </w:pPr>
            <w:r w:rsidRPr="00531087">
              <w:t>Marine shelf/</w:t>
            </w:r>
            <w:r>
              <w:t xml:space="preserve"> </w:t>
            </w:r>
            <w:r w:rsidRPr="00531087">
              <w:t>offshore bar</w:t>
            </w: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778"/>
        </w:trPr>
        <w:tc>
          <w:tcPr>
            <w:tcW w:w="309" w:type="pct"/>
            <w:vMerge w:val="restart"/>
            <w:noWrap/>
            <w:textDirection w:val="btLr"/>
            <w:hideMark/>
          </w:tcPr>
          <w:p w:rsidR="00AE0B1A" w:rsidRPr="009D5B2E" w:rsidRDefault="00AE0B1A" w:rsidP="00AE0B1A">
            <w:pPr>
              <w:pStyle w:val="Tabletextcentred"/>
            </w:pPr>
            <w:r w:rsidRPr="009D5B2E">
              <w:t>Darwin</w:t>
            </w:r>
          </w:p>
        </w:tc>
        <w:tc>
          <w:tcPr>
            <w:tcW w:w="648" w:type="pct"/>
            <w:noWrap/>
            <w:hideMark/>
          </w:tcPr>
          <w:p w:rsidR="00AE0B1A" w:rsidRPr="000E55EC" w:rsidRDefault="00AE0B1A" w:rsidP="00AE0B1A">
            <w:pPr>
              <w:pStyle w:val="Tabletextleft"/>
            </w:pPr>
            <w:r w:rsidRPr="000E55EC">
              <w:t>Glauconitic mudstone</w:t>
            </w:r>
          </w:p>
        </w:tc>
        <w:tc>
          <w:tcPr>
            <w:tcW w:w="3319" w:type="pct"/>
            <w:noWrap/>
            <w:hideMark/>
          </w:tcPr>
          <w:p w:rsidR="00AE0B1A" w:rsidRPr="000E55EC" w:rsidRDefault="00AE0B1A" w:rsidP="00AE0B1A">
            <w:pPr>
              <w:pStyle w:val="Tabletextleft"/>
            </w:pPr>
            <w:r w:rsidRPr="000E55EC">
              <w:t>Mudstone slightly silty in part, medium olive grey/ green to medium/ dark olive green, moderately hard to hard, 80-90 % medium to medium dark grey argillaceous material, 10-20% silt to very fine quartz, glauconitic to very glauconitic, trace white mica, trace calcareous material.</w:t>
            </w:r>
          </w:p>
        </w:tc>
        <w:tc>
          <w:tcPr>
            <w:tcW w:w="724" w:type="pct"/>
            <w:vMerge w:val="restart"/>
            <w:textDirection w:val="btLr"/>
            <w:hideMark/>
          </w:tcPr>
          <w:p w:rsidR="00AE0B1A" w:rsidRPr="00531087" w:rsidRDefault="00AE0B1A" w:rsidP="00AE0B1A">
            <w:pPr>
              <w:pStyle w:val="Tabletextcentred"/>
            </w:pPr>
            <w:proofErr w:type="spellStart"/>
            <w:r w:rsidRPr="00531087">
              <w:t>Shoreface</w:t>
            </w:r>
            <w:proofErr w:type="spellEnd"/>
            <w:r w:rsidRPr="00531087">
              <w:t>-offshore</w:t>
            </w: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1015"/>
        </w:trPr>
        <w:tc>
          <w:tcPr>
            <w:tcW w:w="309" w:type="pct"/>
            <w:vMerge/>
            <w:noWrap/>
            <w:hideMark/>
          </w:tcPr>
          <w:p w:rsidR="00AE0B1A" w:rsidRPr="00450995" w:rsidRDefault="00AE0B1A" w:rsidP="00AE0B1A">
            <w:pPr>
              <w:pStyle w:val="Tabletextcentred"/>
            </w:pPr>
          </w:p>
        </w:tc>
        <w:tc>
          <w:tcPr>
            <w:tcW w:w="648" w:type="pct"/>
            <w:noWrap/>
            <w:hideMark/>
          </w:tcPr>
          <w:p w:rsidR="00AE0B1A" w:rsidRPr="000E55EC" w:rsidRDefault="00AE0B1A" w:rsidP="00AE0B1A">
            <w:pPr>
              <w:pStyle w:val="Tabletextleft"/>
            </w:pPr>
            <w:r w:rsidRPr="000E55EC">
              <w:t xml:space="preserve">Glauconitic siltstone </w:t>
            </w:r>
            <w:proofErr w:type="spellStart"/>
            <w:r w:rsidRPr="000E55EC">
              <w:t>interbedded</w:t>
            </w:r>
            <w:proofErr w:type="spellEnd"/>
            <w:r w:rsidRPr="000E55EC">
              <w:t xml:space="preserve"> with mudstone </w:t>
            </w:r>
          </w:p>
        </w:tc>
        <w:tc>
          <w:tcPr>
            <w:tcW w:w="3319" w:type="pct"/>
            <w:noWrap/>
            <w:hideMark/>
          </w:tcPr>
          <w:p w:rsidR="00AE0B1A" w:rsidRPr="000E55EC" w:rsidRDefault="00AE0B1A" w:rsidP="00AE0B1A">
            <w:pPr>
              <w:pStyle w:val="Tabletextleft"/>
            </w:pPr>
            <w:r w:rsidRPr="000E55EC">
              <w:t xml:space="preserve">Medium to dark olive green, hard, massive, blocky, predominantly siltstone 20-30%, very fine to fine </w:t>
            </w:r>
            <w:proofErr w:type="spellStart"/>
            <w:r w:rsidRPr="000E55EC">
              <w:t>glauconite</w:t>
            </w:r>
            <w:proofErr w:type="spellEnd"/>
            <w:r w:rsidRPr="000E55EC">
              <w:t xml:space="preserve"> pellets, 10-20% medium/dark grey argillaceous material, trace of white mica, nil to very poor visible porosity.</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601"/>
        </w:trPr>
        <w:tc>
          <w:tcPr>
            <w:tcW w:w="309" w:type="pct"/>
            <w:vMerge w:val="restart"/>
            <w:noWrap/>
            <w:textDirection w:val="btLr"/>
            <w:hideMark/>
          </w:tcPr>
          <w:p w:rsidR="00AE0B1A" w:rsidRPr="009D5B2E" w:rsidRDefault="00AE0B1A" w:rsidP="00AE0B1A">
            <w:pPr>
              <w:pStyle w:val="Tabletextcentred"/>
            </w:pPr>
            <w:r w:rsidRPr="009D5B2E">
              <w:t>Echuca Shoals</w:t>
            </w:r>
          </w:p>
        </w:tc>
        <w:tc>
          <w:tcPr>
            <w:tcW w:w="648" w:type="pct"/>
            <w:noWrap/>
            <w:hideMark/>
          </w:tcPr>
          <w:p w:rsidR="00AE0B1A" w:rsidRPr="000E55EC" w:rsidRDefault="00AE0B1A" w:rsidP="00AE0B1A">
            <w:pPr>
              <w:pStyle w:val="Tabletextleft"/>
            </w:pPr>
            <w:r w:rsidRPr="000E55EC">
              <w:t xml:space="preserve">Mudstone with glauconitic sandstone. </w:t>
            </w:r>
          </w:p>
        </w:tc>
        <w:tc>
          <w:tcPr>
            <w:tcW w:w="3319" w:type="pct"/>
            <w:noWrap/>
            <w:hideMark/>
          </w:tcPr>
          <w:p w:rsidR="00AE0B1A" w:rsidRPr="000E55EC" w:rsidRDefault="00AE0B1A" w:rsidP="00AE0B1A">
            <w:pPr>
              <w:pStyle w:val="Tabletextleft"/>
            </w:pPr>
            <w:r w:rsidRPr="000E55EC">
              <w:t xml:space="preserve">Dark olive green, hard, massive, blocky, 75-85 % dark olive green argillaceous material, 15-25% </w:t>
            </w:r>
            <w:proofErr w:type="spellStart"/>
            <w:r w:rsidRPr="000E55EC">
              <w:t>glauconite</w:t>
            </w:r>
            <w:proofErr w:type="spellEnd"/>
            <w:r w:rsidRPr="000E55EC">
              <w:t xml:space="preserve"> pellets, trace fine/ medium to coarse/ very coarse sand grains, trace carbonaceous specks, nil visible porosity.</w:t>
            </w:r>
          </w:p>
        </w:tc>
        <w:tc>
          <w:tcPr>
            <w:tcW w:w="724" w:type="pct"/>
            <w:vMerge w:val="restart"/>
            <w:textDirection w:val="btLr"/>
            <w:hideMark/>
          </w:tcPr>
          <w:p w:rsidR="00AE0B1A" w:rsidRPr="00531087" w:rsidRDefault="00AE0B1A" w:rsidP="00AE0B1A">
            <w:pPr>
              <w:pStyle w:val="Tabletextcentred"/>
            </w:pPr>
            <w:proofErr w:type="spellStart"/>
            <w:r w:rsidRPr="00531087">
              <w:t>Shoreface</w:t>
            </w:r>
            <w:proofErr w:type="spellEnd"/>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1156"/>
        </w:trPr>
        <w:tc>
          <w:tcPr>
            <w:tcW w:w="309" w:type="pct"/>
            <w:vMerge/>
            <w:noWrap/>
            <w:hideMark/>
          </w:tcPr>
          <w:p w:rsidR="00AE0B1A" w:rsidRPr="00450995" w:rsidRDefault="00AE0B1A" w:rsidP="00AE0B1A">
            <w:pPr>
              <w:pStyle w:val="Tabletextcentred"/>
            </w:pPr>
          </w:p>
        </w:tc>
        <w:tc>
          <w:tcPr>
            <w:tcW w:w="648" w:type="pct"/>
            <w:noWrap/>
            <w:hideMark/>
          </w:tcPr>
          <w:p w:rsidR="00AE0B1A" w:rsidRPr="000E55EC" w:rsidRDefault="00AE0B1A" w:rsidP="00AE0B1A">
            <w:pPr>
              <w:pStyle w:val="Tabletextleft"/>
            </w:pPr>
            <w:r w:rsidRPr="000E55EC">
              <w:t xml:space="preserve">Mudstone </w:t>
            </w:r>
            <w:proofErr w:type="spellStart"/>
            <w:r w:rsidRPr="000E55EC">
              <w:t>interbedded</w:t>
            </w:r>
            <w:proofErr w:type="spellEnd"/>
            <w:r w:rsidRPr="000E55EC">
              <w:t xml:space="preserve"> with glauconitic siltstone/ sandstone </w:t>
            </w:r>
          </w:p>
        </w:tc>
        <w:tc>
          <w:tcPr>
            <w:tcW w:w="3319" w:type="pct"/>
            <w:noWrap/>
            <w:hideMark/>
          </w:tcPr>
          <w:p w:rsidR="00AE0B1A" w:rsidRPr="000E55EC" w:rsidRDefault="00AE0B1A" w:rsidP="00AE0B1A">
            <w:pPr>
              <w:pStyle w:val="Tabletextleft"/>
            </w:pPr>
            <w:r w:rsidRPr="000E55EC">
              <w:t xml:space="preserve">Glauconitic siltstone thinly interlaminated with mudstone. White to brown, moderately hard to hard, blocky, predominantly silt to very fine sand grains with 20-30 %, light/ medium grey to light brown argillaceous material </w:t>
            </w:r>
            <w:proofErr w:type="spellStart"/>
            <w:r w:rsidRPr="000E55EC">
              <w:t>interbedded</w:t>
            </w:r>
            <w:proofErr w:type="spellEnd"/>
            <w:r w:rsidRPr="000E55EC">
              <w:t xml:space="preserve"> with silty mudstone of medium/dark brown, soft to firm, laminated, 80-90 % light brown argillaceous material, 10-20% silt to very fine sand, with </w:t>
            </w:r>
            <w:proofErr w:type="spellStart"/>
            <w:r w:rsidRPr="000E55EC">
              <w:t>glauconite</w:t>
            </w:r>
            <w:proofErr w:type="spellEnd"/>
            <w:r w:rsidRPr="000E55EC">
              <w:t xml:space="preserve"> and trace of white mica.</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853"/>
        </w:trPr>
        <w:tc>
          <w:tcPr>
            <w:tcW w:w="309" w:type="pct"/>
            <w:vMerge/>
            <w:noWrap/>
            <w:hideMark/>
          </w:tcPr>
          <w:p w:rsidR="00AE0B1A" w:rsidRPr="00450995" w:rsidRDefault="00AE0B1A" w:rsidP="00AE0B1A">
            <w:pPr>
              <w:pStyle w:val="Tabletextcentred"/>
            </w:pPr>
          </w:p>
        </w:tc>
        <w:tc>
          <w:tcPr>
            <w:tcW w:w="648" w:type="pct"/>
            <w:noWrap/>
            <w:hideMark/>
          </w:tcPr>
          <w:p w:rsidR="00AE0B1A" w:rsidRPr="000E55EC" w:rsidRDefault="00AE0B1A" w:rsidP="00AE0B1A">
            <w:pPr>
              <w:pStyle w:val="Tabletextleft"/>
            </w:pPr>
            <w:r w:rsidRPr="000E55EC">
              <w:t>Medium</w:t>
            </w:r>
            <w:r>
              <w:t>-</w:t>
            </w:r>
            <w:r w:rsidRPr="000E55EC">
              <w:t xml:space="preserve"> grained glauconitic sandstone with shale </w:t>
            </w:r>
          </w:p>
        </w:tc>
        <w:tc>
          <w:tcPr>
            <w:tcW w:w="3319" w:type="pct"/>
            <w:noWrap/>
            <w:hideMark/>
          </w:tcPr>
          <w:p w:rsidR="00AE0B1A" w:rsidRPr="000E55EC" w:rsidRDefault="00AE0B1A" w:rsidP="00AE0B1A">
            <w:pPr>
              <w:pStyle w:val="Tabletextleft"/>
            </w:pPr>
            <w:r w:rsidRPr="000E55EC">
              <w:t xml:space="preserve">Light grey sandstone, medium to coarse grained with coarse </w:t>
            </w:r>
            <w:proofErr w:type="spellStart"/>
            <w:r w:rsidRPr="000E55EC">
              <w:t>glauconite</w:t>
            </w:r>
            <w:proofErr w:type="spellEnd"/>
            <w:r w:rsidRPr="000E55EC">
              <w:t xml:space="preserve">, occasionally very glauconitic and/or shaly, calcareous with crystalline calcite. Some rounded </w:t>
            </w:r>
            <w:proofErr w:type="spellStart"/>
            <w:r w:rsidRPr="000E55EC">
              <w:t>chert</w:t>
            </w:r>
            <w:proofErr w:type="spellEnd"/>
            <w:r w:rsidRPr="000E55EC">
              <w:t xml:space="preserve"> grains. Poor to fair porosity. </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620"/>
        </w:trPr>
        <w:tc>
          <w:tcPr>
            <w:tcW w:w="309" w:type="pct"/>
            <w:vMerge w:val="restart"/>
            <w:noWrap/>
            <w:textDirection w:val="btLr"/>
            <w:hideMark/>
          </w:tcPr>
          <w:p w:rsidR="00AE0B1A" w:rsidRPr="009D5B2E" w:rsidRDefault="00AE0B1A" w:rsidP="00AE0B1A">
            <w:pPr>
              <w:pStyle w:val="Tabletextcentred"/>
            </w:pPr>
            <w:r w:rsidRPr="009D5B2E">
              <w:t>Sandpiper Sandstone</w:t>
            </w:r>
          </w:p>
        </w:tc>
        <w:tc>
          <w:tcPr>
            <w:tcW w:w="648" w:type="pct"/>
            <w:noWrap/>
            <w:hideMark/>
          </w:tcPr>
          <w:p w:rsidR="00AE0B1A" w:rsidRPr="000E55EC" w:rsidRDefault="00AE0B1A" w:rsidP="00AE0B1A">
            <w:pPr>
              <w:pStyle w:val="Tabletextleft"/>
            </w:pPr>
            <w:r w:rsidRPr="000E55EC">
              <w:t>Fine</w:t>
            </w:r>
            <w:r>
              <w:t>-</w:t>
            </w:r>
            <w:r w:rsidRPr="000E55EC">
              <w:t xml:space="preserve"> to coarse</w:t>
            </w:r>
            <w:r>
              <w:t>-</w:t>
            </w:r>
            <w:r w:rsidRPr="000E55EC">
              <w:t xml:space="preserve"> grained sandstone</w:t>
            </w:r>
          </w:p>
        </w:tc>
        <w:tc>
          <w:tcPr>
            <w:tcW w:w="3319" w:type="pct"/>
            <w:noWrap/>
            <w:hideMark/>
          </w:tcPr>
          <w:p w:rsidR="00AE0B1A" w:rsidRPr="000E55EC" w:rsidRDefault="00AE0B1A" w:rsidP="00AE0B1A">
            <w:pPr>
              <w:pStyle w:val="Tabletextleft"/>
            </w:pPr>
            <w:r w:rsidRPr="000E55EC">
              <w:t>Fine/ m</w:t>
            </w:r>
            <w:r>
              <w:t>edium to medium/coarse grained s</w:t>
            </w:r>
            <w:r w:rsidRPr="000E55EC">
              <w:t xml:space="preserve">andstone, sub-angular to sub-rounded, slightly elongate to slightly spherical, moderate to well sorted. Medium </w:t>
            </w:r>
            <w:proofErr w:type="spellStart"/>
            <w:r w:rsidRPr="000E55EC">
              <w:t>glauconite</w:t>
            </w:r>
            <w:proofErr w:type="spellEnd"/>
            <w:r w:rsidRPr="000E55EC">
              <w:t xml:space="preserve"> pellets good visible porosity.</w:t>
            </w:r>
          </w:p>
        </w:tc>
        <w:tc>
          <w:tcPr>
            <w:tcW w:w="724" w:type="pct"/>
            <w:vMerge w:val="restart"/>
            <w:textDirection w:val="btLr"/>
            <w:hideMark/>
          </w:tcPr>
          <w:p w:rsidR="00AE0B1A" w:rsidRPr="00531087" w:rsidRDefault="00AE0B1A" w:rsidP="00AE0B1A">
            <w:pPr>
              <w:pStyle w:val="Tabletextcentred"/>
            </w:pPr>
            <w:r w:rsidRPr="00531087">
              <w:t xml:space="preserve">Lower to middle </w:t>
            </w:r>
            <w:proofErr w:type="spellStart"/>
            <w:r w:rsidRPr="00531087">
              <w:t>shoreface</w:t>
            </w:r>
            <w:proofErr w:type="spellEnd"/>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918"/>
        </w:trPr>
        <w:tc>
          <w:tcPr>
            <w:tcW w:w="309" w:type="pct"/>
            <w:vMerge/>
            <w:noWrap/>
            <w:textDirection w:val="btLr"/>
            <w:hideMark/>
          </w:tcPr>
          <w:p w:rsidR="00AE0B1A" w:rsidRPr="00450995" w:rsidRDefault="00AE0B1A" w:rsidP="00AE0B1A">
            <w:pPr>
              <w:pStyle w:val="Tabletextcentred"/>
            </w:pPr>
          </w:p>
        </w:tc>
        <w:tc>
          <w:tcPr>
            <w:tcW w:w="648" w:type="pct"/>
            <w:noWrap/>
            <w:hideMark/>
          </w:tcPr>
          <w:p w:rsidR="00AE0B1A" w:rsidRPr="00531087" w:rsidRDefault="00AE0B1A" w:rsidP="00AE0B1A">
            <w:pPr>
              <w:pStyle w:val="Tabletextleft"/>
            </w:pPr>
            <w:r w:rsidRPr="00531087">
              <w:t>Massive fine</w:t>
            </w:r>
            <w:r>
              <w:t>-</w:t>
            </w:r>
            <w:r w:rsidRPr="00531087">
              <w:t xml:space="preserve"> grained sandstone</w:t>
            </w:r>
          </w:p>
        </w:tc>
        <w:tc>
          <w:tcPr>
            <w:tcW w:w="3319" w:type="pct"/>
            <w:noWrap/>
            <w:hideMark/>
          </w:tcPr>
          <w:p w:rsidR="00AE0B1A" w:rsidRPr="00531087" w:rsidRDefault="00AE0B1A" w:rsidP="00AE0B1A">
            <w:pPr>
              <w:pStyle w:val="Tabletextleft"/>
            </w:pPr>
            <w:r w:rsidRPr="00531087">
              <w:t xml:space="preserve">Massive sandstone, fine grained, glauconitic with </w:t>
            </w:r>
            <w:proofErr w:type="spellStart"/>
            <w:r w:rsidRPr="00531087">
              <w:t>flaser</w:t>
            </w:r>
            <w:proofErr w:type="spellEnd"/>
            <w:r w:rsidRPr="00531087">
              <w:t xml:space="preserve"> bedding, about 90% sand grains, fine, sub-angular to rounded, well sorted, 0-10% siliceous cement, non-calcareous, good visible porosity.</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748"/>
        </w:trPr>
        <w:tc>
          <w:tcPr>
            <w:tcW w:w="309" w:type="pct"/>
            <w:vMerge/>
            <w:noWrap/>
            <w:textDirection w:val="btLr"/>
            <w:hideMark/>
          </w:tcPr>
          <w:p w:rsidR="00AE0B1A" w:rsidRPr="00450995" w:rsidRDefault="00AE0B1A" w:rsidP="00AE0B1A">
            <w:pPr>
              <w:pStyle w:val="Tabletextcentred"/>
            </w:pPr>
          </w:p>
        </w:tc>
        <w:tc>
          <w:tcPr>
            <w:tcW w:w="648" w:type="pct"/>
            <w:noWrap/>
            <w:hideMark/>
          </w:tcPr>
          <w:p w:rsidR="00AE0B1A" w:rsidRPr="00531087" w:rsidRDefault="00AE0B1A" w:rsidP="00AE0B1A">
            <w:pPr>
              <w:pStyle w:val="Tabletextleft"/>
            </w:pPr>
            <w:r w:rsidRPr="00531087">
              <w:t>Fine</w:t>
            </w:r>
            <w:r>
              <w:t>-</w:t>
            </w:r>
            <w:r w:rsidRPr="00531087">
              <w:t xml:space="preserve">grained sandstone </w:t>
            </w:r>
            <w:proofErr w:type="spellStart"/>
            <w:r w:rsidRPr="00531087">
              <w:t>interbedded</w:t>
            </w:r>
            <w:proofErr w:type="spellEnd"/>
            <w:r w:rsidRPr="00531087">
              <w:t xml:space="preserve"> with shale </w:t>
            </w:r>
          </w:p>
        </w:tc>
        <w:tc>
          <w:tcPr>
            <w:tcW w:w="3319" w:type="pct"/>
            <w:noWrap/>
            <w:hideMark/>
          </w:tcPr>
          <w:p w:rsidR="00AE0B1A" w:rsidRPr="00531087" w:rsidRDefault="00AE0B1A" w:rsidP="00AE0B1A">
            <w:pPr>
              <w:pStyle w:val="Tabletextleft"/>
            </w:pPr>
            <w:r w:rsidRPr="00531087">
              <w:t xml:space="preserve">Glauconitic fine-grained sandstone </w:t>
            </w:r>
            <w:proofErr w:type="spellStart"/>
            <w:r w:rsidRPr="00531087">
              <w:t>interbedded</w:t>
            </w:r>
            <w:proofErr w:type="spellEnd"/>
            <w:r w:rsidRPr="00531087">
              <w:t xml:space="preserve"> with parallel or wavy shale laminations.</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356"/>
        </w:trPr>
        <w:tc>
          <w:tcPr>
            <w:tcW w:w="309" w:type="pct"/>
            <w:vMerge/>
            <w:noWrap/>
            <w:textDirection w:val="btLr"/>
            <w:hideMark/>
          </w:tcPr>
          <w:p w:rsidR="00AE0B1A" w:rsidRPr="00450995" w:rsidRDefault="00AE0B1A" w:rsidP="00AE0B1A">
            <w:pPr>
              <w:pStyle w:val="Tabletextcentred"/>
            </w:pPr>
          </w:p>
        </w:tc>
        <w:tc>
          <w:tcPr>
            <w:tcW w:w="648" w:type="pct"/>
            <w:noWrap/>
            <w:hideMark/>
          </w:tcPr>
          <w:p w:rsidR="00AE0B1A" w:rsidRPr="00531087" w:rsidRDefault="00AE0B1A" w:rsidP="00AE0B1A">
            <w:pPr>
              <w:pStyle w:val="Tabletextleft"/>
            </w:pPr>
            <w:r w:rsidRPr="00531087">
              <w:t>Mudstone</w:t>
            </w:r>
          </w:p>
        </w:tc>
        <w:tc>
          <w:tcPr>
            <w:tcW w:w="3319" w:type="pct"/>
            <w:noWrap/>
            <w:hideMark/>
          </w:tcPr>
          <w:p w:rsidR="00AE0B1A" w:rsidRPr="00531087" w:rsidRDefault="00AE0B1A" w:rsidP="00AE0B1A">
            <w:pPr>
              <w:pStyle w:val="Tabletextleft"/>
            </w:pPr>
            <w:r w:rsidRPr="00531087">
              <w:t xml:space="preserve">Medium to light grey- brownish firm mudstone, fissile, with micro </w:t>
            </w:r>
            <w:proofErr w:type="spellStart"/>
            <w:r w:rsidRPr="00531087">
              <w:t>micaceous</w:t>
            </w:r>
            <w:proofErr w:type="spellEnd"/>
            <w:r w:rsidRPr="00531087">
              <w:t xml:space="preserve"> and small amount of slightly calcareous silt.</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806"/>
        </w:trPr>
        <w:tc>
          <w:tcPr>
            <w:tcW w:w="309" w:type="pct"/>
            <w:vMerge w:val="restart"/>
            <w:noWrap/>
            <w:textDirection w:val="btLr"/>
            <w:hideMark/>
          </w:tcPr>
          <w:p w:rsidR="00AE0B1A" w:rsidRPr="009D5B2E" w:rsidRDefault="00AE0B1A" w:rsidP="00AE0B1A">
            <w:pPr>
              <w:pStyle w:val="Tabletextcentred"/>
            </w:pPr>
            <w:r w:rsidRPr="009D5B2E">
              <w:t>Frigate Shale</w:t>
            </w:r>
          </w:p>
        </w:tc>
        <w:tc>
          <w:tcPr>
            <w:tcW w:w="648" w:type="pct"/>
            <w:noWrap/>
            <w:hideMark/>
          </w:tcPr>
          <w:p w:rsidR="00AE0B1A" w:rsidRPr="00531087" w:rsidRDefault="00AE0B1A" w:rsidP="00AE0B1A">
            <w:pPr>
              <w:pStyle w:val="Tabletextleft"/>
            </w:pPr>
            <w:proofErr w:type="spellStart"/>
            <w:r w:rsidRPr="00531087">
              <w:t>Bioturbated</w:t>
            </w:r>
            <w:proofErr w:type="spellEnd"/>
            <w:r w:rsidRPr="00531087">
              <w:t xml:space="preserve"> Fine</w:t>
            </w:r>
            <w:r>
              <w:t>-</w:t>
            </w:r>
            <w:r w:rsidRPr="00531087">
              <w:t>grained sandstone</w:t>
            </w:r>
          </w:p>
        </w:tc>
        <w:tc>
          <w:tcPr>
            <w:tcW w:w="3319" w:type="pct"/>
            <w:noWrap/>
            <w:hideMark/>
          </w:tcPr>
          <w:p w:rsidR="00AE0B1A" w:rsidRPr="00531087" w:rsidRDefault="00AE0B1A" w:rsidP="00AE0B1A">
            <w:pPr>
              <w:pStyle w:val="Tabletextleft"/>
            </w:pPr>
            <w:r w:rsidRPr="00531087">
              <w:t xml:space="preserve">Fine grained sandstone with shale streaks, very glauconitic, </w:t>
            </w:r>
            <w:proofErr w:type="spellStart"/>
            <w:r w:rsidRPr="00531087">
              <w:t>bioturbated</w:t>
            </w:r>
            <w:proofErr w:type="spellEnd"/>
            <w:r w:rsidRPr="00531087">
              <w:t>, medium grey/ brown faintly streaky, up to 80% quartz grains, very fine to fine, angular to sub-rounded, moderately sorted 5-20% siliceous cement silty in part, poor visible porosity.</w:t>
            </w:r>
          </w:p>
        </w:tc>
        <w:tc>
          <w:tcPr>
            <w:tcW w:w="724" w:type="pct"/>
            <w:vMerge w:val="restart"/>
            <w:textDirection w:val="btLr"/>
            <w:hideMark/>
          </w:tcPr>
          <w:p w:rsidR="00AE0B1A" w:rsidRPr="00531087" w:rsidRDefault="00AE0B1A" w:rsidP="00AE0B1A">
            <w:pPr>
              <w:pStyle w:val="Tabletextcentred"/>
            </w:pPr>
            <w:r w:rsidRPr="00531087">
              <w:t xml:space="preserve">Middle </w:t>
            </w:r>
            <w:proofErr w:type="spellStart"/>
            <w:r w:rsidRPr="00531087">
              <w:t>shoreface</w:t>
            </w:r>
            <w:proofErr w:type="spellEnd"/>
            <w:r w:rsidRPr="00531087">
              <w:t xml:space="preserve"> -offshore</w:t>
            </w: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865"/>
        </w:trPr>
        <w:tc>
          <w:tcPr>
            <w:tcW w:w="309" w:type="pct"/>
            <w:vMerge/>
            <w:noWrap/>
            <w:textDirection w:val="btLr"/>
            <w:hideMark/>
          </w:tcPr>
          <w:p w:rsidR="00AE0B1A" w:rsidRPr="00450995" w:rsidRDefault="00AE0B1A" w:rsidP="00AE0B1A">
            <w:pPr>
              <w:pStyle w:val="Tabletextcentred"/>
            </w:pPr>
          </w:p>
        </w:tc>
        <w:tc>
          <w:tcPr>
            <w:tcW w:w="648" w:type="pct"/>
            <w:noWrap/>
            <w:hideMark/>
          </w:tcPr>
          <w:p w:rsidR="00AE0B1A" w:rsidRPr="00531087" w:rsidRDefault="00AE0B1A" w:rsidP="00AE0B1A">
            <w:pPr>
              <w:pStyle w:val="Tabletextleft"/>
            </w:pPr>
            <w:proofErr w:type="spellStart"/>
            <w:r w:rsidRPr="00531087">
              <w:t>Bioturbated</w:t>
            </w:r>
            <w:proofErr w:type="spellEnd"/>
            <w:r w:rsidRPr="00531087">
              <w:t xml:space="preserve"> siltstone with shell fragments</w:t>
            </w:r>
          </w:p>
        </w:tc>
        <w:tc>
          <w:tcPr>
            <w:tcW w:w="3319" w:type="pct"/>
            <w:noWrap/>
            <w:hideMark/>
          </w:tcPr>
          <w:p w:rsidR="00AE0B1A" w:rsidRPr="00531087" w:rsidRDefault="00AE0B1A" w:rsidP="00AE0B1A">
            <w:pPr>
              <w:pStyle w:val="Tabletextleft"/>
            </w:pPr>
            <w:r w:rsidRPr="00531087">
              <w:t xml:space="preserve">Siltstone with fine to very fine sandstone, </w:t>
            </w:r>
            <w:proofErr w:type="spellStart"/>
            <w:r w:rsidRPr="00531087">
              <w:t>bioturbated</w:t>
            </w:r>
            <w:proofErr w:type="spellEnd"/>
            <w:r w:rsidRPr="00531087">
              <w:t>, with shell fragments and calcareous nodules. Medium grey/ brown, moderately hard, massive, 20-40% silt to very fine grained sandstone, 60-80% medium grey/ brown argillaceous material, rare to minor calcareous material, trace pyrite aggregates and streaks, no visible porosity.</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478"/>
        </w:trPr>
        <w:tc>
          <w:tcPr>
            <w:tcW w:w="309" w:type="pct"/>
            <w:vMerge/>
            <w:noWrap/>
            <w:textDirection w:val="btLr"/>
            <w:hideMark/>
          </w:tcPr>
          <w:p w:rsidR="00AE0B1A" w:rsidRPr="00450995" w:rsidRDefault="00AE0B1A" w:rsidP="00AE0B1A">
            <w:pPr>
              <w:pStyle w:val="Tabletextcentred"/>
            </w:pPr>
          </w:p>
        </w:tc>
        <w:tc>
          <w:tcPr>
            <w:tcW w:w="648" w:type="pct"/>
            <w:noWrap/>
            <w:hideMark/>
          </w:tcPr>
          <w:p w:rsidR="00AE0B1A" w:rsidRPr="00531087" w:rsidRDefault="00AE0B1A" w:rsidP="00AE0B1A">
            <w:pPr>
              <w:pStyle w:val="Tabletextleft"/>
            </w:pPr>
            <w:r w:rsidRPr="00531087">
              <w:t>Mudstone</w:t>
            </w:r>
          </w:p>
        </w:tc>
        <w:tc>
          <w:tcPr>
            <w:tcW w:w="3319" w:type="pct"/>
            <w:noWrap/>
            <w:hideMark/>
          </w:tcPr>
          <w:p w:rsidR="00AE0B1A" w:rsidRPr="00531087" w:rsidRDefault="00AE0B1A" w:rsidP="00AE0B1A">
            <w:pPr>
              <w:pStyle w:val="Tabletextleft"/>
            </w:pPr>
            <w:r w:rsidRPr="00531087">
              <w:t xml:space="preserve">Medium grey/ brown moderately hard massive, </w:t>
            </w:r>
            <w:proofErr w:type="spellStart"/>
            <w:r w:rsidRPr="00531087">
              <w:t>bioturbated</w:t>
            </w:r>
            <w:proofErr w:type="spellEnd"/>
            <w:r w:rsidRPr="00531087">
              <w:t>, 0-10% silt, 90-100% medium grey/brown argillaceous material, trace to common calcareous material, trace pyrite.</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762"/>
        </w:trPr>
        <w:tc>
          <w:tcPr>
            <w:tcW w:w="309" w:type="pct"/>
            <w:vMerge w:val="restart"/>
            <w:noWrap/>
            <w:textDirection w:val="btLr"/>
            <w:hideMark/>
          </w:tcPr>
          <w:p w:rsidR="00AE0B1A" w:rsidRPr="009D5B2E" w:rsidRDefault="00AE0B1A" w:rsidP="00AE0B1A">
            <w:pPr>
              <w:pStyle w:val="Tabletextcentred"/>
            </w:pPr>
            <w:proofErr w:type="spellStart"/>
            <w:r w:rsidRPr="009D5B2E">
              <w:t>Elang</w:t>
            </w:r>
            <w:proofErr w:type="spellEnd"/>
          </w:p>
        </w:tc>
        <w:tc>
          <w:tcPr>
            <w:tcW w:w="648" w:type="pct"/>
            <w:noWrap/>
            <w:hideMark/>
          </w:tcPr>
          <w:p w:rsidR="00AE0B1A" w:rsidRPr="00531087" w:rsidRDefault="00AE0B1A" w:rsidP="00AE0B1A">
            <w:pPr>
              <w:pStyle w:val="Tabletextleft"/>
            </w:pPr>
            <w:r w:rsidRPr="00531087">
              <w:t>Medium</w:t>
            </w:r>
            <w:r>
              <w:t>-</w:t>
            </w:r>
            <w:r w:rsidRPr="00531087">
              <w:t xml:space="preserve"> to coarse</w:t>
            </w:r>
            <w:r>
              <w:t>-</w:t>
            </w:r>
            <w:r w:rsidRPr="00531087">
              <w:t xml:space="preserve"> grained sandstone</w:t>
            </w:r>
          </w:p>
        </w:tc>
        <w:tc>
          <w:tcPr>
            <w:tcW w:w="3319" w:type="pct"/>
            <w:noWrap/>
            <w:hideMark/>
          </w:tcPr>
          <w:p w:rsidR="00AE0B1A" w:rsidRPr="00531087" w:rsidRDefault="00AE0B1A" w:rsidP="00AE0B1A">
            <w:pPr>
              <w:pStyle w:val="Tabletextleft"/>
            </w:pPr>
            <w:r w:rsidRPr="00531087">
              <w:t xml:space="preserve">Off-white to light grey, brownish grey firm to moderately hard, massive, clear to translucent quartz grains, medium to medium/ coarse sub-angular to sub-rounded, minor angular, slightly elongate to slightly spherical, well sorted, 10-20% quartz cement, common quartz overgrowths, trace medium black lithic fragments, trace pyrite aggregates, non-calcareous, fair to good visible porosity. </w:t>
            </w:r>
          </w:p>
        </w:tc>
        <w:tc>
          <w:tcPr>
            <w:tcW w:w="724" w:type="pct"/>
            <w:vMerge w:val="restart"/>
            <w:textDirection w:val="btLr"/>
            <w:hideMark/>
          </w:tcPr>
          <w:p w:rsidR="00AE0B1A" w:rsidRPr="00531087" w:rsidRDefault="00AE0B1A" w:rsidP="00AE0B1A">
            <w:pPr>
              <w:pStyle w:val="Tabletextcentred"/>
            </w:pPr>
            <w:r w:rsidRPr="00531087">
              <w:t>Delta plain-</w:t>
            </w:r>
            <w:proofErr w:type="spellStart"/>
            <w:r w:rsidRPr="00531087">
              <w:t>shoreface</w:t>
            </w:r>
            <w:proofErr w:type="spellEnd"/>
          </w:p>
          <w:p w:rsidR="00AE0B1A" w:rsidRPr="00531087" w:rsidRDefault="00AE0B1A" w:rsidP="00AE0B1A">
            <w:pPr>
              <w:pStyle w:val="Tabletextcentred"/>
            </w:pP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885"/>
        </w:trPr>
        <w:tc>
          <w:tcPr>
            <w:tcW w:w="309" w:type="pct"/>
            <w:vMerge/>
            <w:noWrap/>
            <w:textDirection w:val="btLr"/>
            <w:hideMark/>
          </w:tcPr>
          <w:p w:rsidR="00AE0B1A" w:rsidRPr="00450995" w:rsidRDefault="00AE0B1A" w:rsidP="00AE0B1A">
            <w:pPr>
              <w:pStyle w:val="Tabletextcentred"/>
            </w:pPr>
          </w:p>
        </w:tc>
        <w:tc>
          <w:tcPr>
            <w:tcW w:w="648" w:type="pct"/>
            <w:noWrap/>
            <w:hideMark/>
          </w:tcPr>
          <w:p w:rsidR="00AE0B1A" w:rsidRPr="00531087" w:rsidRDefault="00AE0B1A" w:rsidP="00AE0B1A">
            <w:pPr>
              <w:pStyle w:val="Tabletextleft"/>
            </w:pPr>
            <w:r w:rsidRPr="00531087">
              <w:t>Siltstone/</w:t>
            </w:r>
            <w:r>
              <w:t xml:space="preserve"> </w:t>
            </w:r>
            <w:r w:rsidRPr="00531087">
              <w:t>fine</w:t>
            </w:r>
            <w:r>
              <w:t>-</w:t>
            </w:r>
            <w:r w:rsidRPr="00531087">
              <w:t>grained sandstone</w:t>
            </w:r>
          </w:p>
        </w:tc>
        <w:tc>
          <w:tcPr>
            <w:tcW w:w="3319" w:type="pct"/>
            <w:noWrap/>
            <w:hideMark/>
          </w:tcPr>
          <w:p w:rsidR="00AE0B1A" w:rsidRPr="00531087" w:rsidRDefault="00AE0B1A" w:rsidP="00AE0B1A">
            <w:pPr>
              <w:pStyle w:val="Tabletextleft"/>
            </w:pPr>
            <w:r w:rsidRPr="00531087">
              <w:t xml:space="preserve">Siltstone with very fine to fine/medium sandstone, slightly </w:t>
            </w:r>
            <w:proofErr w:type="spellStart"/>
            <w:r w:rsidRPr="00531087">
              <w:t>bioturbated</w:t>
            </w:r>
            <w:proofErr w:type="spellEnd"/>
            <w:r w:rsidRPr="00531087">
              <w:t xml:space="preserve">, argillaceous in part especially adjacent to coal </w:t>
            </w:r>
            <w:proofErr w:type="spellStart"/>
            <w:r w:rsidRPr="00531087">
              <w:t>laminae</w:t>
            </w:r>
            <w:proofErr w:type="spellEnd"/>
            <w:r w:rsidRPr="00531087">
              <w:t xml:space="preserve">, moderately sorted with 10-20 % siliceous cement, nil to 20% medium grey argillaceous </w:t>
            </w:r>
            <w:r w:rsidRPr="0059537E">
              <w:rPr>
                <w:spacing w:val="-2"/>
              </w:rPr>
              <w:t>matrix, trace to 5% coal up to 2</w:t>
            </w:r>
            <w:r w:rsidR="0059537E" w:rsidRPr="0059537E">
              <w:rPr>
                <w:spacing w:val="-2"/>
              </w:rPr>
              <w:t xml:space="preserve"> </w:t>
            </w:r>
            <w:r w:rsidRPr="0059537E">
              <w:rPr>
                <w:spacing w:val="-2"/>
              </w:rPr>
              <w:t xml:space="preserve">mm </w:t>
            </w:r>
            <w:proofErr w:type="spellStart"/>
            <w:r w:rsidRPr="0059537E">
              <w:rPr>
                <w:spacing w:val="-2"/>
              </w:rPr>
              <w:t>laminae</w:t>
            </w:r>
            <w:proofErr w:type="spellEnd"/>
            <w:r w:rsidRPr="0059537E">
              <w:rPr>
                <w:spacing w:val="-2"/>
              </w:rPr>
              <w:t xml:space="preserve"> thinner </w:t>
            </w:r>
            <w:proofErr w:type="spellStart"/>
            <w:r w:rsidRPr="0059537E">
              <w:rPr>
                <w:spacing w:val="-2"/>
              </w:rPr>
              <w:t>laminae</w:t>
            </w:r>
            <w:proofErr w:type="spellEnd"/>
            <w:r w:rsidRPr="0059537E">
              <w:rPr>
                <w:spacing w:val="-2"/>
              </w:rPr>
              <w:t xml:space="preserve"> discontinuous</w:t>
            </w:r>
            <w:r w:rsidRPr="00531087">
              <w:t>, black, hard, sub-</w:t>
            </w:r>
            <w:proofErr w:type="spellStart"/>
            <w:r w:rsidRPr="00531087">
              <w:t>conchoidal</w:t>
            </w:r>
            <w:proofErr w:type="spellEnd"/>
            <w:r w:rsidRPr="00531087">
              <w:t xml:space="preserve"> fracture, silty in part, fair visible porosity.</w:t>
            </w:r>
          </w:p>
        </w:tc>
        <w:tc>
          <w:tcPr>
            <w:tcW w:w="724" w:type="pct"/>
            <w:vMerge/>
            <w:noWrap/>
            <w:textDirection w:val="btLr"/>
            <w:hideMark/>
          </w:tcPr>
          <w:p w:rsidR="00AE0B1A" w:rsidRPr="00531087" w:rsidRDefault="00AE0B1A" w:rsidP="00AE0B1A">
            <w:pPr>
              <w:pStyle w:val="Tabletextcentred"/>
            </w:pP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340"/>
        </w:trPr>
        <w:tc>
          <w:tcPr>
            <w:tcW w:w="309" w:type="pct"/>
            <w:vMerge/>
            <w:noWrap/>
            <w:textDirection w:val="btLr"/>
            <w:hideMark/>
          </w:tcPr>
          <w:p w:rsidR="00AE0B1A" w:rsidRPr="00450995" w:rsidRDefault="00AE0B1A" w:rsidP="00AE0B1A">
            <w:pPr>
              <w:pStyle w:val="Tabletextcentred"/>
            </w:pPr>
          </w:p>
        </w:tc>
        <w:tc>
          <w:tcPr>
            <w:tcW w:w="648" w:type="pct"/>
            <w:noWrap/>
            <w:hideMark/>
          </w:tcPr>
          <w:p w:rsidR="00AE0B1A" w:rsidRPr="00531087" w:rsidRDefault="00AE0B1A" w:rsidP="00AE0B1A">
            <w:pPr>
              <w:pStyle w:val="Tabletextleft"/>
            </w:pPr>
            <w:r w:rsidRPr="00531087">
              <w:t xml:space="preserve">Mudstone </w:t>
            </w:r>
          </w:p>
        </w:tc>
        <w:tc>
          <w:tcPr>
            <w:tcW w:w="3319" w:type="pct"/>
            <w:noWrap/>
            <w:hideMark/>
          </w:tcPr>
          <w:p w:rsidR="00AE0B1A" w:rsidRPr="00531087" w:rsidRDefault="00AE0B1A" w:rsidP="00AE0B1A">
            <w:pPr>
              <w:pStyle w:val="Tabletextleft"/>
            </w:pPr>
            <w:r w:rsidRPr="00531087">
              <w:t>Very thin beds of dark grey mudstone.</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608"/>
        </w:trPr>
        <w:tc>
          <w:tcPr>
            <w:tcW w:w="309" w:type="pct"/>
            <w:vMerge w:val="restart"/>
            <w:noWrap/>
            <w:textDirection w:val="btLr"/>
            <w:hideMark/>
          </w:tcPr>
          <w:p w:rsidR="00AE0B1A" w:rsidRPr="009D5B2E" w:rsidRDefault="00AE0B1A" w:rsidP="00AE0B1A">
            <w:pPr>
              <w:pStyle w:val="Tabletextcentred"/>
            </w:pPr>
            <w:r w:rsidRPr="009D5B2E">
              <w:t>Plover</w:t>
            </w:r>
          </w:p>
        </w:tc>
        <w:tc>
          <w:tcPr>
            <w:tcW w:w="648" w:type="pct"/>
            <w:noWrap/>
            <w:hideMark/>
          </w:tcPr>
          <w:p w:rsidR="00AE0B1A" w:rsidRPr="00531087" w:rsidRDefault="00AE0B1A" w:rsidP="00AE0B1A">
            <w:pPr>
              <w:pStyle w:val="Tabletextleft"/>
            </w:pPr>
            <w:r w:rsidRPr="00531087">
              <w:t>Very fine</w:t>
            </w:r>
            <w:r>
              <w:t>-</w:t>
            </w:r>
            <w:r w:rsidRPr="00531087">
              <w:t xml:space="preserve"> to fine</w:t>
            </w:r>
            <w:r>
              <w:t>-</w:t>
            </w:r>
            <w:r w:rsidRPr="00531087">
              <w:t>grained sandstone</w:t>
            </w:r>
          </w:p>
        </w:tc>
        <w:tc>
          <w:tcPr>
            <w:tcW w:w="3319" w:type="pct"/>
            <w:noWrap/>
            <w:hideMark/>
          </w:tcPr>
          <w:p w:rsidR="00AE0B1A" w:rsidRPr="00531087" w:rsidRDefault="00AE0B1A" w:rsidP="00AE0B1A">
            <w:pPr>
              <w:pStyle w:val="Tabletextleft"/>
            </w:pPr>
            <w:r w:rsidRPr="00531087">
              <w:t>White very fine to fine grained laminated sandstone, well sorted; with sub-angular to sub-rounded grains with some argillaceous matrix.</w:t>
            </w:r>
          </w:p>
        </w:tc>
        <w:tc>
          <w:tcPr>
            <w:tcW w:w="724" w:type="pct"/>
            <w:vMerge/>
            <w:textDirection w:val="btLr"/>
            <w:hideMark/>
          </w:tcPr>
          <w:p w:rsidR="00AE0B1A" w:rsidRPr="00531087" w:rsidRDefault="00AE0B1A" w:rsidP="00AE0B1A">
            <w:pPr>
              <w:pStyle w:val="Tabletextcentred"/>
            </w:pPr>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866"/>
        </w:trPr>
        <w:tc>
          <w:tcPr>
            <w:tcW w:w="309" w:type="pct"/>
            <w:vMerge/>
            <w:noWrap/>
            <w:textDirection w:val="btLr"/>
            <w:hideMark/>
          </w:tcPr>
          <w:p w:rsidR="00AE0B1A" w:rsidRPr="006535D5" w:rsidRDefault="00AE0B1A" w:rsidP="00AE0B1A">
            <w:pPr>
              <w:pStyle w:val="Tabletextcentred"/>
              <w:rPr>
                <w:rFonts w:ascii="Calibri" w:hAnsi="Calibri" w:cs="Calibri"/>
              </w:rPr>
            </w:pPr>
          </w:p>
        </w:tc>
        <w:tc>
          <w:tcPr>
            <w:tcW w:w="648" w:type="pct"/>
            <w:noWrap/>
            <w:hideMark/>
          </w:tcPr>
          <w:p w:rsidR="00AE0B1A" w:rsidRPr="00531087" w:rsidRDefault="00AE0B1A" w:rsidP="00AE0B1A">
            <w:pPr>
              <w:pStyle w:val="Tabletextleft"/>
            </w:pPr>
            <w:r w:rsidRPr="00531087">
              <w:t>Fine</w:t>
            </w:r>
            <w:r>
              <w:t>-</w:t>
            </w:r>
            <w:r w:rsidRPr="00531087">
              <w:t xml:space="preserve"> to coarse</w:t>
            </w:r>
            <w:r>
              <w:t>-grained</w:t>
            </w:r>
            <w:r w:rsidRPr="00531087">
              <w:t xml:space="preserve"> sandstone</w:t>
            </w:r>
          </w:p>
        </w:tc>
        <w:tc>
          <w:tcPr>
            <w:tcW w:w="3319" w:type="pct"/>
            <w:noWrap/>
            <w:hideMark/>
          </w:tcPr>
          <w:p w:rsidR="00AE0B1A" w:rsidRPr="00531087" w:rsidRDefault="00AE0B1A" w:rsidP="00AE0B1A">
            <w:pPr>
              <w:pStyle w:val="Tabletextleft"/>
            </w:pPr>
            <w:r w:rsidRPr="00531087">
              <w:t>Fine to coarse grained sandstone, sub-angular to sub-rounded, poorly to fairly sorted, in places poorly consolidated, with pyrite nodules.</w:t>
            </w:r>
          </w:p>
        </w:tc>
        <w:tc>
          <w:tcPr>
            <w:tcW w:w="724" w:type="pct"/>
            <w:textDirection w:val="btLr"/>
            <w:hideMark/>
          </w:tcPr>
          <w:p w:rsidR="00AE0B1A" w:rsidRPr="00531087" w:rsidRDefault="00AE0B1A" w:rsidP="00AE0B1A">
            <w:pPr>
              <w:pStyle w:val="Tabletextcentred"/>
            </w:pPr>
            <w:r w:rsidRPr="00531087">
              <w:t>Fluvial</w:t>
            </w: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1287"/>
        </w:trPr>
        <w:tc>
          <w:tcPr>
            <w:tcW w:w="309" w:type="pct"/>
            <w:vMerge/>
            <w:noWrap/>
            <w:textDirection w:val="btLr"/>
            <w:hideMark/>
          </w:tcPr>
          <w:p w:rsidR="00AE0B1A" w:rsidRPr="006535D5" w:rsidRDefault="00AE0B1A" w:rsidP="00AE0B1A">
            <w:pPr>
              <w:pStyle w:val="Tabletextcentred"/>
              <w:rPr>
                <w:rFonts w:ascii="Calibri" w:hAnsi="Calibri" w:cs="Calibri"/>
              </w:rPr>
            </w:pPr>
          </w:p>
        </w:tc>
        <w:tc>
          <w:tcPr>
            <w:tcW w:w="648" w:type="pct"/>
            <w:noWrap/>
            <w:hideMark/>
          </w:tcPr>
          <w:p w:rsidR="00AE0B1A" w:rsidRPr="00531087" w:rsidRDefault="00AE0B1A" w:rsidP="00AE0B1A">
            <w:pPr>
              <w:pStyle w:val="Tabletextleft"/>
            </w:pPr>
            <w:r w:rsidRPr="00531087">
              <w:t>Massive pebbly Sandstone.</w:t>
            </w:r>
          </w:p>
        </w:tc>
        <w:tc>
          <w:tcPr>
            <w:tcW w:w="3319" w:type="pct"/>
            <w:noWrap/>
            <w:hideMark/>
          </w:tcPr>
          <w:p w:rsidR="00AE0B1A" w:rsidRPr="00531087" w:rsidRDefault="00AE0B1A" w:rsidP="00AE0B1A">
            <w:pPr>
              <w:pStyle w:val="Tabletextleft"/>
            </w:pPr>
            <w:r w:rsidRPr="00531087">
              <w:t xml:space="preserve">Light to dark brown massive pebbly medium to coarse-grained sandstone, grains sub-rounded to rounded, with some quartz granules, coal streaks and pyrite. </w:t>
            </w:r>
          </w:p>
        </w:tc>
        <w:tc>
          <w:tcPr>
            <w:tcW w:w="724" w:type="pct"/>
            <w:vMerge w:val="restart"/>
            <w:textDirection w:val="btLr"/>
            <w:hideMark/>
          </w:tcPr>
          <w:p w:rsidR="00AE0B1A" w:rsidRPr="00531087" w:rsidRDefault="00AE0B1A" w:rsidP="00AE0B1A">
            <w:pPr>
              <w:pStyle w:val="Tabletextcentred"/>
            </w:pPr>
            <w:r w:rsidRPr="00531087">
              <w:t>Delta plain-</w:t>
            </w:r>
            <w:proofErr w:type="spellStart"/>
            <w:r w:rsidRPr="00531087">
              <w:t>shoreface</w:t>
            </w:r>
            <w:proofErr w:type="spellEnd"/>
          </w:p>
        </w:tc>
      </w:tr>
      <w:tr w:rsidR="00AE0B1A" w:rsidRPr="006535D5" w:rsidTr="00AE0B1A">
        <w:trPr>
          <w:cnfStyle w:val="000000100000" w:firstRow="0" w:lastRow="0" w:firstColumn="0" w:lastColumn="0" w:oddVBand="0" w:evenVBand="0" w:oddHBand="1" w:evenHBand="0" w:firstRowFirstColumn="0" w:firstRowLastColumn="0" w:lastRowFirstColumn="0" w:lastRowLastColumn="0"/>
          <w:trHeight w:val="868"/>
        </w:trPr>
        <w:tc>
          <w:tcPr>
            <w:tcW w:w="309" w:type="pct"/>
            <w:vMerge/>
            <w:noWrap/>
            <w:textDirection w:val="btLr"/>
            <w:hideMark/>
          </w:tcPr>
          <w:p w:rsidR="00AE0B1A" w:rsidRPr="006535D5" w:rsidRDefault="00AE0B1A" w:rsidP="00AE0B1A">
            <w:pPr>
              <w:pStyle w:val="Tabletextcentred"/>
              <w:rPr>
                <w:rFonts w:ascii="Calibri" w:hAnsi="Calibri" w:cs="Calibri"/>
              </w:rPr>
            </w:pPr>
          </w:p>
        </w:tc>
        <w:tc>
          <w:tcPr>
            <w:tcW w:w="648" w:type="pct"/>
            <w:noWrap/>
            <w:hideMark/>
          </w:tcPr>
          <w:p w:rsidR="00AE0B1A" w:rsidRPr="00531087" w:rsidRDefault="00AE0B1A" w:rsidP="00AE0B1A">
            <w:pPr>
              <w:pStyle w:val="Tabletextleft"/>
            </w:pPr>
            <w:r w:rsidRPr="00531087">
              <w:t xml:space="preserve">Siltstone </w:t>
            </w:r>
            <w:proofErr w:type="spellStart"/>
            <w:r w:rsidRPr="00531087">
              <w:t>interbedded</w:t>
            </w:r>
            <w:proofErr w:type="spellEnd"/>
            <w:r w:rsidRPr="00531087">
              <w:t xml:space="preserve"> with fine</w:t>
            </w:r>
            <w:r>
              <w:t>-grained</w:t>
            </w:r>
            <w:r w:rsidRPr="00531087">
              <w:t xml:space="preserve"> sandstone</w:t>
            </w:r>
          </w:p>
        </w:tc>
        <w:tc>
          <w:tcPr>
            <w:tcW w:w="3319" w:type="pct"/>
            <w:noWrap/>
            <w:hideMark/>
          </w:tcPr>
          <w:p w:rsidR="00AE0B1A" w:rsidRPr="00531087" w:rsidRDefault="00AE0B1A" w:rsidP="00AE0B1A">
            <w:pPr>
              <w:pStyle w:val="Tabletextleft"/>
            </w:pPr>
            <w:r w:rsidRPr="00531087">
              <w:t xml:space="preserve">Light grey siltstone </w:t>
            </w:r>
            <w:proofErr w:type="spellStart"/>
            <w:r w:rsidRPr="00531087">
              <w:t>interbedded</w:t>
            </w:r>
            <w:proofErr w:type="spellEnd"/>
            <w:r w:rsidRPr="00531087">
              <w:t xml:space="preserve"> with fine sandstone with some fining upward structure.</w:t>
            </w:r>
          </w:p>
        </w:tc>
        <w:tc>
          <w:tcPr>
            <w:tcW w:w="724" w:type="pct"/>
            <w:vMerge/>
            <w:hideMark/>
          </w:tcPr>
          <w:p w:rsidR="00AE0B1A" w:rsidRPr="00531087" w:rsidRDefault="00AE0B1A" w:rsidP="00AE0B1A">
            <w:pPr>
              <w:pStyle w:val="Tabletextcentred"/>
            </w:pPr>
          </w:p>
        </w:tc>
      </w:tr>
      <w:tr w:rsidR="00AE0B1A" w:rsidRPr="006535D5" w:rsidTr="00AE0B1A">
        <w:trPr>
          <w:cnfStyle w:val="000000010000" w:firstRow="0" w:lastRow="0" w:firstColumn="0" w:lastColumn="0" w:oddVBand="0" w:evenVBand="0" w:oddHBand="0" w:evenHBand="1" w:firstRowFirstColumn="0" w:firstRowLastColumn="0" w:lastRowFirstColumn="0" w:lastRowLastColumn="0"/>
          <w:trHeight w:val="277"/>
        </w:trPr>
        <w:tc>
          <w:tcPr>
            <w:tcW w:w="309" w:type="pct"/>
            <w:vMerge/>
            <w:noWrap/>
            <w:textDirection w:val="btLr"/>
            <w:hideMark/>
          </w:tcPr>
          <w:p w:rsidR="00AE0B1A" w:rsidRPr="006535D5" w:rsidRDefault="00AE0B1A" w:rsidP="00AE0B1A">
            <w:pPr>
              <w:pStyle w:val="Tabletextcentred"/>
              <w:rPr>
                <w:rFonts w:ascii="Calibri" w:hAnsi="Calibri" w:cs="Calibri"/>
              </w:rPr>
            </w:pPr>
          </w:p>
        </w:tc>
        <w:tc>
          <w:tcPr>
            <w:tcW w:w="648" w:type="pct"/>
            <w:noWrap/>
            <w:hideMark/>
          </w:tcPr>
          <w:p w:rsidR="00AE0B1A" w:rsidRPr="00531087" w:rsidRDefault="00AE0B1A" w:rsidP="00AE0B1A">
            <w:pPr>
              <w:pStyle w:val="Tabletextleft"/>
            </w:pPr>
            <w:r w:rsidRPr="00531087">
              <w:t>Mudstone</w:t>
            </w:r>
          </w:p>
        </w:tc>
        <w:tc>
          <w:tcPr>
            <w:tcW w:w="3319" w:type="pct"/>
            <w:noWrap/>
            <w:hideMark/>
          </w:tcPr>
          <w:p w:rsidR="00AE0B1A" w:rsidRPr="00531087" w:rsidRDefault="00AE0B1A" w:rsidP="00AE0B1A">
            <w:pPr>
              <w:pStyle w:val="Tabletextleft"/>
            </w:pPr>
            <w:r w:rsidRPr="00531087">
              <w:t>Very thin beds of dark grey mudstone.</w:t>
            </w:r>
          </w:p>
        </w:tc>
        <w:tc>
          <w:tcPr>
            <w:tcW w:w="724" w:type="pct"/>
            <w:vMerge/>
            <w:hideMark/>
          </w:tcPr>
          <w:p w:rsidR="00AE0B1A" w:rsidRPr="00531087" w:rsidRDefault="00AE0B1A" w:rsidP="00AE0B1A">
            <w:pPr>
              <w:pStyle w:val="Tabletextcentred"/>
            </w:pPr>
          </w:p>
        </w:tc>
      </w:tr>
    </w:tbl>
    <w:p w:rsidR="00AE0B1A" w:rsidRDefault="00AE0B1A" w:rsidP="00AE0B1A">
      <w:pPr>
        <w:pStyle w:val="Tabletitle"/>
      </w:pPr>
      <w:bookmarkStart w:id="497" w:name="_Ref380156553"/>
      <w:bookmarkStart w:id="498" w:name="_Toc372790378"/>
      <w:bookmarkStart w:id="499" w:name="_Toc378252832"/>
      <w:bookmarkStart w:id="500" w:name="_Toc378253156"/>
      <w:bookmarkStart w:id="501" w:name="_Toc378253480"/>
      <w:bookmarkStart w:id="502" w:name="_Toc378253804"/>
      <w:bookmarkStart w:id="503" w:name="_Toc378254128"/>
      <w:bookmarkStart w:id="504" w:name="_Toc378254452"/>
      <w:bookmarkStart w:id="505" w:name="_Toc378254776"/>
      <w:bookmarkStart w:id="506" w:name="_Toc378255100"/>
      <w:bookmarkStart w:id="507" w:name="_Toc378255449"/>
      <w:r>
        <w:lastRenderedPageBreak/>
        <w:t>Table</w:t>
      </w:r>
      <w:r w:rsidR="00AE5C2D">
        <w:t> </w:t>
      </w:r>
      <w:fldSimple w:instr=" STYLEREF 1 \s ">
        <w:r w:rsidR="00F64E4F">
          <w:rPr>
            <w:noProof/>
          </w:rPr>
          <w:t>6</w:t>
        </w:r>
      </w:fldSimple>
      <w:r>
        <w:t>.</w:t>
      </w:r>
      <w:fldSimple w:instr=" SEQ Table \* ARABIC \s 1 ">
        <w:r w:rsidR="00F64E4F">
          <w:rPr>
            <w:noProof/>
          </w:rPr>
          <w:t>2</w:t>
        </w:r>
      </w:fldSimple>
      <w:bookmarkEnd w:id="497"/>
      <w:r>
        <w:t xml:space="preserve"> </w:t>
      </w:r>
      <w:r w:rsidRPr="009A3265">
        <w:t xml:space="preserve">Summary of the </w:t>
      </w:r>
      <w:proofErr w:type="spellStart"/>
      <w:r w:rsidRPr="009A3265">
        <w:t>petrophysical</w:t>
      </w:r>
      <w:proofErr w:type="spellEnd"/>
      <w:r w:rsidRPr="009A3265">
        <w:t xml:space="preserve"> analysis results of the reservoirs in key wells. See Appendix B for full details.</w:t>
      </w:r>
      <w:bookmarkEnd w:id="498"/>
      <w:bookmarkEnd w:id="499"/>
      <w:bookmarkEnd w:id="500"/>
      <w:bookmarkEnd w:id="501"/>
      <w:bookmarkEnd w:id="502"/>
      <w:bookmarkEnd w:id="503"/>
      <w:bookmarkEnd w:id="504"/>
      <w:bookmarkEnd w:id="505"/>
      <w:bookmarkEnd w:id="506"/>
      <w:bookmarkEnd w:id="507"/>
    </w:p>
    <w:tbl>
      <w:tblPr>
        <w:tblStyle w:val="TableGAHeaderRow"/>
        <w:tblW w:w="9072" w:type="dxa"/>
        <w:tblLayout w:type="fixed"/>
        <w:tblLook w:val="04A0" w:firstRow="1" w:lastRow="0" w:firstColumn="1" w:lastColumn="0" w:noHBand="0" w:noVBand="1"/>
        <w:tblCaption w:val="Table 6.2"/>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276"/>
        <w:gridCol w:w="1134"/>
        <w:gridCol w:w="992"/>
        <w:gridCol w:w="993"/>
        <w:gridCol w:w="992"/>
        <w:gridCol w:w="1152"/>
        <w:gridCol w:w="1068"/>
        <w:gridCol w:w="1465"/>
      </w:tblGrid>
      <w:tr w:rsidR="00AE0B1A" w:rsidRPr="00E62EE3" w:rsidTr="00016FA4">
        <w:trPr>
          <w:cnfStyle w:val="100000000000" w:firstRow="1" w:lastRow="0" w:firstColumn="0" w:lastColumn="0" w:oddVBand="0" w:evenVBand="0" w:oddHBand="0" w:evenHBand="0" w:firstRowFirstColumn="0" w:firstRowLastColumn="0" w:lastRowFirstColumn="0" w:lastRowLastColumn="0"/>
          <w:trHeight w:val="57"/>
          <w:tblHeader/>
        </w:trPr>
        <w:tc>
          <w:tcPr>
            <w:tcW w:w="1276" w:type="dxa"/>
            <w:noWrap/>
            <w:hideMark/>
          </w:tcPr>
          <w:p w:rsidR="00AE0B1A" w:rsidRPr="00593575" w:rsidRDefault="00AE0B1A" w:rsidP="00AE0B1A">
            <w:pPr>
              <w:pStyle w:val="Tabletextleft"/>
            </w:pPr>
            <w:r w:rsidRPr="00593575">
              <w:t>Well</w:t>
            </w:r>
          </w:p>
        </w:tc>
        <w:tc>
          <w:tcPr>
            <w:tcW w:w="1134" w:type="dxa"/>
            <w:noWrap/>
            <w:hideMark/>
          </w:tcPr>
          <w:p w:rsidR="00AE0B1A" w:rsidRPr="00FD0A94" w:rsidRDefault="00AE0B1A" w:rsidP="00FD0A94">
            <w:pPr>
              <w:pStyle w:val="Tabletextleft"/>
            </w:pPr>
            <w:r w:rsidRPr="00FD0A94">
              <w:t>Reservoir</w:t>
            </w:r>
          </w:p>
        </w:tc>
        <w:tc>
          <w:tcPr>
            <w:tcW w:w="992" w:type="dxa"/>
            <w:hideMark/>
          </w:tcPr>
          <w:p w:rsidR="00AE0B1A" w:rsidRPr="00593575" w:rsidRDefault="00AE0B1A" w:rsidP="00AE0B1A">
            <w:pPr>
              <w:pStyle w:val="Tabletextleft"/>
            </w:pPr>
            <w:r>
              <w:t>Net thickness (m)</w:t>
            </w:r>
          </w:p>
        </w:tc>
        <w:tc>
          <w:tcPr>
            <w:tcW w:w="993" w:type="dxa"/>
            <w:noWrap/>
            <w:hideMark/>
          </w:tcPr>
          <w:p w:rsidR="00AE0B1A" w:rsidRPr="00593575" w:rsidRDefault="00AE0B1A" w:rsidP="00AE0B1A">
            <w:pPr>
              <w:pStyle w:val="Tabletextleft"/>
            </w:pPr>
            <w:r>
              <w:t>Net Sand (fraction)</w:t>
            </w:r>
          </w:p>
        </w:tc>
        <w:tc>
          <w:tcPr>
            <w:tcW w:w="992" w:type="dxa"/>
            <w:noWrap/>
            <w:hideMark/>
          </w:tcPr>
          <w:p w:rsidR="00AE0B1A" w:rsidRPr="00593575" w:rsidRDefault="00AE0B1A" w:rsidP="00AE0B1A">
            <w:pPr>
              <w:pStyle w:val="Tabletextleft"/>
            </w:pPr>
            <w:r>
              <w:t>Sand thickness (m)</w:t>
            </w:r>
          </w:p>
        </w:tc>
        <w:tc>
          <w:tcPr>
            <w:tcW w:w="1152" w:type="dxa"/>
            <w:noWrap/>
            <w:hideMark/>
          </w:tcPr>
          <w:p w:rsidR="00AE0B1A" w:rsidRPr="00593575" w:rsidRDefault="00AE0B1A" w:rsidP="00AE0B1A">
            <w:pPr>
              <w:pStyle w:val="Tabletextleft"/>
            </w:pPr>
            <w:r>
              <w:t>Gross (fraction)</w:t>
            </w:r>
          </w:p>
        </w:tc>
        <w:tc>
          <w:tcPr>
            <w:tcW w:w="1068" w:type="dxa"/>
            <w:noWrap/>
            <w:hideMark/>
          </w:tcPr>
          <w:p w:rsidR="00AE0B1A" w:rsidRPr="00593575" w:rsidRDefault="00AE0B1A" w:rsidP="00AE0B1A">
            <w:pPr>
              <w:pStyle w:val="Tabletextleft"/>
            </w:pPr>
            <w:r>
              <w:t>Log Porosity (%)</w:t>
            </w:r>
          </w:p>
        </w:tc>
        <w:tc>
          <w:tcPr>
            <w:tcW w:w="1465" w:type="dxa"/>
            <w:noWrap/>
            <w:hideMark/>
          </w:tcPr>
          <w:p w:rsidR="00AE0B1A" w:rsidRPr="00593575" w:rsidRDefault="00AE0B1A" w:rsidP="00AE0B1A">
            <w:pPr>
              <w:pStyle w:val="Tabletextleft"/>
            </w:pPr>
            <w:r w:rsidRPr="00593575">
              <w:t xml:space="preserve">Log Permeability </w:t>
            </w:r>
            <w:r>
              <w:t>(</w:t>
            </w:r>
            <w:proofErr w:type="spellStart"/>
            <w:r w:rsidRPr="00593575">
              <w:t>mD</w:t>
            </w:r>
            <w:proofErr w:type="spellEnd"/>
            <w:r>
              <w:t>)</w:t>
            </w:r>
          </w:p>
        </w:tc>
      </w:tr>
      <w:tr w:rsidR="00AE0B1A" w:rsidRPr="00E62EE3" w:rsidTr="00016FA4">
        <w:trPr>
          <w:cnfStyle w:val="000000100000" w:firstRow="0" w:lastRow="0" w:firstColumn="0" w:lastColumn="0" w:oddVBand="0" w:evenVBand="0" w:oddHBand="1" w:evenHBand="0"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r w:rsidRPr="00593575">
              <w:t>Bougainville 1</w:t>
            </w:r>
          </w:p>
        </w:tc>
        <w:tc>
          <w:tcPr>
            <w:tcW w:w="1134" w:type="dxa"/>
            <w:noWrap/>
            <w:hideMark/>
          </w:tcPr>
          <w:p w:rsidR="00AE0B1A" w:rsidRPr="00FD0A94" w:rsidRDefault="00AE0B1A" w:rsidP="00FD0A94">
            <w:pPr>
              <w:pStyle w:val="Tabletextleft"/>
            </w:pPr>
            <w:r w:rsidRPr="00FD0A94">
              <w:t>Cretaceous</w:t>
            </w:r>
          </w:p>
        </w:tc>
        <w:tc>
          <w:tcPr>
            <w:tcW w:w="992" w:type="dxa"/>
            <w:hideMark/>
          </w:tcPr>
          <w:p w:rsidR="00AE0B1A" w:rsidRPr="00593575" w:rsidRDefault="00AE0B1A" w:rsidP="00FD0A94">
            <w:pPr>
              <w:pStyle w:val="Tabletextright"/>
            </w:pPr>
            <w:r w:rsidRPr="00593575">
              <w:t>66.1</w:t>
            </w:r>
          </w:p>
        </w:tc>
        <w:tc>
          <w:tcPr>
            <w:tcW w:w="993" w:type="dxa"/>
            <w:noWrap/>
            <w:hideMark/>
          </w:tcPr>
          <w:p w:rsidR="00AE0B1A" w:rsidRPr="00593575" w:rsidRDefault="00AE0B1A" w:rsidP="00FD0A94">
            <w:pPr>
              <w:pStyle w:val="Tabletextright"/>
            </w:pPr>
            <w:r w:rsidRPr="00593575">
              <w:t>0.94</w:t>
            </w:r>
          </w:p>
        </w:tc>
        <w:tc>
          <w:tcPr>
            <w:tcW w:w="992" w:type="dxa"/>
            <w:noWrap/>
            <w:hideMark/>
          </w:tcPr>
          <w:p w:rsidR="00AE0B1A" w:rsidRPr="00593575" w:rsidRDefault="00AE0B1A" w:rsidP="00FD0A94">
            <w:pPr>
              <w:pStyle w:val="Tabletextright"/>
            </w:pPr>
            <w:r w:rsidRPr="00593575">
              <w:t>66.1</w:t>
            </w:r>
          </w:p>
        </w:tc>
        <w:tc>
          <w:tcPr>
            <w:tcW w:w="1152" w:type="dxa"/>
            <w:noWrap/>
            <w:hideMark/>
          </w:tcPr>
          <w:p w:rsidR="00AE0B1A" w:rsidRPr="00593575" w:rsidRDefault="00AE0B1A" w:rsidP="00FD0A94">
            <w:pPr>
              <w:pStyle w:val="Tabletextright"/>
            </w:pPr>
            <w:r w:rsidRPr="00593575">
              <w:t>0.94</w:t>
            </w:r>
          </w:p>
        </w:tc>
        <w:tc>
          <w:tcPr>
            <w:tcW w:w="1068" w:type="dxa"/>
            <w:noWrap/>
            <w:hideMark/>
          </w:tcPr>
          <w:p w:rsidR="00AE0B1A" w:rsidRPr="00593575" w:rsidRDefault="00AE0B1A" w:rsidP="00FD0A94">
            <w:pPr>
              <w:pStyle w:val="Tabletextright"/>
            </w:pPr>
            <w:r w:rsidRPr="00593575">
              <w:t>30.4</w:t>
            </w:r>
          </w:p>
        </w:tc>
        <w:tc>
          <w:tcPr>
            <w:tcW w:w="1465" w:type="dxa"/>
            <w:noWrap/>
            <w:hideMark/>
          </w:tcPr>
          <w:p w:rsidR="00AE0B1A" w:rsidRPr="00593575" w:rsidRDefault="00AE0B1A" w:rsidP="00FD0A94">
            <w:pPr>
              <w:pStyle w:val="Tabletextright"/>
            </w:pPr>
            <w:r w:rsidRPr="00593575">
              <w:t>1181</w:t>
            </w:r>
          </w:p>
        </w:tc>
      </w:tr>
      <w:tr w:rsidR="00AE0B1A" w:rsidRPr="00E62EE3" w:rsidTr="00016FA4">
        <w:trPr>
          <w:cnfStyle w:val="000000010000" w:firstRow="0" w:lastRow="0" w:firstColumn="0" w:lastColumn="0" w:oddVBand="0" w:evenVBand="0" w:oddHBand="0" w:evenHBand="1"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p>
        </w:tc>
        <w:tc>
          <w:tcPr>
            <w:tcW w:w="1134" w:type="dxa"/>
            <w:noWrap/>
            <w:hideMark/>
          </w:tcPr>
          <w:p w:rsidR="00AE0B1A" w:rsidRPr="00FD0A94" w:rsidRDefault="00AE0B1A" w:rsidP="00FD0A94">
            <w:pPr>
              <w:pStyle w:val="Tabletextleft"/>
            </w:pPr>
            <w:r w:rsidRPr="00FD0A94">
              <w:t>Jurassic</w:t>
            </w:r>
          </w:p>
        </w:tc>
        <w:tc>
          <w:tcPr>
            <w:tcW w:w="992" w:type="dxa"/>
            <w:hideMark/>
          </w:tcPr>
          <w:p w:rsidR="00AE0B1A" w:rsidRPr="00593575" w:rsidRDefault="00AE0B1A" w:rsidP="00FD0A94">
            <w:pPr>
              <w:pStyle w:val="Tabletextright"/>
            </w:pPr>
            <w:r w:rsidRPr="00593575">
              <w:t>65</w:t>
            </w:r>
          </w:p>
        </w:tc>
        <w:tc>
          <w:tcPr>
            <w:tcW w:w="993" w:type="dxa"/>
            <w:noWrap/>
            <w:hideMark/>
          </w:tcPr>
          <w:p w:rsidR="00AE0B1A" w:rsidRPr="00593575" w:rsidRDefault="00AE0B1A" w:rsidP="00FD0A94">
            <w:pPr>
              <w:pStyle w:val="Tabletextright"/>
            </w:pPr>
            <w:r w:rsidRPr="00593575">
              <w:t>0.97</w:t>
            </w:r>
          </w:p>
        </w:tc>
        <w:tc>
          <w:tcPr>
            <w:tcW w:w="992" w:type="dxa"/>
            <w:noWrap/>
            <w:hideMark/>
          </w:tcPr>
          <w:p w:rsidR="00AE0B1A" w:rsidRPr="00593575" w:rsidRDefault="00AE0B1A" w:rsidP="00FD0A94">
            <w:pPr>
              <w:pStyle w:val="Tabletextright"/>
            </w:pPr>
            <w:r w:rsidRPr="00593575">
              <w:t>65</w:t>
            </w:r>
          </w:p>
        </w:tc>
        <w:tc>
          <w:tcPr>
            <w:tcW w:w="1152" w:type="dxa"/>
            <w:noWrap/>
            <w:hideMark/>
          </w:tcPr>
          <w:p w:rsidR="00AE0B1A" w:rsidRPr="00593575" w:rsidRDefault="00AE0B1A" w:rsidP="00FD0A94">
            <w:pPr>
              <w:pStyle w:val="Tabletextright"/>
            </w:pPr>
            <w:r w:rsidRPr="00593575">
              <w:t>0.97</w:t>
            </w:r>
          </w:p>
        </w:tc>
        <w:tc>
          <w:tcPr>
            <w:tcW w:w="1068" w:type="dxa"/>
            <w:noWrap/>
            <w:hideMark/>
          </w:tcPr>
          <w:p w:rsidR="00AE0B1A" w:rsidRPr="00593575" w:rsidRDefault="00AE0B1A" w:rsidP="00FD0A94">
            <w:pPr>
              <w:pStyle w:val="Tabletextright"/>
            </w:pPr>
            <w:r w:rsidRPr="00593575">
              <w:t>29.8</w:t>
            </w:r>
          </w:p>
        </w:tc>
        <w:tc>
          <w:tcPr>
            <w:tcW w:w="1465" w:type="dxa"/>
            <w:noWrap/>
            <w:hideMark/>
          </w:tcPr>
          <w:p w:rsidR="00AE0B1A" w:rsidRPr="00593575" w:rsidRDefault="00AE0B1A" w:rsidP="00FD0A94">
            <w:pPr>
              <w:pStyle w:val="Tabletextright"/>
            </w:pPr>
            <w:r w:rsidRPr="00593575">
              <w:t>4022</w:t>
            </w:r>
          </w:p>
        </w:tc>
      </w:tr>
      <w:tr w:rsidR="00AE0B1A" w:rsidRPr="00E62EE3" w:rsidTr="00016FA4">
        <w:trPr>
          <w:cnfStyle w:val="000000100000" w:firstRow="0" w:lastRow="0" w:firstColumn="0" w:lastColumn="0" w:oddVBand="0" w:evenVBand="0" w:oddHBand="1" w:evenHBand="0"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r w:rsidRPr="00593575">
              <w:t>Curlew 1</w:t>
            </w:r>
          </w:p>
        </w:tc>
        <w:tc>
          <w:tcPr>
            <w:tcW w:w="1134" w:type="dxa"/>
            <w:noWrap/>
            <w:hideMark/>
          </w:tcPr>
          <w:p w:rsidR="00AE0B1A" w:rsidRPr="00FD0A94" w:rsidRDefault="00AE0B1A" w:rsidP="00FD0A94">
            <w:pPr>
              <w:pStyle w:val="Tabletextleft"/>
            </w:pPr>
            <w:r w:rsidRPr="00FD0A94">
              <w:t>Cretaceous</w:t>
            </w:r>
          </w:p>
        </w:tc>
        <w:tc>
          <w:tcPr>
            <w:tcW w:w="992" w:type="dxa"/>
            <w:hideMark/>
          </w:tcPr>
          <w:p w:rsidR="00AE0B1A" w:rsidRPr="00593575" w:rsidRDefault="00AE0B1A" w:rsidP="00FD0A94">
            <w:pPr>
              <w:pStyle w:val="Tabletextright"/>
            </w:pPr>
            <w:r w:rsidRPr="00593575">
              <w:t>145.2</w:t>
            </w:r>
          </w:p>
        </w:tc>
        <w:tc>
          <w:tcPr>
            <w:tcW w:w="993" w:type="dxa"/>
            <w:noWrap/>
            <w:hideMark/>
          </w:tcPr>
          <w:p w:rsidR="00AE0B1A" w:rsidRPr="00593575" w:rsidRDefault="00AE0B1A" w:rsidP="00FD0A94">
            <w:pPr>
              <w:pStyle w:val="Tabletextright"/>
            </w:pPr>
            <w:r w:rsidRPr="00593575">
              <w:t>0.77</w:t>
            </w:r>
          </w:p>
        </w:tc>
        <w:tc>
          <w:tcPr>
            <w:tcW w:w="992" w:type="dxa"/>
            <w:noWrap/>
            <w:hideMark/>
          </w:tcPr>
          <w:p w:rsidR="00AE0B1A" w:rsidRPr="00593575" w:rsidRDefault="00AE0B1A" w:rsidP="00FD0A94">
            <w:pPr>
              <w:pStyle w:val="Tabletextright"/>
            </w:pPr>
            <w:r w:rsidRPr="00593575">
              <w:t>145.2</w:t>
            </w:r>
          </w:p>
        </w:tc>
        <w:tc>
          <w:tcPr>
            <w:tcW w:w="1152" w:type="dxa"/>
            <w:noWrap/>
            <w:hideMark/>
          </w:tcPr>
          <w:p w:rsidR="00AE0B1A" w:rsidRPr="00593575" w:rsidRDefault="00AE0B1A" w:rsidP="00FD0A94">
            <w:pPr>
              <w:pStyle w:val="Tabletextright"/>
            </w:pPr>
            <w:r w:rsidRPr="00593575">
              <w:t>0.77</w:t>
            </w:r>
          </w:p>
        </w:tc>
        <w:tc>
          <w:tcPr>
            <w:tcW w:w="1068" w:type="dxa"/>
            <w:noWrap/>
            <w:hideMark/>
          </w:tcPr>
          <w:p w:rsidR="00AE0B1A" w:rsidRPr="00593575" w:rsidRDefault="00AE0B1A" w:rsidP="00FD0A94">
            <w:pPr>
              <w:pStyle w:val="Tabletextright"/>
            </w:pPr>
            <w:r w:rsidRPr="00593575">
              <w:t>18.5</w:t>
            </w:r>
          </w:p>
        </w:tc>
        <w:tc>
          <w:tcPr>
            <w:tcW w:w="1465" w:type="dxa"/>
            <w:noWrap/>
            <w:hideMark/>
          </w:tcPr>
          <w:p w:rsidR="00AE0B1A" w:rsidRPr="00593575" w:rsidRDefault="00AE0B1A" w:rsidP="00FD0A94">
            <w:pPr>
              <w:pStyle w:val="Tabletextright"/>
            </w:pPr>
            <w:r w:rsidRPr="00593575">
              <w:t>127</w:t>
            </w:r>
          </w:p>
        </w:tc>
      </w:tr>
      <w:tr w:rsidR="00AE0B1A" w:rsidRPr="00E62EE3" w:rsidTr="00016FA4">
        <w:trPr>
          <w:cnfStyle w:val="000000010000" w:firstRow="0" w:lastRow="0" w:firstColumn="0" w:lastColumn="0" w:oddVBand="0" w:evenVBand="0" w:oddHBand="0" w:evenHBand="1"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p>
        </w:tc>
        <w:tc>
          <w:tcPr>
            <w:tcW w:w="1134" w:type="dxa"/>
            <w:noWrap/>
            <w:hideMark/>
          </w:tcPr>
          <w:p w:rsidR="00AE0B1A" w:rsidRPr="00FD0A94" w:rsidRDefault="00AE0B1A" w:rsidP="00FD0A94">
            <w:pPr>
              <w:pStyle w:val="Tabletextleft"/>
            </w:pPr>
            <w:r w:rsidRPr="00FD0A94">
              <w:t>Jurassic</w:t>
            </w:r>
          </w:p>
        </w:tc>
        <w:tc>
          <w:tcPr>
            <w:tcW w:w="992" w:type="dxa"/>
            <w:hideMark/>
          </w:tcPr>
          <w:p w:rsidR="00AE0B1A" w:rsidRPr="00593575" w:rsidRDefault="00AE0B1A" w:rsidP="00FD0A94">
            <w:pPr>
              <w:pStyle w:val="Tabletextright"/>
            </w:pPr>
            <w:r w:rsidRPr="00593575">
              <w:t>35.8</w:t>
            </w:r>
          </w:p>
        </w:tc>
        <w:tc>
          <w:tcPr>
            <w:tcW w:w="993" w:type="dxa"/>
            <w:noWrap/>
            <w:hideMark/>
          </w:tcPr>
          <w:p w:rsidR="00AE0B1A" w:rsidRPr="00593575" w:rsidRDefault="00AE0B1A" w:rsidP="00FD0A94">
            <w:pPr>
              <w:pStyle w:val="Tabletextright"/>
            </w:pPr>
            <w:r w:rsidRPr="00593575">
              <w:t>0.83</w:t>
            </w:r>
          </w:p>
        </w:tc>
        <w:tc>
          <w:tcPr>
            <w:tcW w:w="992" w:type="dxa"/>
            <w:noWrap/>
            <w:hideMark/>
          </w:tcPr>
          <w:p w:rsidR="00AE0B1A" w:rsidRPr="00593575" w:rsidRDefault="00AE0B1A" w:rsidP="00FD0A94">
            <w:pPr>
              <w:pStyle w:val="Tabletextright"/>
            </w:pPr>
            <w:r w:rsidRPr="00593575">
              <w:t>35.1</w:t>
            </w:r>
          </w:p>
        </w:tc>
        <w:tc>
          <w:tcPr>
            <w:tcW w:w="1152" w:type="dxa"/>
            <w:noWrap/>
            <w:hideMark/>
          </w:tcPr>
          <w:p w:rsidR="00AE0B1A" w:rsidRPr="00593575" w:rsidRDefault="00AE0B1A" w:rsidP="00FD0A94">
            <w:pPr>
              <w:pStyle w:val="Tabletextright"/>
            </w:pPr>
            <w:r w:rsidRPr="00593575">
              <w:t>0.82</w:t>
            </w:r>
          </w:p>
        </w:tc>
        <w:tc>
          <w:tcPr>
            <w:tcW w:w="1068" w:type="dxa"/>
            <w:noWrap/>
            <w:hideMark/>
          </w:tcPr>
          <w:p w:rsidR="00AE0B1A" w:rsidRPr="00593575" w:rsidRDefault="00AE0B1A" w:rsidP="00FD0A94">
            <w:pPr>
              <w:pStyle w:val="Tabletextright"/>
            </w:pPr>
            <w:r w:rsidRPr="00593575">
              <w:t>11.6</w:t>
            </w:r>
          </w:p>
        </w:tc>
        <w:tc>
          <w:tcPr>
            <w:tcW w:w="1465" w:type="dxa"/>
            <w:noWrap/>
            <w:hideMark/>
          </w:tcPr>
          <w:p w:rsidR="00AE0B1A" w:rsidRPr="00593575" w:rsidRDefault="00AE0B1A" w:rsidP="00FD0A94">
            <w:pPr>
              <w:pStyle w:val="Tabletextright"/>
            </w:pPr>
            <w:r w:rsidRPr="00593575">
              <w:t>12</w:t>
            </w:r>
          </w:p>
        </w:tc>
      </w:tr>
      <w:tr w:rsidR="00AE0B1A" w:rsidRPr="00E62EE3" w:rsidTr="00016FA4">
        <w:trPr>
          <w:cnfStyle w:val="000000100000" w:firstRow="0" w:lastRow="0" w:firstColumn="0" w:lastColumn="0" w:oddVBand="0" w:evenVBand="0" w:oddHBand="1" w:evenHBand="0"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r w:rsidRPr="00593575">
              <w:t>Flat Top 1</w:t>
            </w:r>
          </w:p>
        </w:tc>
        <w:tc>
          <w:tcPr>
            <w:tcW w:w="1134" w:type="dxa"/>
            <w:noWrap/>
            <w:hideMark/>
          </w:tcPr>
          <w:p w:rsidR="00AE0B1A" w:rsidRPr="00FD0A94" w:rsidRDefault="00AE0B1A" w:rsidP="00FD0A94">
            <w:pPr>
              <w:pStyle w:val="Tabletextleft"/>
            </w:pPr>
            <w:r w:rsidRPr="00FD0A94">
              <w:t>Cretaceous</w:t>
            </w:r>
          </w:p>
        </w:tc>
        <w:tc>
          <w:tcPr>
            <w:tcW w:w="992" w:type="dxa"/>
            <w:hideMark/>
          </w:tcPr>
          <w:p w:rsidR="00AE0B1A" w:rsidRPr="00593575" w:rsidRDefault="00AE0B1A" w:rsidP="00FD0A94">
            <w:pPr>
              <w:pStyle w:val="Tabletextright"/>
            </w:pPr>
            <w:r w:rsidRPr="00593575">
              <w:t>34</w:t>
            </w:r>
          </w:p>
        </w:tc>
        <w:tc>
          <w:tcPr>
            <w:tcW w:w="993" w:type="dxa"/>
            <w:noWrap/>
            <w:hideMark/>
          </w:tcPr>
          <w:p w:rsidR="00AE0B1A" w:rsidRPr="00593575" w:rsidRDefault="00AE0B1A" w:rsidP="00FD0A94">
            <w:pPr>
              <w:pStyle w:val="Tabletextright"/>
            </w:pPr>
            <w:r w:rsidRPr="00593575">
              <w:t>1</w:t>
            </w:r>
          </w:p>
        </w:tc>
        <w:tc>
          <w:tcPr>
            <w:tcW w:w="992" w:type="dxa"/>
            <w:noWrap/>
            <w:hideMark/>
          </w:tcPr>
          <w:p w:rsidR="00AE0B1A" w:rsidRPr="00593575" w:rsidRDefault="00AE0B1A" w:rsidP="00FD0A94">
            <w:pPr>
              <w:pStyle w:val="Tabletextright"/>
            </w:pPr>
            <w:r w:rsidRPr="00593575">
              <w:t>34</w:t>
            </w:r>
          </w:p>
        </w:tc>
        <w:tc>
          <w:tcPr>
            <w:tcW w:w="1152" w:type="dxa"/>
            <w:noWrap/>
            <w:hideMark/>
          </w:tcPr>
          <w:p w:rsidR="00AE0B1A" w:rsidRPr="00593575" w:rsidRDefault="00AE0B1A" w:rsidP="00FD0A94">
            <w:pPr>
              <w:pStyle w:val="Tabletextright"/>
            </w:pPr>
            <w:r w:rsidRPr="00593575">
              <w:t>1</w:t>
            </w:r>
          </w:p>
        </w:tc>
        <w:tc>
          <w:tcPr>
            <w:tcW w:w="1068" w:type="dxa"/>
            <w:noWrap/>
            <w:hideMark/>
          </w:tcPr>
          <w:p w:rsidR="00AE0B1A" w:rsidRPr="00593575" w:rsidRDefault="00AE0B1A" w:rsidP="00FD0A94">
            <w:pPr>
              <w:pStyle w:val="Tabletextright"/>
            </w:pPr>
            <w:r w:rsidRPr="00593575">
              <w:t>23.8</w:t>
            </w:r>
          </w:p>
        </w:tc>
        <w:tc>
          <w:tcPr>
            <w:tcW w:w="1465" w:type="dxa"/>
            <w:noWrap/>
            <w:hideMark/>
          </w:tcPr>
          <w:p w:rsidR="00AE0B1A" w:rsidRPr="00593575" w:rsidRDefault="00AE0B1A" w:rsidP="00FD0A94">
            <w:pPr>
              <w:pStyle w:val="Tabletextright"/>
            </w:pPr>
            <w:r w:rsidRPr="00593575">
              <w:t>345</w:t>
            </w:r>
          </w:p>
        </w:tc>
      </w:tr>
      <w:tr w:rsidR="00AE0B1A" w:rsidRPr="00E62EE3" w:rsidTr="00016FA4">
        <w:trPr>
          <w:cnfStyle w:val="000000010000" w:firstRow="0" w:lastRow="0" w:firstColumn="0" w:lastColumn="0" w:oddVBand="0" w:evenVBand="0" w:oddHBand="0" w:evenHBand="1"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p>
        </w:tc>
        <w:tc>
          <w:tcPr>
            <w:tcW w:w="1134" w:type="dxa"/>
            <w:noWrap/>
            <w:hideMark/>
          </w:tcPr>
          <w:p w:rsidR="00AE0B1A" w:rsidRPr="00FD0A94" w:rsidRDefault="00AE0B1A" w:rsidP="00FD0A94">
            <w:pPr>
              <w:pStyle w:val="Tabletextleft"/>
            </w:pPr>
            <w:r w:rsidRPr="00FD0A94">
              <w:t>Jurassic</w:t>
            </w:r>
          </w:p>
        </w:tc>
        <w:tc>
          <w:tcPr>
            <w:tcW w:w="992" w:type="dxa"/>
            <w:hideMark/>
          </w:tcPr>
          <w:p w:rsidR="00AE0B1A" w:rsidRPr="00593575" w:rsidRDefault="00AE0B1A" w:rsidP="00FD0A94">
            <w:pPr>
              <w:pStyle w:val="Tabletextright"/>
            </w:pPr>
            <w:r w:rsidRPr="00593575">
              <w:t>178.4</w:t>
            </w:r>
          </w:p>
        </w:tc>
        <w:tc>
          <w:tcPr>
            <w:tcW w:w="993" w:type="dxa"/>
            <w:noWrap/>
            <w:hideMark/>
          </w:tcPr>
          <w:p w:rsidR="00AE0B1A" w:rsidRPr="00593575" w:rsidRDefault="00AE0B1A" w:rsidP="00FD0A94">
            <w:pPr>
              <w:pStyle w:val="Tabletextright"/>
            </w:pPr>
            <w:r w:rsidRPr="00593575">
              <w:t>0.91</w:t>
            </w:r>
          </w:p>
        </w:tc>
        <w:tc>
          <w:tcPr>
            <w:tcW w:w="992" w:type="dxa"/>
            <w:noWrap/>
            <w:hideMark/>
          </w:tcPr>
          <w:p w:rsidR="00AE0B1A" w:rsidRPr="00593575" w:rsidRDefault="00AE0B1A" w:rsidP="00FD0A94">
            <w:pPr>
              <w:pStyle w:val="Tabletextright"/>
            </w:pPr>
            <w:r w:rsidRPr="00593575">
              <w:t>178.4</w:t>
            </w:r>
          </w:p>
        </w:tc>
        <w:tc>
          <w:tcPr>
            <w:tcW w:w="1152" w:type="dxa"/>
            <w:noWrap/>
            <w:hideMark/>
          </w:tcPr>
          <w:p w:rsidR="00AE0B1A" w:rsidRPr="00593575" w:rsidRDefault="00AE0B1A" w:rsidP="00FD0A94">
            <w:pPr>
              <w:pStyle w:val="Tabletextright"/>
            </w:pPr>
            <w:r w:rsidRPr="00593575">
              <w:t>0.91</w:t>
            </w:r>
          </w:p>
        </w:tc>
        <w:tc>
          <w:tcPr>
            <w:tcW w:w="1068" w:type="dxa"/>
            <w:noWrap/>
            <w:hideMark/>
          </w:tcPr>
          <w:p w:rsidR="00AE0B1A" w:rsidRPr="00593575" w:rsidRDefault="00AE0B1A" w:rsidP="00FD0A94">
            <w:pPr>
              <w:pStyle w:val="Tabletextright"/>
            </w:pPr>
            <w:r w:rsidRPr="00593575">
              <w:t>23.9</w:t>
            </w:r>
          </w:p>
        </w:tc>
        <w:tc>
          <w:tcPr>
            <w:tcW w:w="1465" w:type="dxa"/>
            <w:noWrap/>
            <w:hideMark/>
          </w:tcPr>
          <w:p w:rsidR="00AE0B1A" w:rsidRPr="00593575" w:rsidRDefault="00AE0B1A" w:rsidP="00FD0A94">
            <w:pPr>
              <w:pStyle w:val="Tabletextright"/>
            </w:pPr>
            <w:r w:rsidRPr="00593575">
              <w:t>622</w:t>
            </w:r>
          </w:p>
        </w:tc>
      </w:tr>
      <w:tr w:rsidR="00AE0B1A" w:rsidRPr="00E62EE3" w:rsidTr="00016FA4">
        <w:trPr>
          <w:cnfStyle w:val="000000100000" w:firstRow="0" w:lastRow="0" w:firstColumn="0" w:lastColumn="0" w:oddVBand="0" w:evenVBand="0" w:oddHBand="1" w:evenHBand="0"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r w:rsidRPr="00593575">
              <w:t>Frigate 1</w:t>
            </w:r>
          </w:p>
        </w:tc>
        <w:tc>
          <w:tcPr>
            <w:tcW w:w="1134" w:type="dxa"/>
            <w:noWrap/>
            <w:hideMark/>
          </w:tcPr>
          <w:p w:rsidR="00AE0B1A" w:rsidRPr="00FD0A94" w:rsidRDefault="00AE0B1A" w:rsidP="00FD0A94">
            <w:pPr>
              <w:pStyle w:val="Tabletextleft"/>
            </w:pPr>
            <w:r w:rsidRPr="00FD0A94">
              <w:t>Cretaceous</w:t>
            </w:r>
          </w:p>
        </w:tc>
        <w:tc>
          <w:tcPr>
            <w:tcW w:w="992" w:type="dxa"/>
            <w:hideMark/>
          </w:tcPr>
          <w:p w:rsidR="00AE0B1A" w:rsidRPr="00593575" w:rsidRDefault="00AE0B1A" w:rsidP="00FD0A94">
            <w:pPr>
              <w:pStyle w:val="Tabletextright"/>
            </w:pPr>
            <w:r w:rsidRPr="00593575">
              <w:t>108.2</w:t>
            </w:r>
          </w:p>
        </w:tc>
        <w:tc>
          <w:tcPr>
            <w:tcW w:w="993" w:type="dxa"/>
            <w:noWrap/>
            <w:hideMark/>
          </w:tcPr>
          <w:p w:rsidR="00AE0B1A" w:rsidRPr="00593575" w:rsidRDefault="00AE0B1A" w:rsidP="00FD0A94">
            <w:pPr>
              <w:pStyle w:val="Tabletextright"/>
            </w:pPr>
            <w:r w:rsidRPr="00593575">
              <w:t>0.81</w:t>
            </w:r>
          </w:p>
        </w:tc>
        <w:tc>
          <w:tcPr>
            <w:tcW w:w="992" w:type="dxa"/>
            <w:noWrap/>
            <w:hideMark/>
          </w:tcPr>
          <w:p w:rsidR="00AE0B1A" w:rsidRPr="00593575" w:rsidRDefault="00AE0B1A" w:rsidP="00FD0A94">
            <w:pPr>
              <w:pStyle w:val="Tabletextright"/>
            </w:pPr>
            <w:r w:rsidRPr="00593575">
              <w:t>108.2</w:t>
            </w:r>
          </w:p>
        </w:tc>
        <w:tc>
          <w:tcPr>
            <w:tcW w:w="1152" w:type="dxa"/>
            <w:noWrap/>
            <w:hideMark/>
          </w:tcPr>
          <w:p w:rsidR="00AE0B1A" w:rsidRPr="00593575" w:rsidRDefault="00AE0B1A" w:rsidP="00FD0A94">
            <w:pPr>
              <w:pStyle w:val="Tabletextright"/>
            </w:pPr>
            <w:r w:rsidRPr="00593575">
              <w:t>0.81</w:t>
            </w:r>
          </w:p>
        </w:tc>
        <w:tc>
          <w:tcPr>
            <w:tcW w:w="1068" w:type="dxa"/>
            <w:noWrap/>
            <w:hideMark/>
          </w:tcPr>
          <w:p w:rsidR="00AE0B1A" w:rsidRPr="00593575" w:rsidRDefault="00AE0B1A" w:rsidP="00FD0A94">
            <w:pPr>
              <w:pStyle w:val="Tabletextright"/>
            </w:pPr>
            <w:r w:rsidRPr="00593575">
              <w:t>20.6</w:t>
            </w:r>
          </w:p>
        </w:tc>
        <w:tc>
          <w:tcPr>
            <w:tcW w:w="1465" w:type="dxa"/>
            <w:noWrap/>
            <w:hideMark/>
          </w:tcPr>
          <w:p w:rsidR="00AE0B1A" w:rsidRPr="00593575" w:rsidRDefault="00AE0B1A" w:rsidP="00FD0A94">
            <w:pPr>
              <w:pStyle w:val="Tabletextright"/>
            </w:pPr>
            <w:r w:rsidRPr="00593575">
              <w:t>189</w:t>
            </w:r>
          </w:p>
        </w:tc>
      </w:tr>
      <w:tr w:rsidR="00AE0B1A" w:rsidRPr="00E62EE3" w:rsidTr="00016FA4">
        <w:trPr>
          <w:cnfStyle w:val="000000010000" w:firstRow="0" w:lastRow="0" w:firstColumn="0" w:lastColumn="0" w:oddVBand="0" w:evenVBand="0" w:oddHBand="0" w:evenHBand="1"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p>
        </w:tc>
        <w:tc>
          <w:tcPr>
            <w:tcW w:w="1134" w:type="dxa"/>
            <w:noWrap/>
            <w:hideMark/>
          </w:tcPr>
          <w:p w:rsidR="00AE0B1A" w:rsidRPr="00FD0A94" w:rsidRDefault="00AE0B1A" w:rsidP="00FD0A94">
            <w:pPr>
              <w:pStyle w:val="Tabletextleft"/>
            </w:pPr>
            <w:r w:rsidRPr="00FD0A94">
              <w:t>Jurassic</w:t>
            </w:r>
          </w:p>
        </w:tc>
        <w:tc>
          <w:tcPr>
            <w:tcW w:w="992" w:type="dxa"/>
            <w:hideMark/>
          </w:tcPr>
          <w:p w:rsidR="00AE0B1A" w:rsidRPr="00593575" w:rsidRDefault="00AE0B1A" w:rsidP="00FD0A94">
            <w:pPr>
              <w:pStyle w:val="Tabletextright"/>
            </w:pPr>
            <w:r w:rsidRPr="00593575">
              <w:t>323.7</w:t>
            </w:r>
          </w:p>
        </w:tc>
        <w:tc>
          <w:tcPr>
            <w:tcW w:w="993" w:type="dxa"/>
            <w:noWrap/>
            <w:hideMark/>
          </w:tcPr>
          <w:p w:rsidR="00AE0B1A" w:rsidRPr="00593575" w:rsidRDefault="00AE0B1A" w:rsidP="00FD0A94">
            <w:pPr>
              <w:pStyle w:val="Tabletextright"/>
            </w:pPr>
            <w:r w:rsidRPr="00593575">
              <w:t>0.95</w:t>
            </w:r>
          </w:p>
        </w:tc>
        <w:tc>
          <w:tcPr>
            <w:tcW w:w="992" w:type="dxa"/>
            <w:noWrap/>
            <w:hideMark/>
          </w:tcPr>
          <w:p w:rsidR="00AE0B1A" w:rsidRPr="00593575" w:rsidRDefault="00AE0B1A" w:rsidP="00FD0A94">
            <w:pPr>
              <w:pStyle w:val="Tabletextright"/>
            </w:pPr>
            <w:r w:rsidRPr="00593575">
              <w:t>323.7</w:t>
            </w:r>
          </w:p>
        </w:tc>
        <w:tc>
          <w:tcPr>
            <w:tcW w:w="1152" w:type="dxa"/>
            <w:noWrap/>
            <w:hideMark/>
          </w:tcPr>
          <w:p w:rsidR="00AE0B1A" w:rsidRPr="00593575" w:rsidRDefault="00AE0B1A" w:rsidP="00FD0A94">
            <w:pPr>
              <w:pStyle w:val="Tabletextright"/>
            </w:pPr>
            <w:r w:rsidRPr="00593575">
              <w:t>0.95</w:t>
            </w:r>
          </w:p>
        </w:tc>
        <w:tc>
          <w:tcPr>
            <w:tcW w:w="1068" w:type="dxa"/>
            <w:noWrap/>
            <w:hideMark/>
          </w:tcPr>
          <w:p w:rsidR="00AE0B1A" w:rsidRPr="00593575" w:rsidRDefault="00AE0B1A" w:rsidP="00FD0A94">
            <w:pPr>
              <w:pStyle w:val="Tabletextright"/>
            </w:pPr>
            <w:r w:rsidRPr="00593575">
              <w:t>18.4</w:t>
            </w:r>
          </w:p>
        </w:tc>
        <w:tc>
          <w:tcPr>
            <w:tcW w:w="1465" w:type="dxa"/>
            <w:noWrap/>
            <w:hideMark/>
          </w:tcPr>
          <w:p w:rsidR="00AE0B1A" w:rsidRPr="00593575" w:rsidRDefault="00AE0B1A" w:rsidP="00FD0A94">
            <w:pPr>
              <w:pStyle w:val="Tabletextright"/>
            </w:pPr>
            <w:r w:rsidRPr="00593575">
              <w:t>106</w:t>
            </w:r>
          </w:p>
        </w:tc>
      </w:tr>
      <w:tr w:rsidR="00AE0B1A" w:rsidRPr="00E62EE3" w:rsidTr="00016FA4">
        <w:trPr>
          <w:cnfStyle w:val="000000100000" w:firstRow="0" w:lastRow="0" w:firstColumn="0" w:lastColumn="0" w:oddVBand="0" w:evenVBand="0" w:oddHBand="1" w:evenHBand="0"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r w:rsidRPr="00593575">
              <w:t>Gull 1</w:t>
            </w:r>
          </w:p>
        </w:tc>
        <w:tc>
          <w:tcPr>
            <w:tcW w:w="1134" w:type="dxa"/>
            <w:noWrap/>
            <w:hideMark/>
          </w:tcPr>
          <w:p w:rsidR="00AE0B1A" w:rsidRPr="00FD0A94" w:rsidRDefault="00AE0B1A" w:rsidP="00FD0A94">
            <w:pPr>
              <w:pStyle w:val="Tabletextleft"/>
            </w:pPr>
            <w:r w:rsidRPr="00FD0A94">
              <w:t>Cretaceous</w:t>
            </w:r>
          </w:p>
        </w:tc>
        <w:tc>
          <w:tcPr>
            <w:tcW w:w="992" w:type="dxa"/>
            <w:hideMark/>
          </w:tcPr>
          <w:p w:rsidR="00AE0B1A" w:rsidRPr="00593575" w:rsidRDefault="00AE0B1A" w:rsidP="00FD0A94">
            <w:pPr>
              <w:pStyle w:val="Tabletextright"/>
            </w:pPr>
            <w:r w:rsidRPr="00593575">
              <w:t>238.3</w:t>
            </w:r>
          </w:p>
        </w:tc>
        <w:tc>
          <w:tcPr>
            <w:tcW w:w="993" w:type="dxa"/>
            <w:noWrap/>
            <w:hideMark/>
          </w:tcPr>
          <w:p w:rsidR="00AE0B1A" w:rsidRPr="00593575" w:rsidRDefault="00AE0B1A" w:rsidP="00FD0A94">
            <w:pPr>
              <w:pStyle w:val="Tabletextright"/>
            </w:pPr>
            <w:r w:rsidRPr="00593575">
              <w:t>0.88</w:t>
            </w:r>
          </w:p>
        </w:tc>
        <w:tc>
          <w:tcPr>
            <w:tcW w:w="992" w:type="dxa"/>
            <w:noWrap/>
            <w:hideMark/>
          </w:tcPr>
          <w:p w:rsidR="00AE0B1A" w:rsidRPr="00593575" w:rsidRDefault="00AE0B1A" w:rsidP="00FD0A94">
            <w:pPr>
              <w:pStyle w:val="Tabletextright"/>
            </w:pPr>
            <w:r w:rsidRPr="00593575">
              <w:t>237.2</w:t>
            </w:r>
          </w:p>
        </w:tc>
        <w:tc>
          <w:tcPr>
            <w:tcW w:w="1152" w:type="dxa"/>
            <w:noWrap/>
            <w:hideMark/>
          </w:tcPr>
          <w:p w:rsidR="00AE0B1A" w:rsidRPr="00593575" w:rsidRDefault="00AE0B1A" w:rsidP="00FD0A94">
            <w:pPr>
              <w:pStyle w:val="Tabletextright"/>
            </w:pPr>
            <w:r w:rsidRPr="00593575">
              <w:t>0.88</w:t>
            </w:r>
          </w:p>
        </w:tc>
        <w:tc>
          <w:tcPr>
            <w:tcW w:w="1068" w:type="dxa"/>
            <w:noWrap/>
            <w:hideMark/>
          </w:tcPr>
          <w:p w:rsidR="00AE0B1A" w:rsidRPr="00593575" w:rsidRDefault="00AE0B1A" w:rsidP="00FD0A94">
            <w:pPr>
              <w:pStyle w:val="Tabletextright"/>
            </w:pPr>
            <w:r w:rsidRPr="00593575">
              <w:t>12.8</w:t>
            </w:r>
          </w:p>
        </w:tc>
        <w:tc>
          <w:tcPr>
            <w:tcW w:w="1465" w:type="dxa"/>
            <w:noWrap/>
            <w:hideMark/>
          </w:tcPr>
          <w:p w:rsidR="00AE0B1A" w:rsidRPr="00593575" w:rsidRDefault="00AE0B1A" w:rsidP="00FD0A94">
            <w:pPr>
              <w:pStyle w:val="Tabletextright"/>
            </w:pPr>
            <w:r w:rsidRPr="00593575">
              <w:t>44</w:t>
            </w:r>
          </w:p>
        </w:tc>
      </w:tr>
      <w:tr w:rsidR="00AE0B1A" w:rsidRPr="00E62EE3" w:rsidTr="00016FA4">
        <w:trPr>
          <w:cnfStyle w:val="000000010000" w:firstRow="0" w:lastRow="0" w:firstColumn="0" w:lastColumn="0" w:oddVBand="0" w:evenVBand="0" w:oddHBand="0" w:evenHBand="1"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p>
        </w:tc>
        <w:tc>
          <w:tcPr>
            <w:tcW w:w="1134" w:type="dxa"/>
            <w:noWrap/>
            <w:hideMark/>
          </w:tcPr>
          <w:p w:rsidR="00AE0B1A" w:rsidRPr="00FD0A94" w:rsidRDefault="00AE0B1A" w:rsidP="00FD0A94">
            <w:pPr>
              <w:pStyle w:val="Tabletextleft"/>
            </w:pPr>
            <w:r w:rsidRPr="00FD0A94">
              <w:t>Jurassic</w:t>
            </w:r>
          </w:p>
        </w:tc>
        <w:tc>
          <w:tcPr>
            <w:tcW w:w="992" w:type="dxa"/>
            <w:hideMark/>
          </w:tcPr>
          <w:p w:rsidR="00AE0B1A" w:rsidRPr="00593575" w:rsidRDefault="00AE0B1A" w:rsidP="00FD0A94">
            <w:pPr>
              <w:pStyle w:val="Tabletextright"/>
            </w:pPr>
            <w:r w:rsidRPr="00593575">
              <w:t>572.2</w:t>
            </w:r>
          </w:p>
        </w:tc>
        <w:tc>
          <w:tcPr>
            <w:tcW w:w="993" w:type="dxa"/>
            <w:noWrap/>
            <w:hideMark/>
          </w:tcPr>
          <w:p w:rsidR="00AE0B1A" w:rsidRPr="00593575" w:rsidRDefault="00AE0B1A" w:rsidP="00FD0A94">
            <w:pPr>
              <w:pStyle w:val="Tabletextright"/>
            </w:pPr>
            <w:r w:rsidRPr="00593575">
              <w:t>0.85</w:t>
            </w:r>
          </w:p>
        </w:tc>
        <w:tc>
          <w:tcPr>
            <w:tcW w:w="992" w:type="dxa"/>
            <w:noWrap/>
            <w:hideMark/>
          </w:tcPr>
          <w:p w:rsidR="00AE0B1A" w:rsidRPr="00593575" w:rsidRDefault="00AE0B1A" w:rsidP="00FD0A94">
            <w:pPr>
              <w:pStyle w:val="Tabletextright"/>
            </w:pPr>
            <w:r w:rsidRPr="00593575">
              <w:t>477.9</w:t>
            </w:r>
          </w:p>
        </w:tc>
        <w:tc>
          <w:tcPr>
            <w:tcW w:w="1152" w:type="dxa"/>
            <w:noWrap/>
            <w:hideMark/>
          </w:tcPr>
          <w:p w:rsidR="00AE0B1A" w:rsidRPr="00593575" w:rsidRDefault="00AE0B1A" w:rsidP="00FD0A94">
            <w:pPr>
              <w:pStyle w:val="Tabletextright"/>
            </w:pPr>
            <w:r w:rsidRPr="00593575">
              <w:t>0.71</w:t>
            </w:r>
          </w:p>
        </w:tc>
        <w:tc>
          <w:tcPr>
            <w:tcW w:w="1068" w:type="dxa"/>
            <w:noWrap/>
            <w:hideMark/>
          </w:tcPr>
          <w:p w:rsidR="00AE0B1A" w:rsidRPr="00593575" w:rsidRDefault="00AE0B1A" w:rsidP="00FD0A94">
            <w:pPr>
              <w:pStyle w:val="Tabletextright"/>
            </w:pPr>
            <w:r w:rsidRPr="00593575">
              <w:t>11.3</w:t>
            </w:r>
          </w:p>
        </w:tc>
        <w:tc>
          <w:tcPr>
            <w:tcW w:w="1465" w:type="dxa"/>
            <w:noWrap/>
            <w:hideMark/>
          </w:tcPr>
          <w:p w:rsidR="00AE0B1A" w:rsidRPr="00593575" w:rsidRDefault="00AE0B1A" w:rsidP="00FD0A94">
            <w:pPr>
              <w:pStyle w:val="Tabletextright"/>
            </w:pPr>
            <w:r w:rsidRPr="00593575">
              <w:t>11</w:t>
            </w:r>
          </w:p>
        </w:tc>
      </w:tr>
      <w:tr w:rsidR="00AE0B1A" w:rsidRPr="00E62EE3" w:rsidTr="00016FA4">
        <w:trPr>
          <w:cnfStyle w:val="000000100000" w:firstRow="0" w:lastRow="0" w:firstColumn="0" w:lastColumn="0" w:oddVBand="0" w:evenVBand="0" w:oddHBand="1" w:evenHBand="0"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r w:rsidRPr="00593575">
              <w:t>Jacaranda 1</w:t>
            </w:r>
          </w:p>
        </w:tc>
        <w:tc>
          <w:tcPr>
            <w:tcW w:w="1134" w:type="dxa"/>
            <w:noWrap/>
            <w:hideMark/>
          </w:tcPr>
          <w:p w:rsidR="00AE0B1A" w:rsidRPr="00FD0A94" w:rsidRDefault="00AE0B1A" w:rsidP="00FD0A94">
            <w:pPr>
              <w:pStyle w:val="Tabletextleft"/>
            </w:pPr>
            <w:r w:rsidRPr="00FD0A94">
              <w:t>Cretaceous</w:t>
            </w:r>
          </w:p>
        </w:tc>
        <w:tc>
          <w:tcPr>
            <w:tcW w:w="992" w:type="dxa"/>
            <w:hideMark/>
          </w:tcPr>
          <w:p w:rsidR="00AE0B1A" w:rsidRPr="00593575" w:rsidRDefault="00AE0B1A" w:rsidP="00FD0A94">
            <w:pPr>
              <w:pStyle w:val="Tabletextright"/>
            </w:pPr>
            <w:r w:rsidRPr="00593575">
              <w:t>115.3</w:t>
            </w:r>
          </w:p>
        </w:tc>
        <w:tc>
          <w:tcPr>
            <w:tcW w:w="993" w:type="dxa"/>
            <w:noWrap/>
            <w:hideMark/>
          </w:tcPr>
          <w:p w:rsidR="00AE0B1A" w:rsidRPr="00593575" w:rsidRDefault="00AE0B1A" w:rsidP="00FD0A94">
            <w:pPr>
              <w:pStyle w:val="Tabletextright"/>
            </w:pPr>
            <w:r w:rsidRPr="00593575">
              <w:t>0.58</w:t>
            </w:r>
          </w:p>
        </w:tc>
        <w:tc>
          <w:tcPr>
            <w:tcW w:w="992" w:type="dxa"/>
            <w:noWrap/>
            <w:hideMark/>
          </w:tcPr>
          <w:p w:rsidR="00AE0B1A" w:rsidRPr="00593575" w:rsidRDefault="00AE0B1A" w:rsidP="00FD0A94">
            <w:pPr>
              <w:pStyle w:val="Tabletextright"/>
            </w:pPr>
            <w:r w:rsidRPr="00593575">
              <w:t>111.6</w:t>
            </w:r>
          </w:p>
        </w:tc>
        <w:tc>
          <w:tcPr>
            <w:tcW w:w="1152" w:type="dxa"/>
            <w:noWrap/>
            <w:hideMark/>
          </w:tcPr>
          <w:p w:rsidR="00AE0B1A" w:rsidRPr="00593575" w:rsidRDefault="00AE0B1A" w:rsidP="00FD0A94">
            <w:pPr>
              <w:pStyle w:val="Tabletextright"/>
            </w:pPr>
            <w:r w:rsidRPr="00593575">
              <w:t>0.56</w:t>
            </w:r>
          </w:p>
        </w:tc>
        <w:tc>
          <w:tcPr>
            <w:tcW w:w="1068" w:type="dxa"/>
            <w:noWrap/>
            <w:hideMark/>
          </w:tcPr>
          <w:p w:rsidR="00AE0B1A" w:rsidRPr="00593575" w:rsidRDefault="00AE0B1A" w:rsidP="00FD0A94">
            <w:pPr>
              <w:pStyle w:val="Tabletextright"/>
            </w:pPr>
            <w:r w:rsidRPr="00593575">
              <w:t>8</w:t>
            </w:r>
          </w:p>
        </w:tc>
        <w:tc>
          <w:tcPr>
            <w:tcW w:w="1465" w:type="dxa"/>
            <w:noWrap/>
            <w:hideMark/>
          </w:tcPr>
          <w:p w:rsidR="00AE0B1A" w:rsidRPr="00593575" w:rsidRDefault="00AE0B1A" w:rsidP="00FD0A94">
            <w:pPr>
              <w:pStyle w:val="Tabletextright"/>
            </w:pPr>
            <w:r w:rsidRPr="00593575">
              <w:t>18</w:t>
            </w:r>
          </w:p>
        </w:tc>
      </w:tr>
      <w:tr w:rsidR="00AE0B1A" w:rsidRPr="00E62EE3" w:rsidTr="00016FA4">
        <w:trPr>
          <w:cnfStyle w:val="000000010000" w:firstRow="0" w:lastRow="0" w:firstColumn="0" w:lastColumn="0" w:oddVBand="0" w:evenVBand="0" w:oddHBand="0" w:evenHBand="1"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p>
        </w:tc>
        <w:tc>
          <w:tcPr>
            <w:tcW w:w="1134" w:type="dxa"/>
            <w:noWrap/>
            <w:hideMark/>
          </w:tcPr>
          <w:p w:rsidR="00AE0B1A" w:rsidRPr="00FD0A94" w:rsidRDefault="00AE0B1A" w:rsidP="00FD0A94">
            <w:pPr>
              <w:pStyle w:val="Tabletextleft"/>
            </w:pPr>
            <w:r w:rsidRPr="00FD0A94">
              <w:t>Jurassic</w:t>
            </w:r>
          </w:p>
        </w:tc>
        <w:tc>
          <w:tcPr>
            <w:tcW w:w="992" w:type="dxa"/>
            <w:hideMark/>
          </w:tcPr>
          <w:p w:rsidR="00AE0B1A" w:rsidRPr="00593575" w:rsidRDefault="00AE0B1A" w:rsidP="00FD0A94">
            <w:pPr>
              <w:pStyle w:val="Tabletextright"/>
            </w:pPr>
            <w:r w:rsidRPr="00593575">
              <w:t>204.6</w:t>
            </w:r>
          </w:p>
        </w:tc>
        <w:tc>
          <w:tcPr>
            <w:tcW w:w="993" w:type="dxa"/>
            <w:noWrap/>
            <w:hideMark/>
          </w:tcPr>
          <w:p w:rsidR="00AE0B1A" w:rsidRPr="00593575" w:rsidRDefault="00AE0B1A" w:rsidP="00FD0A94">
            <w:pPr>
              <w:pStyle w:val="Tabletextright"/>
            </w:pPr>
            <w:r w:rsidRPr="00593575">
              <w:t>0.86</w:t>
            </w:r>
          </w:p>
        </w:tc>
        <w:tc>
          <w:tcPr>
            <w:tcW w:w="992" w:type="dxa"/>
            <w:noWrap/>
            <w:hideMark/>
          </w:tcPr>
          <w:p w:rsidR="00AE0B1A" w:rsidRPr="00593575" w:rsidRDefault="00AE0B1A" w:rsidP="00FD0A94">
            <w:pPr>
              <w:pStyle w:val="Tabletextright"/>
            </w:pPr>
            <w:r w:rsidRPr="00593575">
              <w:t>136.3</w:t>
            </w:r>
          </w:p>
        </w:tc>
        <w:tc>
          <w:tcPr>
            <w:tcW w:w="1152" w:type="dxa"/>
            <w:noWrap/>
            <w:hideMark/>
          </w:tcPr>
          <w:p w:rsidR="00AE0B1A" w:rsidRPr="00593575" w:rsidRDefault="00AE0B1A" w:rsidP="00FD0A94">
            <w:pPr>
              <w:pStyle w:val="Tabletextright"/>
            </w:pPr>
            <w:r w:rsidRPr="00593575">
              <w:t>0.58</w:t>
            </w:r>
          </w:p>
        </w:tc>
        <w:tc>
          <w:tcPr>
            <w:tcW w:w="1068" w:type="dxa"/>
            <w:noWrap/>
            <w:hideMark/>
          </w:tcPr>
          <w:p w:rsidR="00AE0B1A" w:rsidRPr="00593575" w:rsidRDefault="00AE0B1A" w:rsidP="00FD0A94">
            <w:pPr>
              <w:pStyle w:val="Tabletextright"/>
            </w:pPr>
            <w:r w:rsidRPr="00593575">
              <w:t>8.5</w:t>
            </w:r>
          </w:p>
        </w:tc>
        <w:tc>
          <w:tcPr>
            <w:tcW w:w="1465" w:type="dxa"/>
            <w:noWrap/>
            <w:hideMark/>
          </w:tcPr>
          <w:p w:rsidR="00AE0B1A" w:rsidRPr="00593575" w:rsidRDefault="00AE0B1A" w:rsidP="00FD0A94">
            <w:pPr>
              <w:pStyle w:val="Tabletextright"/>
            </w:pPr>
            <w:r w:rsidRPr="00593575">
              <w:t>4</w:t>
            </w:r>
          </w:p>
        </w:tc>
      </w:tr>
      <w:tr w:rsidR="00AE0B1A" w:rsidRPr="00E62EE3" w:rsidTr="00016FA4">
        <w:trPr>
          <w:cnfStyle w:val="000000100000" w:firstRow="0" w:lastRow="0" w:firstColumn="0" w:lastColumn="0" w:oddVBand="0" w:evenVBand="0" w:oddHBand="1" w:evenHBand="0"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r w:rsidRPr="00593575">
              <w:t>Newby 1</w:t>
            </w:r>
          </w:p>
        </w:tc>
        <w:tc>
          <w:tcPr>
            <w:tcW w:w="1134" w:type="dxa"/>
            <w:noWrap/>
            <w:hideMark/>
          </w:tcPr>
          <w:p w:rsidR="00AE0B1A" w:rsidRPr="00FD0A94" w:rsidRDefault="00AE0B1A" w:rsidP="00FD0A94">
            <w:pPr>
              <w:pStyle w:val="Tabletextleft"/>
            </w:pPr>
            <w:r w:rsidRPr="00FD0A94">
              <w:t>Cretaceous</w:t>
            </w:r>
          </w:p>
        </w:tc>
        <w:tc>
          <w:tcPr>
            <w:tcW w:w="992" w:type="dxa"/>
            <w:hideMark/>
          </w:tcPr>
          <w:p w:rsidR="00AE0B1A" w:rsidRPr="00593575" w:rsidRDefault="00AE0B1A" w:rsidP="00FD0A94">
            <w:pPr>
              <w:pStyle w:val="Tabletextright"/>
            </w:pPr>
            <w:r w:rsidRPr="00593575">
              <w:t>85</w:t>
            </w:r>
          </w:p>
        </w:tc>
        <w:tc>
          <w:tcPr>
            <w:tcW w:w="993" w:type="dxa"/>
            <w:noWrap/>
            <w:hideMark/>
          </w:tcPr>
          <w:p w:rsidR="00AE0B1A" w:rsidRPr="00593575" w:rsidRDefault="00AE0B1A" w:rsidP="00FD0A94">
            <w:pPr>
              <w:pStyle w:val="Tabletextright"/>
            </w:pPr>
            <w:r w:rsidRPr="00593575">
              <w:t>0.85</w:t>
            </w:r>
          </w:p>
        </w:tc>
        <w:tc>
          <w:tcPr>
            <w:tcW w:w="992" w:type="dxa"/>
            <w:noWrap/>
            <w:hideMark/>
          </w:tcPr>
          <w:p w:rsidR="00AE0B1A" w:rsidRPr="00593575" w:rsidRDefault="00AE0B1A" w:rsidP="00FD0A94">
            <w:pPr>
              <w:pStyle w:val="Tabletextright"/>
            </w:pPr>
            <w:r w:rsidRPr="00593575">
              <w:t>85</w:t>
            </w:r>
          </w:p>
        </w:tc>
        <w:tc>
          <w:tcPr>
            <w:tcW w:w="1152" w:type="dxa"/>
            <w:noWrap/>
            <w:hideMark/>
          </w:tcPr>
          <w:p w:rsidR="00AE0B1A" w:rsidRPr="00593575" w:rsidRDefault="00AE0B1A" w:rsidP="00FD0A94">
            <w:pPr>
              <w:pStyle w:val="Tabletextright"/>
            </w:pPr>
            <w:r w:rsidRPr="00593575">
              <w:t>0.85</w:t>
            </w:r>
          </w:p>
        </w:tc>
        <w:tc>
          <w:tcPr>
            <w:tcW w:w="1068" w:type="dxa"/>
            <w:noWrap/>
            <w:hideMark/>
          </w:tcPr>
          <w:p w:rsidR="00AE0B1A" w:rsidRPr="00593575" w:rsidRDefault="00AE0B1A" w:rsidP="00FD0A94">
            <w:pPr>
              <w:pStyle w:val="Tabletextright"/>
            </w:pPr>
            <w:r w:rsidRPr="00593575">
              <w:t>20.5</w:t>
            </w:r>
          </w:p>
        </w:tc>
        <w:tc>
          <w:tcPr>
            <w:tcW w:w="1465" w:type="dxa"/>
            <w:noWrap/>
            <w:hideMark/>
          </w:tcPr>
          <w:p w:rsidR="00AE0B1A" w:rsidRPr="00593575" w:rsidRDefault="00AE0B1A" w:rsidP="00FD0A94">
            <w:pPr>
              <w:pStyle w:val="Tabletextright"/>
            </w:pPr>
            <w:r w:rsidRPr="00593575">
              <w:t>186</w:t>
            </w:r>
          </w:p>
        </w:tc>
      </w:tr>
      <w:tr w:rsidR="00AE0B1A" w:rsidRPr="00E62EE3" w:rsidTr="00016FA4">
        <w:trPr>
          <w:cnfStyle w:val="000000010000" w:firstRow="0" w:lastRow="0" w:firstColumn="0" w:lastColumn="0" w:oddVBand="0" w:evenVBand="0" w:oddHBand="0" w:evenHBand="1"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p>
        </w:tc>
        <w:tc>
          <w:tcPr>
            <w:tcW w:w="1134" w:type="dxa"/>
            <w:noWrap/>
            <w:hideMark/>
          </w:tcPr>
          <w:p w:rsidR="00AE0B1A" w:rsidRPr="00FD0A94" w:rsidRDefault="00AE0B1A" w:rsidP="00FD0A94">
            <w:pPr>
              <w:pStyle w:val="Tabletextleft"/>
            </w:pPr>
            <w:r w:rsidRPr="00FD0A94">
              <w:t>Jurassic</w:t>
            </w:r>
          </w:p>
        </w:tc>
        <w:tc>
          <w:tcPr>
            <w:tcW w:w="992" w:type="dxa"/>
            <w:hideMark/>
          </w:tcPr>
          <w:p w:rsidR="00AE0B1A" w:rsidRPr="00593575" w:rsidRDefault="00AE0B1A" w:rsidP="00FD0A94">
            <w:pPr>
              <w:pStyle w:val="Tabletextright"/>
            </w:pPr>
            <w:r w:rsidRPr="00593575">
              <w:t>19.1</w:t>
            </w:r>
          </w:p>
        </w:tc>
        <w:tc>
          <w:tcPr>
            <w:tcW w:w="993" w:type="dxa"/>
            <w:noWrap/>
            <w:hideMark/>
          </w:tcPr>
          <w:p w:rsidR="00AE0B1A" w:rsidRPr="00593575" w:rsidRDefault="00AE0B1A" w:rsidP="00FD0A94">
            <w:pPr>
              <w:pStyle w:val="Tabletextright"/>
            </w:pPr>
            <w:r w:rsidRPr="00593575">
              <w:t>0.91</w:t>
            </w:r>
          </w:p>
        </w:tc>
        <w:tc>
          <w:tcPr>
            <w:tcW w:w="992" w:type="dxa"/>
            <w:noWrap/>
            <w:hideMark/>
          </w:tcPr>
          <w:p w:rsidR="00AE0B1A" w:rsidRPr="00593575" w:rsidRDefault="00AE0B1A" w:rsidP="00FD0A94">
            <w:pPr>
              <w:pStyle w:val="Tabletextright"/>
            </w:pPr>
            <w:r w:rsidRPr="00593575">
              <w:t>19.1</w:t>
            </w:r>
          </w:p>
        </w:tc>
        <w:tc>
          <w:tcPr>
            <w:tcW w:w="1152" w:type="dxa"/>
            <w:noWrap/>
            <w:hideMark/>
          </w:tcPr>
          <w:p w:rsidR="00AE0B1A" w:rsidRPr="00593575" w:rsidRDefault="00AE0B1A" w:rsidP="00FD0A94">
            <w:pPr>
              <w:pStyle w:val="Tabletextright"/>
            </w:pPr>
            <w:r w:rsidRPr="00593575">
              <w:t>0.91</w:t>
            </w:r>
          </w:p>
        </w:tc>
        <w:tc>
          <w:tcPr>
            <w:tcW w:w="1068" w:type="dxa"/>
            <w:noWrap/>
            <w:hideMark/>
          </w:tcPr>
          <w:p w:rsidR="00AE0B1A" w:rsidRPr="00593575" w:rsidRDefault="00AE0B1A" w:rsidP="00FD0A94">
            <w:pPr>
              <w:pStyle w:val="Tabletextright"/>
            </w:pPr>
            <w:r w:rsidRPr="00593575">
              <w:t>20.7</w:t>
            </w:r>
          </w:p>
        </w:tc>
        <w:tc>
          <w:tcPr>
            <w:tcW w:w="1465" w:type="dxa"/>
            <w:noWrap/>
            <w:hideMark/>
          </w:tcPr>
          <w:p w:rsidR="00AE0B1A" w:rsidRPr="00593575" w:rsidRDefault="00AE0B1A" w:rsidP="00FD0A94">
            <w:pPr>
              <w:pStyle w:val="Tabletextright"/>
            </w:pPr>
            <w:r w:rsidRPr="00593575">
              <w:t>221</w:t>
            </w:r>
          </w:p>
        </w:tc>
      </w:tr>
      <w:tr w:rsidR="00AE0B1A" w:rsidRPr="00E62EE3" w:rsidTr="00016FA4">
        <w:trPr>
          <w:cnfStyle w:val="000000100000" w:firstRow="0" w:lastRow="0" w:firstColumn="0" w:lastColumn="0" w:oddVBand="0" w:evenVBand="0" w:oddHBand="1" w:evenHBand="0"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r w:rsidRPr="00593575">
              <w:t>Penguin 1</w:t>
            </w:r>
          </w:p>
        </w:tc>
        <w:tc>
          <w:tcPr>
            <w:tcW w:w="1134" w:type="dxa"/>
            <w:noWrap/>
            <w:hideMark/>
          </w:tcPr>
          <w:p w:rsidR="00AE0B1A" w:rsidRPr="00FD0A94" w:rsidRDefault="00AE0B1A" w:rsidP="00FD0A94">
            <w:pPr>
              <w:pStyle w:val="Tabletextleft"/>
            </w:pPr>
            <w:r w:rsidRPr="00FD0A94">
              <w:t>Cretaceous</w:t>
            </w:r>
          </w:p>
        </w:tc>
        <w:tc>
          <w:tcPr>
            <w:tcW w:w="992" w:type="dxa"/>
            <w:hideMark/>
          </w:tcPr>
          <w:p w:rsidR="00AE0B1A" w:rsidRPr="00593575" w:rsidRDefault="00AE0B1A" w:rsidP="00FD0A94">
            <w:pPr>
              <w:pStyle w:val="Tabletextright"/>
            </w:pPr>
            <w:r w:rsidRPr="00593575">
              <w:t>10.5</w:t>
            </w:r>
          </w:p>
        </w:tc>
        <w:tc>
          <w:tcPr>
            <w:tcW w:w="993" w:type="dxa"/>
            <w:noWrap/>
            <w:hideMark/>
          </w:tcPr>
          <w:p w:rsidR="00AE0B1A" w:rsidRPr="00593575" w:rsidRDefault="00AE0B1A" w:rsidP="00FD0A94">
            <w:pPr>
              <w:pStyle w:val="Tabletextright"/>
            </w:pPr>
            <w:r w:rsidRPr="00593575">
              <w:t>0.91</w:t>
            </w:r>
          </w:p>
        </w:tc>
        <w:tc>
          <w:tcPr>
            <w:tcW w:w="992" w:type="dxa"/>
            <w:noWrap/>
            <w:hideMark/>
          </w:tcPr>
          <w:p w:rsidR="00AE0B1A" w:rsidRPr="00593575" w:rsidRDefault="00AE0B1A" w:rsidP="00FD0A94">
            <w:pPr>
              <w:pStyle w:val="Tabletextright"/>
            </w:pPr>
            <w:r w:rsidRPr="00593575">
              <w:t>10.5</w:t>
            </w:r>
          </w:p>
        </w:tc>
        <w:tc>
          <w:tcPr>
            <w:tcW w:w="1152" w:type="dxa"/>
            <w:noWrap/>
            <w:hideMark/>
          </w:tcPr>
          <w:p w:rsidR="00AE0B1A" w:rsidRPr="00593575" w:rsidRDefault="00AE0B1A" w:rsidP="00FD0A94">
            <w:pPr>
              <w:pStyle w:val="Tabletextright"/>
            </w:pPr>
            <w:r w:rsidRPr="00593575">
              <w:t>0.91</w:t>
            </w:r>
          </w:p>
        </w:tc>
        <w:tc>
          <w:tcPr>
            <w:tcW w:w="1068" w:type="dxa"/>
            <w:noWrap/>
            <w:hideMark/>
          </w:tcPr>
          <w:p w:rsidR="00AE0B1A" w:rsidRPr="00593575" w:rsidRDefault="00AE0B1A" w:rsidP="00FD0A94">
            <w:pPr>
              <w:pStyle w:val="Tabletextright"/>
            </w:pPr>
            <w:r w:rsidRPr="00593575">
              <w:t>21.4</w:t>
            </w:r>
          </w:p>
        </w:tc>
        <w:tc>
          <w:tcPr>
            <w:tcW w:w="1465" w:type="dxa"/>
            <w:noWrap/>
            <w:hideMark/>
          </w:tcPr>
          <w:p w:rsidR="00AE0B1A" w:rsidRPr="00593575" w:rsidRDefault="00AE0B1A" w:rsidP="00FD0A94">
            <w:pPr>
              <w:pStyle w:val="Tabletextright"/>
            </w:pPr>
            <w:r w:rsidRPr="00593575">
              <w:t>219</w:t>
            </w:r>
          </w:p>
        </w:tc>
      </w:tr>
      <w:tr w:rsidR="00AE0B1A" w:rsidRPr="00E62EE3" w:rsidTr="00016FA4">
        <w:trPr>
          <w:cnfStyle w:val="000000010000" w:firstRow="0" w:lastRow="0" w:firstColumn="0" w:lastColumn="0" w:oddVBand="0" w:evenVBand="0" w:oddHBand="0" w:evenHBand="1"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p>
        </w:tc>
        <w:tc>
          <w:tcPr>
            <w:tcW w:w="1134" w:type="dxa"/>
            <w:noWrap/>
            <w:hideMark/>
          </w:tcPr>
          <w:p w:rsidR="00AE0B1A" w:rsidRPr="00FD0A94" w:rsidRDefault="00AE0B1A" w:rsidP="00FD0A94">
            <w:pPr>
              <w:pStyle w:val="Tabletextleft"/>
            </w:pPr>
            <w:r w:rsidRPr="00FD0A94">
              <w:t>Jurassic</w:t>
            </w:r>
          </w:p>
        </w:tc>
        <w:tc>
          <w:tcPr>
            <w:tcW w:w="992" w:type="dxa"/>
            <w:hideMark/>
          </w:tcPr>
          <w:p w:rsidR="00AE0B1A" w:rsidRPr="00593575" w:rsidRDefault="00AE0B1A" w:rsidP="00FD0A94">
            <w:pPr>
              <w:pStyle w:val="Tabletextright"/>
            </w:pPr>
            <w:r w:rsidRPr="00593575">
              <w:t>228</w:t>
            </w:r>
          </w:p>
        </w:tc>
        <w:tc>
          <w:tcPr>
            <w:tcW w:w="993" w:type="dxa"/>
            <w:noWrap/>
            <w:hideMark/>
          </w:tcPr>
          <w:p w:rsidR="00AE0B1A" w:rsidRPr="00593575" w:rsidRDefault="00AE0B1A" w:rsidP="00FD0A94">
            <w:pPr>
              <w:pStyle w:val="Tabletextright"/>
            </w:pPr>
            <w:r w:rsidRPr="00593575">
              <w:t>0.85</w:t>
            </w:r>
          </w:p>
        </w:tc>
        <w:tc>
          <w:tcPr>
            <w:tcW w:w="992" w:type="dxa"/>
            <w:noWrap/>
            <w:hideMark/>
          </w:tcPr>
          <w:p w:rsidR="00AE0B1A" w:rsidRPr="00593575" w:rsidRDefault="00AE0B1A" w:rsidP="00FD0A94">
            <w:pPr>
              <w:pStyle w:val="Tabletextright"/>
            </w:pPr>
            <w:r w:rsidRPr="00593575">
              <w:t>228</w:t>
            </w:r>
          </w:p>
        </w:tc>
        <w:tc>
          <w:tcPr>
            <w:tcW w:w="1152" w:type="dxa"/>
            <w:noWrap/>
            <w:hideMark/>
          </w:tcPr>
          <w:p w:rsidR="00AE0B1A" w:rsidRPr="00593575" w:rsidRDefault="00AE0B1A" w:rsidP="00FD0A94">
            <w:pPr>
              <w:pStyle w:val="Tabletextright"/>
            </w:pPr>
            <w:r w:rsidRPr="00593575">
              <w:t>0.85</w:t>
            </w:r>
          </w:p>
        </w:tc>
        <w:tc>
          <w:tcPr>
            <w:tcW w:w="1068" w:type="dxa"/>
            <w:noWrap/>
            <w:hideMark/>
          </w:tcPr>
          <w:p w:rsidR="00AE0B1A" w:rsidRPr="00593575" w:rsidRDefault="00AE0B1A" w:rsidP="00FD0A94">
            <w:pPr>
              <w:pStyle w:val="Tabletextright"/>
            </w:pPr>
            <w:r w:rsidRPr="00593575">
              <w:t>23.7</w:t>
            </w:r>
          </w:p>
        </w:tc>
        <w:tc>
          <w:tcPr>
            <w:tcW w:w="1465" w:type="dxa"/>
            <w:noWrap/>
            <w:hideMark/>
          </w:tcPr>
          <w:p w:rsidR="00AE0B1A" w:rsidRPr="00593575" w:rsidRDefault="00AE0B1A" w:rsidP="00FD0A94">
            <w:pPr>
              <w:pStyle w:val="Tabletextright"/>
            </w:pPr>
            <w:r w:rsidRPr="00593575">
              <w:t>572</w:t>
            </w:r>
          </w:p>
        </w:tc>
      </w:tr>
      <w:tr w:rsidR="00AE0B1A" w:rsidRPr="00E62EE3" w:rsidTr="00016FA4">
        <w:trPr>
          <w:cnfStyle w:val="000000100000" w:firstRow="0" w:lastRow="0" w:firstColumn="0" w:lastColumn="0" w:oddVBand="0" w:evenVBand="0" w:oddHBand="1" w:evenHBand="0"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r w:rsidRPr="00593575">
              <w:t>Petrel 1</w:t>
            </w:r>
          </w:p>
        </w:tc>
        <w:tc>
          <w:tcPr>
            <w:tcW w:w="1134" w:type="dxa"/>
            <w:noWrap/>
            <w:hideMark/>
          </w:tcPr>
          <w:p w:rsidR="00AE0B1A" w:rsidRPr="00FD0A94" w:rsidRDefault="00AE0B1A" w:rsidP="00FD0A94">
            <w:pPr>
              <w:pStyle w:val="Tabletextleft"/>
            </w:pPr>
            <w:r w:rsidRPr="00FD0A94">
              <w:t>Cretaceous</w:t>
            </w:r>
          </w:p>
        </w:tc>
        <w:tc>
          <w:tcPr>
            <w:tcW w:w="992" w:type="dxa"/>
            <w:hideMark/>
          </w:tcPr>
          <w:p w:rsidR="00AE0B1A" w:rsidRPr="00593575" w:rsidRDefault="00AE0B1A" w:rsidP="00FD0A94">
            <w:pPr>
              <w:pStyle w:val="Tabletextright"/>
            </w:pPr>
            <w:r w:rsidRPr="00593575">
              <w:t>168.5</w:t>
            </w:r>
          </w:p>
        </w:tc>
        <w:tc>
          <w:tcPr>
            <w:tcW w:w="993" w:type="dxa"/>
            <w:noWrap/>
            <w:hideMark/>
          </w:tcPr>
          <w:p w:rsidR="00AE0B1A" w:rsidRPr="00593575" w:rsidRDefault="00AE0B1A" w:rsidP="00FD0A94">
            <w:pPr>
              <w:pStyle w:val="Tabletextright"/>
            </w:pPr>
            <w:r w:rsidRPr="00593575">
              <w:t>0.97</w:t>
            </w:r>
          </w:p>
        </w:tc>
        <w:tc>
          <w:tcPr>
            <w:tcW w:w="992" w:type="dxa"/>
            <w:noWrap/>
            <w:hideMark/>
          </w:tcPr>
          <w:p w:rsidR="00AE0B1A" w:rsidRPr="00593575" w:rsidRDefault="00AE0B1A" w:rsidP="00FD0A94">
            <w:pPr>
              <w:pStyle w:val="Tabletextright"/>
            </w:pPr>
            <w:r w:rsidRPr="00593575">
              <w:t>167.1</w:t>
            </w:r>
          </w:p>
        </w:tc>
        <w:tc>
          <w:tcPr>
            <w:tcW w:w="1152" w:type="dxa"/>
            <w:noWrap/>
            <w:hideMark/>
          </w:tcPr>
          <w:p w:rsidR="00AE0B1A" w:rsidRPr="00593575" w:rsidRDefault="00AE0B1A" w:rsidP="00FD0A94">
            <w:pPr>
              <w:pStyle w:val="Tabletextright"/>
            </w:pPr>
            <w:r w:rsidRPr="00593575">
              <w:t>0.97</w:t>
            </w:r>
          </w:p>
        </w:tc>
        <w:tc>
          <w:tcPr>
            <w:tcW w:w="1068" w:type="dxa"/>
            <w:noWrap/>
            <w:hideMark/>
          </w:tcPr>
          <w:p w:rsidR="00AE0B1A" w:rsidRPr="00593575" w:rsidRDefault="00AE0B1A" w:rsidP="00FD0A94">
            <w:pPr>
              <w:pStyle w:val="Tabletextright"/>
            </w:pPr>
            <w:r w:rsidRPr="00593575">
              <w:t>19.7</w:t>
            </w:r>
          </w:p>
        </w:tc>
        <w:tc>
          <w:tcPr>
            <w:tcW w:w="1465" w:type="dxa"/>
            <w:noWrap/>
            <w:hideMark/>
          </w:tcPr>
          <w:p w:rsidR="00AE0B1A" w:rsidRPr="00593575" w:rsidRDefault="00AE0B1A" w:rsidP="00FD0A94">
            <w:pPr>
              <w:pStyle w:val="Tabletextright"/>
            </w:pPr>
            <w:r w:rsidRPr="00593575">
              <w:t>159</w:t>
            </w:r>
          </w:p>
        </w:tc>
      </w:tr>
      <w:tr w:rsidR="00AE0B1A" w:rsidRPr="00E62EE3" w:rsidTr="00016FA4">
        <w:trPr>
          <w:cnfStyle w:val="000000010000" w:firstRow="0" w:lastRow="0" w:firstColumn="0" w:lastColumn="0" w:oddVBand="0" w:evenVBand="0" w:oddHBand="0" w:evenHBand="1"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p>
        </w:tc>
        <w:tc>
          <w:tcPr>
            <w:tcW w:w="1134" w:type="dxa"/>
            <w:noWrap/>
            <w:hideMark/>
          </w:tcPr>
          <w:p w:rsidR="00AE0B1A" w:rsidRPr="00FD0A94" w:rsidRDefault="00AE0B1A" w:rsidP="00FD0A94">
            <w:pPr>
              <w:pStyle w:val="Tabletextleft"/>
            </w:pPr>
            <w:r w:rsidRPr="00FD0A94">
              <w:t>Jurassic</w:t>
            </w:r>
          </w:p>
        </w:tc>
        <w:tc>
          <w:tcPr>
            <w:tcW w:w="992" w:type="dxa"/>
            <w:hideMark/>
          </w:tcPr>
          <w:p w:rsidR="00AE0B1A" w:rsidRPr="00593575" w:rsidRDefault="00AE0B1A" w:rsidP="00FD0A94">
            <w:pPr>
              <w:pStyle w:val="Tabletextright"/>
            </w:pPr>
            <w:r w:rsidRPr="00593575">
              <w:t>370.6</w:t>
            </w:r>
          </w:p>
        </w:tc>
        <w:tc>
          <w:tcPr>
            <w:tcW w:w="993" w:type="dxa"/>
            <w:noWrap/>
            <w:hideMark/>
          </w:tcPr>
          <w:p w:rsidR="00AE0B1A" w:rsidRPr="00593575" w:rsidRDefault="00AE0B1A" w:rsidP="00FD0A94">
            <w:pPr>
              <w:pStyle w:val="Tabletextright"/>
            </w:pPr>
            <w:r w:rsidRPr="00593575">
              <w:t>0.9</w:t>
            </w:r>
          </w:p>
        </w:tc>
        <w:tc>
          <w:tcPr>
            <w:tcW w:w="992" w:type="dxa"/>
            <w:noWrap/>
            <w:hideMark/>
          </w:tcPr>
          <w:p w:rsidR="00AE0B1A" w:rsidRPr="00593575" w:rsidRDefault="00AE0B1A" w:rsidP="00FD0A94">
            <w:pPr>
              <w:pStyle w:val="Tabletextright"/>
            </w:pPr>
            <w:r w:rsidRPr="00593575">
              <w:t>356.4</w:t>
            </w:r>
          </w:p>
        </w:tc>
        <w:tc>
          <w:tcPr>
            <w:tcW w:w="1152" w:type="dxa"/>
            <w:noWrap/>
            <w:hideMark/>
          </w:tcPr>
          <w:p w:rsidR="00AE0B1A" w:rsidRPr="00593575" w:rsidRDefault="00AE0B1A" w:rsidP="00FD0A94">
            <w:pPr>
              <w:pStyle w:val="Tabletextright"/>
            </w:pPr>
            <w:r w:rsidRPr="00593575">
              <w:t>0.87</w:t>
            </w:r>
          </w:p>
        </w:tc>
        <w:tc>
          <w:tcPr>
            <w:tcW w:w="1068" w:type="dxa"/>
            <w:noWrap/>
            <w:hideMark/>
          </w:tcPr>
          <w:p w:rsidR="00AE0B1A" w:rsidRPr="00593575" w:rsidRDefault="00AE0B1A" w:rsidP="00FD0A94">
            <w:pPr>
              <w:pStyle w:val="Tabletextright"/>
            </w:pPr>
            <w:r w:rsidRPr="00593575">
              <w:t>16.9</w:t>
            </w:r>
          </w:p>
        </w:tc>
        <w:tc>
          <w:tcPr>
            <w:tcW w:w="1465" w:type="dxa"/>
            <w:noWrap/>
            <w:hideMark/>
          </w:tcPr>
          <w:p w:rsidR="00AE0B1A" w:rsidRPr="00593575" w:rsidRDefault="00AE0B1A" w:rsidP="00FD0A94">
            <w:pPr>
              <w:pStyle w:val="Tabletextright"/>
            </w:pPr>
            <w:r w:rsidRPr="00593575">
              <w:t>65</w:t>
            </w:r>
          </w:p>
        </w:tc>
      </w:tr>
      <w:tr w:rsidR="00AE0B1A" w:rsidRPr="00E62EE3" w:rsidTr="00016FA4">
        <w:trPr>
          <w:cnfStyle w:val="000000100000" w:firstRow="0" w:lastRow="0" w:firstColumn="0" w:lastColumn="0" w:oddVBand="0" w:evenVBand="0" w:oddHBand="1" w:evenHBand="0"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r w:rsidRPr="00593575">
              <w:t>Tern 1</w:t>
            </w:r>
          </w:p>
        </w:tc>
        <w:tc>
          <w:tcPr>
            <w:tcW w:w="1134" w:type="dxa"/>
            <w:noWrap/>
            <w:hideMark/>
          </w:tcPr>
          <w:p w:rsidR="00AE0B1A" w:rsidRPr="00FD0A94" w:rsidRDefault="00AE0B1A" w:rsidP="00FD0A94">
            <w:pPr>
              <w:pStyle w:val="Tabletextleft"/>
            </w:pPr>
            <w:r w:rsidRPr="00FD0A94">
              <w:t>Cretaceous</w:t>
            </w:r>
          </w:p>
        </w:tc>
        <w:tc>
          <w:tcPr>
            <w:tcW w:w="992" w:type="dxa"/>
            <w:hideMark/>
          </w:tcPr>
          <w:p w:rsidR="00AE0B1A" w:rsidRPr="00593575" w:rsidRDefault="00AE0B1A" w:rsidP="00FD0A94">
            <w:pPr>
              <w:pStyle w:val="Tabletextright"/>
            </w:pPr>
            <w:r w:rsidRPr="00593575">
              <w:t>91.7</w:t>
            </w:r>
          </w:p>
        </w:tc>
        <w:tc>
          <w:tcPr>
            <w:tcW w:w="993" w:type="dxa"/>
            <w:noWrap/>
            <w:hideMark/>
          </w:tcPr>
          <w:p w:rsidR="00AE0B1A" w:rsidRPr="00593575" w:rsidRDefault="00AE0B1A" w:rsidP="00FD0A94">
            <w:pPr>
              <w:pStyle w:val="Tabletextright"/>
            </w:pPr>
            <w:r w:rsidRPr="00593575">
              <w:t>0.83</w:t>
            </w:r>
          </w:p>
        </w:tc>
        <w:tc>
          <w:tcPr>
            <w:tcW w:w="992" w:type="dxa"/>
            <w:noWrap/>
            <w:hideMark/>
          </w:tcPr>
          <w:p w:rsidR="00AE0B1A" w:rsidRPr="00593575" w:rsidRDefault="00AE0B1A" w:rsidP="00FD0A94">
            <w:pPr>
              <w:pStyle w:val="Tabletextright"/>
            </w:pPr>
            <w:r w:rsidRPr="00593575">
              <w:t>91.4</w:t>
            </w:r>
          </w:p>
        </w:tc>
        <w:tc>
          <w:tcPr>
            <w:tcW w:w="1152" w:type="dxa"/>
            <w:noWrap/>
            <w:hideMark/>
          </w:tcPr>
          <w:p w:rsidR="00AE0B1A" w:rsidRPr="00593575" w:rsidRDefault="00AE0B1A" w:rsidP="00FD0A94">
            <w:pPr>
              <w:pStyle w:val="Tabletextright"/>
            </w:pPr>
            <w:r w:rsidRPr="00593575">
              <w:t>0.82</w:t>
            </w:r>
          </w:p>
        </w:tc>
        <w:tc>
          <w:tcPr>
            <w:tcW w:w="1068" w:type="dxa"/>
            <w:noWrap/>
            <w:hideMark/>
          </w:tcPr>
          <w:p w:rsidR="00AE0B1A" w:rsidRPr="00593575" w:rsidRDefault="00AE0B1A" w:rsidP="00FD0A94">
            <w:pPr>
              <w:pStyle w:val="Tabletextright"/>
            </w:pPr>
            <w:r w:rsidRPr="00593575">
              <w:t>20.8</w:t>
            </w:r>
          </w:p>
        </w:tc>
        <w:tc>
          <w:tcPr>
            <w:tcW w:w="1465" w:type="dxa"/>
            <w:noWrap/>
            <w:hideMark/>
          </w:tcPr>
          <w:p w:rsidR="00AE0B1A" w:rsidRPr="00593575" w:rsidRDefault="00AE0B1A" w:rsidP="00FD0A94">
            <w:pPr>
              <w:pStyle w:val="Tabletextright"/>
            </w:pPr>
            <w:r w:rsidRPr="00593575">
              <w:t>197</w:t>
            </w:r>
          </w:p>
        </w:tc>
      </w:tr>
      <w:tr w:rsidR="00AE0B1A" w:rsidRPr="00E62EE3" w:rsidTr="00016FA4">
        <w:trPr>
          <w:cnfStyle w:val="000000010000" w:firstRow="0" w:lastRow="0" w:firstColumn="0" w:lastColumn="0" w:oddVBand="0" w:evenVBand="0" w:oddHBand="0" w:evenHBand="1" w:firstRowFirstColumn="0" w:firstRowLastColumn="0" w:lastRowFirstColumn="0" w:lastRowLastColumn="0"/>
          <w:cantSplit/>
          <w:trHeight w:val="57"/>
        </w:trPr>
        <w:tc>
          <w:tcPr>
            <w:tcW w:w="1276" w:type="dxa"/>
            <w:noWrap/>
            <w:hideMark/>
          </w:tcPr>
          <w:p w:rsidR="00AE0B1A" w:rsidRPr="00593575" w:rsidRDefault="00AE0B1A" w:rsidP="00AE0B1A">
            <w:pPr>
              <w:pStyle w:val="Tabletextleft"/>
            </w:pPr>
          </w:p>
        </w:tc>
        <w:tc>
          <w:tcPr>
            <w:tcW w:w="1134" w:type="dxa"/>
            <w:noWrap/>
            <w:hideMark/>
          </w:tcPr>
          <w:p w:rsidR="00AE0B1A" w:rsidRPr="00FD0A94" w:rsidRDefault="00AE0B1A" w:rsidP="00FD0A94">
            <w:pPr>
              <w:pStyle w:val="Tabletextleft"/>
            </w:pPr>
            <w:r w:rsidRPr="00FD0A94">
              <w:t>Jurassic</w:t>
            </w:r>
          </w:p>
        </w:tc>
        <w:tc>
          <w:tcPr>
            <w:tcW w:w="992" w:type="dxa"/>
            <w:hideMark/>
          </w:tcPr>
          <w:p w:rsidR="00AE0B1A" w:rsidRPr="00593575" w:rsidRDefault="00AE0B1A" w:rsidP="00FD0A94">
            <w:pPr>
              <w:pStyle w:val="Tabletextright"/>
            </w:pPr>
            <w:r w:rsidRPr="00593575">
              <w:t>322.2</w:t>
            </w:r>
          </w:p>
        </w:tc>
        <w:tc>
          <w:tcPr>
            <w:tcW w:w="993" w:type="dxa"/>
            <w:noWrap/>
            <w:hideMark/>
          </w:tcPr>
          <w:p w:rsidR="00AE0B1A" w:rsidRPr="00593575" w:rsidRDefault="00AE0B1A" w:rsidP="00FD0A94">
            <w:pPr>
              <w:pStyle w:val="Tabletextright"/>
            </w:pPr>
            <w:r w:rsidRPr="00593575">
              <w:t>0.97</w:t>
            </w:r>
          </w:p>
        </w:tc>
        <w:tc>
          <w:tcPr>
            <w:tcW w:w="992" w:type="dxa"/>
            <w:noWrap/>
            <w:hideMark/>
          </w:tcPr>
          <w:p w:rsidR="00AE0B1A" w:rsidRPr="00593575" w:rsidRDefault="00AE0B1A" w:rsidP="00FD0A94">
            <w:pPr>
              <w:pStyle w:val="Tabletextright"/>
            </w:pPr>
            <w:r w:rsidRPr="00593575">
              <w:t>322.2</w:t>
            </w:r>
          </w:p>
        </w:tc>
        <w:tc>
          <w:tcPr>
            <w:tcW w:w="1152" w:type="dxa"/>
            <w:noWrap/>
            <w:hideMark/>
          </w:tcPr>
          <w:p w:rsidR="00AE0B1A" w:rsidRPr="00593575" w:rsidRDefault="00AE0B1A" w:rsidP="00FD0A94">
            <w:pPr>
              <w:pStyle w:val="Tabletextright"/>
            </w:pPr>
            <w:r w:rsidRPr="00593575">
              <w:t>0.97</w:t>
            </w:r>
          </w:p>
        </w:tc>
        <w:tc>
          <w:tcPr>
            <w:tcW w:w="1068" w:type="dxa"/>
            <w:noWrap/>
            <w:hideMark/>
          </w:tcPr>
          <w:p w:rsidR="00AE0B1A" w:rsidRPr="00593575" w:rsidRDefault="00AE0B1A" w:rsidP="00FD0A94">
            <w:pPr>
              <w:pStyle w:val="Tabletextright"/>
            </w:pPr>
            <w:r w:rsidRPr="00593575">
              <w:t>22.1</w:t>
            </w:r>
          </w:p>
        </w:tc>
        <w:tc>
          <w:tcPr>
            <w:tcW w:w="1465" w:type="dxa"/>
            <w:noWrap/>
            <w:hideMark/>
          </w:tcPr>
          <w:p w:rsidR="00AE0B1A" w:rsidRPr="00593575" w:rsidRDefault="00AE0B1A" w:rsidP="00FD0A94">
            <w:pPr>
              <w:pStyle w:val="Tabletextright"/>
            </w:pPr>
            <w:r w:rsidRPr="00593575">
              <w:t>342</w:t>
            </w:r>
          </w:p>
        </w:tc>
      </w:tr>
    </w:tbl>
    <w:p w:rsidR="00AE0B1A" w:rsidRDefault="00AE0B1A" w:rsidP="00AE0B1A">
      <w:pPr>
        <w:pStyle w:val="Figuresandimagescentred"/>
        <w:sectPr w:rsidR="00AE0B1A" w:rsidSect="009A01C9">
          <w:footerReference w:type="even" r:id="rId49"/>
          <w:footerReference w:type="default" r:id="rId50"/>
          <w:pgSz w:w="11907" w:h="16840" w:code="9"/>
          <w:pgMar w:top="1985" w:right="1418" w:bottom="1418" w:left="1418" w:header="720" w:footer="397" w:gutter="0"/>
          <w:cols w:space="720"/>
          <w:docGrid w:linePitch="272"/>
        </w:sectPr>
      </w:pPr>
    </w:p>
    <w:p w:rsidR="000D1A85" w:rsidRDefault="00214A5B" w:rsidP="00AE0B1A">
      <w:pPr>
        <w:pStyle w:val="Figuresandimagescentred"/>
      </w:pPr>
      <w:r>
        <w:rPr>
          <w:noProof/>
        </w:rPr>
        <w:lastRenderedPageBreak/>
        <w:drawing>
          <wp:inline distT="0" distB="0" distL="0" distR="0" wp14:anchorId="21FF0FCC" wp14:editId="510DD150">
            <wp:extent cx="11601450" cy="8588237"/>
            <wp:effectExtent l="0" t="0" r="0" b="3810"/>
            <wp:docPr id="11" name="Picture 11"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199-4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1595653" cy="8583946"/>
                    </a:xfrm>
                    <a:prstGeom prst="rect">
                      <a:avLst/>
                    </a:prstGeom>
                  </pic:spPr>
                </pic:pic>
              </a:graphicData>
            </a:graphic>
          </wp:inline>
        </w:drawing>
      </w:r>
    </w:p>
    <w:p w:rsidR="00AE0B1A" w:rsidRDefault="00214A5B" w:rsidP="00AE0B1A">
      <w:pPr>
        <w:pStyle w:val="Figuresandimagescentred"/>
      </w:pPr>
      <w:r>
        <w:rPr>
          <w:noProof/>
        </w:rPr>
        <w:lastRenderedPageBreak/>
        <w:drawing>
          <wp:inline distT="0" distB="0" distL="0" distR="0" wp14:anchorId="1A23B97D" wp14:editId="678FB890">
            <wp:extent cx="11296650" cy="7960696"/>
            <wp:effectExtent l="0" t="0" r="0" b="2540"/>
            <wp:docPr id="13" name="Picture 13"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199-46.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1307759" cy="7968525"/>
                    </a:xfrm>
                    <a:prstGeom prst="rect">
                      <a:avLst/>
                    </a:prstGeom>
                  </pic:spPr>
                </pic:pic>
              </a:graphicData>
            </a:graphic>
          </wp:inline>
        </w:drawing>
      </w:r>
    </w:p>
    <w:p w:rsidR="00AE0B1A" w:rsidRDefault="00AE0B1A" w:rsidP="00AE0B1A">
      <w:pPr>
        <w:pStyle w:val="Caption"/>
      </w:pPr>
      <w:bookmarkStart w:id="508" w:name="_Ref372804609"/>
      <w:bookmarkStart w:id="509" w:name="_Toc373095009"/>
      <w:bookmarkStart w:id="510" w:name="_Toc378252739"/>
      <w:bookmarkStart w:id="511" w:name="_Toc378253063"/>
      <w:bookmarkStart w:id="512" w:name="_Toc378253387"/>
      <w:bookmarkStart w:id="513" w:name="_Toc378253711"/>
      <w:bookmarkStart w:id="514" w:name="_Toc378254035"/>
      <w:bookmarkStart w:id="515" w:name="_Toc378254359"/>
      <w:bookmarkStart w:id="516" w:name="_Toc378254683"/>
      <w:bookmarkStart w:id="517" w:name="_Toc378255007"/>
      <w:bookmarkStart w:id="518" w:name="_Toc378255356"/>
      <w:r>
        <w:t xml:space="preserve">Figure </w:t>
      </w:r>
      <w:fldSimple w:instr=" STYLEREF 1 \s ">
        <w:r w:rsidR="00F64E4F">
          <w:rPr>
            <w:noProof/>
          </w:rPr>
          <w:t>6</w:t>
        </w:r>
      </w:fldSimple>
      <w:r w:rsidR="00AE5C2D">
        <w:t>.</w:t>
      </w:r>
      <w:fldSimple w:instr=" SEQ Figure \* ARABIC \s 1 ">
        <w:r w:rsidR="00F64E4F">
          <w:rPr>
            <w:noProof/>
          </w:rPr>
          <w:t>1</w:t>
        </w:r>
      </w:fldSimple>
      <w:bookmarkEnd w:id="508"/>
      <w:r>
        <w:t xml:space="preserve"> Schematic well</w:t>
      </w:r>
      <w:r w:rsidRPr="00656568">
        <w:t xml:space="preserve">-section of the study area from (a) the west to east, and (b) south to north. See </w:t>
      </w:r>
      <w:r w:rsidR="0059537E">
        <w:fldChar w:fldCharType="begin"/>
      </w:r>
      <w:r w:rsidR="0059537E">
        <w:instrText xml:space="preserve"> REF _Ref372289098 \h </w:instrText>
      </w:r>
      <w:r w:rsidR="0059537E">
        <w:fldChar w:fldCharType="separate"/>
      </w:r>
      <w:r w:rsidR="00F64E4F">
        <w:t xml:space="preserve">Figure </w:t>
      </w:r>
      <w:r w:rsidR="00F64E4F">
        <w:rPr>
          <w:noProof/>
        </w:rPr>
        <w:t>2</w:t>
      </w:r>
      <w:r w:rsidR="00F64E4F">
        <w:t>.</w:t>
      </w:r>
      <w:r w:rsidR="00F64E4F">
        <w:rPr>
          <w:noProof/>
        </w:rPr>
        <w:t>3</w:t>
      </w:r>
      <w:r w:rsidR="0059537E">
        <w:fldChar w:fldCharType="end"/>
      </w:r>
      <w:r w:rsidR="0059537E">
        <w:t xml:space="preserve"> </w:t>
      </w:r>
      <w:r w:rsidRPr="00656568">
        <w:t>for well locations</w:t>
      </w:r>
      <w:bookmarkEnd w:id="509"/>
      <w:bookmarkEnd w:id="510"/>
      <w:bookmarkEnd w:id="511"/>
      <w:bookmarkEnd w:id="512"/>
      <w:bookmarkEnd w:id="513"/>
      <w:bookmarkEnd w:id="514"/>
      <w:bookmarkEnd w:id="515"/>
      <w:bookmarkEnd w:id="516"/>
      <w:bookmarkEnd w:id="517"/>
      <w:bookmarkEnd w:id="518"/>
      <w:r w:rsidR="0059537E">
        <w:t>.</w:t>
      </w:r>
    </w:p>
    <w:p w:rsidR="00AE0B1A" w:rsidRPr="002E2122" w:rsidRDefault="00AE0B1A" w:rsidP="00AE0B1A">
      <w:pPr>
        <w:pStyle w:val="BodyText"/>
        <w:sectPr w:rsidR="00AE0B1A" w:rsidRPr="002E2122" w:rsidSect="009A01C9">
          <w:footerReference w:type="even" r:id="rId53"/>
          <w:footerReference w:type="default" r:id="rId54"/>
          <w:pgSz w:w="23814" w:h="16839" w:orient="landscape" w:code="8"/>
          <w:pgMar w:top="1418" w:right="1418" w:bottom="1418" w:left="1418" w:header="720" w:footer="397" w:gutter="0"/>
          <w:cols w:space="720"/>
          <w:docGrid w:linePitch="272"/>
        </w:sectPr>
      </w:pPr>
      <w:r w:rsidRPr="00656568">
        <w:t>.</w:t>
      </w:r>
    </w:p>
    <w:p w:rsidR="00AE0B1A" w:rsidRDefault="00AE0B1A" w:rsidP="00AE0B1A">
      <w:pPr>
        <w:pStyle w:val="Figuresandimagescentred"/>
      </w:pPr>
      <w:r>
        <w:rPr>
          <w:noProof/>
        </w:rPr>
        <w:lastRenderedPageBreak/>
        <w:drawing>
          <wp:inline distT="0" distB="0" distL="0" distR="0" wp14:anchorId="0FA86972" wp14:editId="4AE1FAED">
            <wp:extent cx="7779600" cy="11617200"/>
            <wp:effectExtent l="0" t="0" r="0" b="3810"/>
            <wp:docPr id="37" name="Picture 37"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6finaldocs\0.REVIEW GA Record Summary + Appendices Internal  Review\Reviewed Draft\New folder\13-7199-5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779600" cy="11617200"/>
                    </a:xfrm>
                    <a:prstGeom prst="rect">
                      <a:avLst/>
                    </a:prstGeom>
                    <a:noFill/>
                    <a:ln>
                      <a:noFill/>
                    </a:ln>
                  </pic:spPr>
                </pic:pic>
              </a:graphicData>
            </a:graphic>
          </wp:inline>
        </w:drawing>
      </w:r>
    </w:p>
    <w:p w:rsidR="00AE0B1A" w:rsidRDefault="00AE0B1A" w:rsidP="00AE0B1A">
      <w:pPr>
        <w:pStyle w:val="Caption"/>
      </w:pPr>
      <w:bookmarkStart w:id="519" w:name="_Ref372804598"/>
      <w:bookmarkStart w:id="520" w:name="_Toc373095010"/>
      <w:bookmarkStart w:id="521" w:name="_Toc378252740"/>
      <w:bookmarkStart w:id="522" w:name="_Toc378253064"/>
      <w:bookmarkStart w:id="523" w:name="_Toc378253388"/>
      <w:bookmarkStart w:id="524" w:name="_Toc378253712"/>
      <w:bookmarkStart w:id="525" w:name="_Toc378254036"/>
      <w:bookmarkStart w:id="526" w:name="_Toc378254360"/>
      <w:bookmarkStart w:id="527" w:name="_Toc378254684"/>
      <w:bookmarkStart w:id="528" w:name="_Toc378255008"/>
      <w:bookmarkStart w:id="529" w:name="_Toc378255357"/>
      <w:r>
        <w:t xml:space="preserve">Figure </w:t>
      </w:r>
      <w:fldSimple w:instr=" STYLEREF 1 \s ">
        <w:r w:rsidR="00F64E4F">
          <w:rPr>
            <w:noProof/>
          </w:rPr>
          <w:t>6</w:t>
        </w:r>
      </w:fldSimple>
      <w:r w:rsidR="00AE5C2D">
        <w:t>.</w:t>
      </w:r>
      <w:fldSimple w:instr=" SEQ Figure \* ARABIC \s 1 ">
        <w:r w:rsidR="00F64E4F">
          <w:rPr>
            <w:noProof/>
          </w:rPr>
          <w:t>2</w:t>
        </w:r>
      </w:fldSimple>
      <w:bookmarkEnd w:id="519"/>
      <w:r>
        <w:t xml:space="preserve"> </w:t>
      </w:r>
      <w:r w:rsidRPr="002418F3">
        <w:t xml:space="preserve">Well composite from Petrel 1 </w:t>
      </w:r>
      <w:r>
        <w:t xml:space="preserve">from </w:t>
      </w:r>
      <w:r w:rsidR="0095117B">
        <w:t>Supplementary Report</w:t>
      </w:r>
      <w:r>
        <w:t xml:space="preserve"> 1</w:t>
      </w:r>
      <w:r w:rsidR="009C2D2B">
        <w:t>,</w:t>
      </w:r>
      <w:r>
        <w:t xml:space="preserve"> </w:t>
      </w:r>
      <w:r w:rsidRPr="002418F3">
        <w:t xml:space="preserve">showing the </w:t>
      </w:r>
      <w:proofErr w:type="spellStart"/>
      <w:r w:rsidRPr="002418F3">
        <w:t>petrophysical</w:t>
      </w:r>
      <w:proofErr w:type="spellEnd"/>
      <w:r w:rsidRPr="002418F3">
        <w:t xml:space="preserve"> analysis, seismic horizons, formations, and reservoir and seal criteria of this study. Sequence boundaries were taken from Colwell and Kennard (1996), biostratigraphy taken from </w:t>
      </w:r>
      <w:r>
        <w:t xml:space="preserve">the </w:t>
      </w:r>
      <w:r w:rsidRPr="002418F3">
        <w:t xml:space="preserve">Geoscience </w:t>
      </w:r>
      <w:r>
        <w:t>Australia well database, and WCR formation tops and all other data derived from well completion reports.</w:t>
      </w:r>
      <w:r w:rsidRPr="00C94C2F">
        <w:t xml:space="preserve"> Note: the formally defined Frigate Shale </w:t>
      </w:r>
      <w:r>
        <w:t>is</w:t>
      </w:r>
      <w:r w:rsidRPr="00C94C2F">
        <w:t xml:space="preserve"> informally defined as the upper and lower F</w:t>
      </w:r>
      <w:r>
        <w:t xml:space="preserve">rigate Shale in this study. RSC analysis: </w:t>
      </w:r>
      <w:r w:rsidRPr="001558C5">
        <w:rPr>
          <w:bCs/>
        </w:rPr>
        <w:t>R</w:t>
      </w:r>
      <w:r w:rsidRPr="001558C5">
        <w:t xml:space="preserve">eservoir unit is characterised by a low clay content </w:t>
      </w:r>
      <w:r>
        <w:t>(</w:t>
      </w:r>
      <w:proofErr w:type="spellStart"/>
      <w:r>
        <w:t>Vshale</w:t>
      </w:r>
      <w:proofErr w:type="spellEnd"/>
      <w:r>
        <w:t xml:space="preserve"> range 4-21%),</w:t>
      </w:r>
      <w:r w:rsidRPr="001558C5">
        <w:t xml:space="preserve"> </w:t>
      </w:r>
      <w:r>
        <w:t>porosity range</w:t>
      </w:r>
      <w:r w:rsidRPr="001558C5">
        <w:t xml:space="preserve"> 12-32%</w:t>
      </w:r>
      <w:r>
        <w:t xml:space="preserve"> and permeability ranging</w:t>
      </w:r>
      <w:r w:rsidRPr="001558C5">
        <w:t xml:space="preserve"> from &lt;1</w:t>
      </w:r>
      <w:r>
        <w:t xml:space="preserve"> </w:t>
      </w:r>
      <w:r w:rsidRPr="001558C5">
        <w:t xml:space="preserve">to1087 </w:t>
      </w:r>
      <w:proofErr w:type="spellStart"/>
      <w:r w:rsidRPr="001558C5">
        <w:t>mD.</w:t>
      </w:r>
      <w:proofErr w:type="spellEnd"/>
      <w:r w:rsidRPr="001558C5">
        <w:t xml:space="preserve"> </w:t>
      </w:r>
      <w:r w:rsidRPr="001558C5">
        <w:rPr>
          <w:bCs/>
        </w:rPr>
        <w:t>I</w:t>
      </w:r>
      <w:r w:rsidRPr="001558C5">
        <w:t>ntermediate unit was characterised by a</w:t>
      </w:r>
      <w:r>
        <w:t>n</w:t>
      </w:r>
      <w:r w:rsidRPr="001558C5">
        <w:t xml:space="preserve"> increase in clay content</w:t>
      </w:r>
      <w:r>
        <w:t xml:space="preserve"> (</w:t>
      </w:r>
      <w:proofErr w:type="spellStart"/>
      <w:r>
        <w:t>Vshale</w:t>
      </w:r>
      <w:proofErr w:type="spellEnd"/>
      <w:r>
        <w:t xml:space="preserve"> range of 15-56%)</w:t>
      </w:r>
      <w:r w:rsidRPr="001558C5">
        <w:t xml:space="preserve">, low permeability (median range 1-259 </w:t>
      </w:r>
      <w:proofErr w:type="spellStart"/>
      <w:r w:rsidRPr="001558C5">
        <w:t>mD</w:t>
      </w:r>
      <w:proofErr w:type="spellEnd"/>
      <w:r w:rsidRPr="001558C5">
        <w:t xml:space="preserve">) and good porosity (median 12-25%). </w:t>
      </w:r>
      <w:r>
        <w:t>Seal</w:t>
      </w:r>
      <w:r w:rsidRPr="001558C5">
        <w:t xml:space="preserve"> was characteri</w:t>
      </w:r>
      <w:r>
        <w:t>sed by very high clay content (</w:t>
      </w:r>
      <w:proofErr w:type="spellStart"/>
      <w:r>
        <w:t>Vshale</w:t>
      </w:r>
      <w:proofErr w:type="spellEnd"/>
      <w:r w:rsidRPr="001558C5">
        <w:t xml:space="preserve"> median ranges from 54-84</w:t>
      </w:r>
      <w:r>
        <w:t>%</w:t>
      </w:r>
      <w:r w:rsidRPr="001558C5">
        <w:t>) with very low permeability (&lt;</w:t>
      </w:r>
      <w:r>
        <w:t>0.00</w:t>
      </w:r>
      <w:r w:rsidRPr="001558C5">
        <w:t>1</w:t>
      </w:r>
      <w:r>
        <w:t xml:space="preserve"> </w:t>
      </w:r>
      <w:proofErr w:type="spellStart"/>
      <w:r w:rsidRPr="001558C5">
        <w:t>mD</w:t>
      </w:r>
      <w:proofErr w:type="spellEnd"/>
      <w:r w:rsidRPr="001558C5">
        <w:t>).</w:t>
      </w:r>
      <w:r>
        <w:t xml:space="preserve"> For more information about these subdivisions see Appendix C</w:t>
      </w:r>
      <w:bookmarkEnd w:id="520"/>
      <w:bookmarkEnd w:id="521"/>
      <w:bookmarkEnd w:id="522"/>
      <w:bookmarkEnd w:id="523"/>
      <w:bookmarkEnd w:id="524"/>
      <w:bookmarkEnd w:id="525"/>
      <w:bookmarkEnd w:id="526"/>
      <w:bookmarkEnd w:id="527"/>
      <w:bookmarkEnd w:id="528"/>
      <w:bookmarkEnd w:id="529"/>
    </w:p>
    <w:p w:rsidR="00AE0B1A" w:rsidRDefault="00AE0B1A" w:rsidP="00AE0B1A">
      <w:pPr>
        <w:pStyle w:val="BodyText"/>
      </w:pPr>
      <w:r>
        <w:br w:type="page"/>
      </w:r>
      <w:r w:rsidRPr="00D17B8F">
        <w:lastRenderedPageBreak/>
        <w:t xml:space="preserve">This page is </w:t>
      </w:r>
      <w:r>
        <w:t>intentionally blank.</w:t>
      </w:r>
    </w:p>
    <w:p w:rsidR="00AE0B1A" w:rsidRDefault="00AE0B1A" w:rsidP="00AE0B1A">
      <w:pPr>
        <w:pStyle w:val="BodyText"/>
        <w:sectPr w:rsidR="00AE0B1A" w:rsidSect="009A01C9">
          <w:footerReference w:type="even" r:id="rId56"/>
          <w:footerReference w:type="default" r:id="rId57"/>
          <w:pgSz w:w="16839" w:h="23814" w:code="8"/>
          <w:pgMar w:top="1985" w:right="1418" w:bottom="1418" w:left="1418" w:header="720" w:footer="397" w:gutter="0"/>
          <w:cols w:space="720"/>
          <w:docGrid w:linePitch="272"/>
        </w:sectPr>
      </w:pPr>
    </w:p>
    <w:p w:rsidR="00AE0B1A" w:rsidRPr="00C94C2F" w:rsidRDefault="00AE0B1A" w:rsidP="00AE0B1A">
      <w:pPr>
        <w:pStyle w:val="Head3nonumbers"/>
      </w:pPr>
      <w:bookmarkStart w:id="530" w:name="_Toc378252895"/>
      <w:bookmarkStart w:id="531" w:name="_Toc378253219"/>
      <w:bookmarkStart w:id="532" w:name="_Toc378253543"/>
      <w:bookmarkStart w:id="533" w:name="_Toc378253867"/>
      <w:bookmarkStart w:id="534" w:name="_Toc378254191"/>
      <w:bookmarkStart w:id="535" w:name="_Toc378254515"/>
      <w:bookmarkStart w:id="536" w:name="_Toc378254839"/>
      <w:bookmarkStart w:id="537" w:name="_Toc378255163"/>
      <w:bookmarkStart w:id="538" w:name="_Toc383758221"/>
      <w:r>
        <w:lastRenderedPageBreak/>
        <w:t xml:space="preserve">Jurassic </w:t>
      </w:r>
      <w:r w:rsidRPr="00C94C2F">
        <w:t>Reservoir –</w:t>
      </w:r>
      <w:r>
        <w:t xml:space="preserve"> </w:t>
      </w:r>
      <w:r w:rsidRPr="00C94C2F">
        <w:t>Plover</w:t>
      </w:r>
      <w:r>
        <w:t>,</w:t>
      </w:r>
      <w:r w:rsidRPr="00C94C2F">
        <w:t xml:space="preserve"> </w:t>
      </w:r>
      <w:proofErr w:type="spellStart"/>
      <w:r w:rsidRPr="00C94C2F">
        <w:t>Elang</w:t>
      </w:r>
      <w:proofErr w:type="spellEnd"/>
      <w:r w:rsidRPr="00C94C2F">
        <w:t xml:space="preserve"> </w:t>
      </w:r>
      <w:r>
        <w:t>f</w:t>
      </w:r>
      <w:r w:rsidRPr="00C94C2F">
        <w:t xml:space="preserve">ormations and </w:t>
      </w:r>
      <w:r>
        <w:t>lower Frigate Shale</w:t>
      </w:r>
      <w:bookmarkEnd w:id="530"/>
      <w:bookmarkEnd w:id="531"/>
      <w:bookmarkEnd w:id="532"/>
      <w:bookmarkEnd w:id="533"/>
      <w:bookmarkEnd w:id="534"/>
      <w:bookmarkEnd w:id="535"/>
      <w:bookmarkEnd w:id="536"/>
      <w:bookmarkEnd w:id="537"/>
      <w:bookmarkEnd w:id="538"/>
    </w:p>
    <w:p w:rsidR="00AE0B1A" w:rsidRPr="00C94C2F" w:rsidRDefault="00AE0B1A" w:rsidP="00AE5C2D">
      <w:pPr>
        <w:pStyle w:val="BodyText"/>
      </w:pPr>
      <w:r w:rsidRPr="00C94C2F">
        <w:t xml:space="preserve">The </w:t>
      </w:r>
      <w:r>
        <w:t>Jurassic reservoir is</w:t>
      </w:r>
      <w:r w:rsidRPr="00C94C2F">
        <w:t xml:space="preserve"> identified as highly prospective </w:t>
      </w:r>
      <w:r>
        <w:t xml:space="preserve">with good </w:t>
      </w:r>
      <w:proofErr w:type="spellStart"/>
      <w:r>
        <w:t>petrophysical</w:t>
      </w:r>
      <w:proofErr w:type="spellEnd"/>
      <w:r>
        <w:t xml:space="preserve"> attributes</w:t>
      </w:r>
      <w:r w:rsidRPr="00C94C2F">
        <w:t xml:space="preserve"> for CO</w:t>
      </w:r>
      <w:r w:rsidRPr="009D5B2E">
        <w:rPr>
          <w:rStyle w:val="Subscript"/>
        </w:rPr>
        <w:t>2</w:t>
      </w:r>
      <w:r w:rsidRPr="00C94C2F">
        <w:t xml:space="preserve"> </w:t>
      </w:r>
      <w:r>
        <w:t xml:space="preserve">geological </w:t>
      </w:r>
      <w:r w:rsidRPr="00C94C2F">
        <w:t xml:space="preserve">storage. </w:t>
      </w:r>
      <w:r>
        <w:t>The lowermost formation of the Jurassic</w:t>
      </w:r>
      <w:r w:rsidRPr="00C94C2F">
        <w:t xml:space="preserve"> reservoir is the Plover Formation </w:t>
      </w:r>
      <w:r>
        <w:t>(</w:t>
      </w:r>
      <w:proofErr w:type="spellStart"/>
      <w:r w:rsidRPr="00C94C2F">
        <w:t>Hettangian</w:t>
      </w:r>
      <w:proofErr w:type="spellEnd"/>
      <w:r>
        <w:t xml:space="preserve"> to </w:t>
      </w:r>
      <w:proofErr w:type="spellStart"/>
      <w:r w:rsidRPr="00C94C2F">
        <w:t>Bat</w:t>
      </w:r>
      <w:r>
        <w:t>honian</w:t>
      </w:r>
      <w:proofErr w:type="spellEnd"/>
      <w:r>
        <w:t xml:space="preserve">, </w:t>
      </w:r>
      <w:proofErr w:type="spellStart"/>
      <w:r w:rsidRPr="009D5B2E">
        <w:rPr>
          <w:rStyle w:val="Italic"/>
        </w:rPr>
        <w:t>Corollina</w:t>
      </w:r>
      <w:proofErr w:type="spellEnd"/>
      <w:r w:rsidRPr="009D5B2E">
        <w:rPr>
          <w:rStyle w:val="Italic"/>
        </w:rPr>
        <w:t xml:space="preserve"> </w:t>
      </w:r>
      <w:proofErr w:type="spellStart"/>
      <w:r w:rsidRPr="009D5B2E">
        <w:rPr>
          <w:rStyle w:val="Italic"/>
        </w:rPr>
        <w:t>torosa</w:t>
      </w:r>
      <w:proofErr w:type="spellEnd"/>
      <w:r w:rsidRPr="00367911">
        <w:t xml:space="preserve"> to</w:t>
      </w:r>
      <w:r w:rsidRPr="009D5B2E">
        <w:rPr>
          <w:rStyle w:val="Italic"/>
        </w:rPr>
        <w:t xml:space="preserve"> </w:t>
      </w:r>
      <w:proofErr w:type="spellStart"/>
      <w:r w:rsidRPr="009D5B2E">
        <w:rPr>
          <w:rStyle w:val="Italic"/>
        </w:rPr>
        <w:t>Contignisporites</w:t>
      </w:r>
      <w:proofErr w:type="spellEnd"/>
      <w:r w:rsidRPr="009D5B2E">
        <w:rPr>
          <w:rStyle w:val="Italic"/>
        </w:rPr>
        <w:t xml:space="preserve"> </w:t>
      </w:r>
      <w:proofErr w:type="spellStart"/>
      <w:r w:rsidRPr="009D5B2E">
        <w:rPr>
          <w:rStyle w:val="Italic"/>
        </w:rPr>
        <w:t>cooksoniae</w:t>
      </w:r>
      <w:proofErr w:type="spellEnd"/>
      <w:r w:rsidRPr="009D5B2E">
        <w:rPr>
          <w:rStyle w:val="Italic"/>
        </w:rPr>
        <w:t xml:space="preserve"> </w:t>
      </w:r>
      <w:r>
        <w:t xml:space="preserve">zones). It is a predominantly massive, fine- to medium-grained </w:t>
      </w:r>
      <w:r w:rsidRPr="00C94C2F">
        <w:t>sandstone</w:t>
      </w:r>
      <w:r>
        <w:t xml:space="preserve"> of </w:t>
      </w:r>
      <w:r w:rsidRPr="00C94C2F">
        <w:t>fluvial-deltaic</w:t>
      </w:r>
      <w:r>
        <w:t xml:space="preserve"> origin</w:t>
      </w:r>
      <w:r w:rsidRPr="00C94C2F">
        <w:t xml:space="preserve">. The </w:t>
      </w:r>
      <w:proofErr w:type="spellStart"/>
      <w:r w:rsidRPr="00C94C2F">
        <w:t>Callovian</w:t>
      </w:r>
      <w:proofErr w:type="spellEnd"/>
      <w:r w:rsidRPr="00C94C2F">
        <w:t xml:space="preserve"> to Early </w:t>
      </w:r>
      <w:proofErr w:type="spellStart"/>
      <w:r w:rsidRPr="00C94C2F">
        <w:t>Oxfordian</w:t>
      </w:r>
      <w:proofErr w:type="spellEnd"/>
      <w:r>
        <w:t xml:space="preserve"> </w:t>
      </w:r>
      <w:proofErr w:type="spellStart"/>
      <w:r>
        <w:t>Elang</w:t>
      </w:r>
      <w:proofErr w:type="spellEnd"/>
      <w:r>
        <w:t xml:space="preserve"> Formation (spanning the </w:t>
      </w:r>
      <w:proofErr w:type="spellStart"/>
      <w:r w:rsidRPr="009D5B2E">
        <w:rPr>
          <w:rStyle w:val="Italic"/>
        </w:rPr>
        <w:t>Wanaea</w:t>
      </w:r>
      <w:proofErr w:type="spellEnd"/>
      <w:r w:rsidRPr="009D5B2E">
        <w:rPr>
          <w:rStyle w:val="Italic"/>
        </w:rPr>
        <w:t xml:space="preserve"> </w:t>
      </w:r>
      <w:proofErr w:type="spellStart"/>
      <w:r w:rsidRPr="009D5B2E">
        <w:rPr>
          <w:rStyle w:val="Italic"/>
        </w:rPr>
        <w:t>digitata</w:t>
      </w:r>
      <w:proofErr w:type="spellEnd"/>
      <w:r w:rsidRPr="009D5B2E">
        <w:rPr>
          <w:rStyle w:val="Italic"/>
        </w:rPr>
        <w:t xml:space="preserve">, </w:t>
      </w:r>
      <w:proofErr w:type="spellStart"/>
      <w:r w:rsidRPr="009D5B2E">
        <w:rPr>
          <w:rStyle w:val="Italic"/>
        </w:rPr>
        <w:t>Ternia</w:t>
      </w:r>
      <w:proofErr w:type="spellEnd"/>
      <w:r w:rsidRPr="009D5B2E">
        <w:rPr>
          <w:rStyle w:val="Italic"/>
        </w:rPr>
        <w:t xml:space="preserve"> </w:t>
      </w:r>
      <w:proofErr w:type="spellStart"/>
      <w:r w:rsidRPr="009D5B2E">
        <w:rPr>
          <w:rStyle w:val="Italic"/>
        </w:rPr>
        <w:t>Balmei</w:t>
      </w:r>
      <w:proofErr w:type="spellEnd"/>
      <w:r w:rsidRPr="009D5B2E">
        <w:rPr>
          <w:rStyle w:val="Italic"/>
        </w:rPr>
        <w:t xml:space="preserve"> </w:t>
      </w:r>
      <w:r w:rsidRPr="00C34FE6">
        <w:t xml:space="preserve">to </w:t>
      </w:r>
      <w:proofErr w:type="spellStart"/>
      <w:r w:rsidRPr="009D5B2E">
        <w:rPr>
          <w:rStyle w:val="Italic"/>
        </w:rPr>
        <w:t>Rigaudella</w:t>
      </w:r>
      <w:proofErr w:type="spellEnd"/>
      <w:r w:rsidRPr="009D5B2E">
        <w:rPr>
          <w:rStyle w:val="Italic"/>
        </w:rPr>
        <w:t xml:space="preserve"> </w:t>
      </w:r>
      <w:proofErr w:type="spellStart"/>
      <w:r w:rsidRPr="009D5B2E">
        <w:rPr>
          <w:rStyle w:val="Italic"/>
        </w:rPr>
        <w:t>aemula</w:t>
      </w:r>
      <w:proofErr w:type="spellEnd"/>
      <w:r w:rsidRPr="009D5B2E">
        <w:rPr>
          <w:rStyle w:val="Italic"/>
        </w:rPr>
        <w:t xml:space="preserve">, </w:t>
      </w:r>
      <w:proofErr w:type="spellStart"/>
      <w:r w:rsidRPr="009D5B2E">
        <w:rPr>
          <w:rStyle w:val="Italic"/>
        </w:rPr>
        <w:t>Ctenidodinium</w:t>
      </w:r>
      <w:proofErr w:type="spellEnd"/>
      <w:r w:rsidRPr="009D5B2E">
        <w:rPr>
          <w:rStyle w:val="Italic"/>
        </w:rPr>
        <w:t xml:space="preserve"> </w:t>
      </w:r>
      <w:proofErr w:type="spellStart"/>
      <w:r w:rsidRPr="009D5B2E">
        <w:rPr>
          <w:rStyle w:val="Italic"/>
        </w:rPr>
        <w:t>ancorum</w:t>
      </w:r>
      <w:proofErr w:type="spellEnd"/>
      <w:r>
        <w:t xml:space="preserve"> </w:t>
      </w:r>
      <w:proofErr w:type="spellStart"/>
      <w:r>
        <w:t>dinocyst</w:t>
      </w:r>
      <w:proofErr w:type="spellEnd"/>
      <w:r>
        <w:t xml:space="preserve"> zones) overlies the Plover Formation and</w:t>
      </w:r>
      <w:r w:rsidRPr="00C94C2F">
        <w:t xml:space="preserve"> compris</w:t>
      </w:r>
      <w:r>
        <w:t>es</w:t>
      </w:r>
      <w:r w:rsidRPr="00C94C2F">
        <w:t xml:space="preserve"> a massive medium- to coarse-</w:t>
      </w:r>
      <w:r>
        <w:t>grained</w:t>
      </w:r>
      <w:r w:rsidRPr="00C94C2F">
        <w:t xml:space="preserve"> sandstone</w:t>
      </w:r>
      <w:r>
        <w:t xml:space="preserve"> deposited in a delta plain-</w:t>
      </w:r>
      <w:proofErr w:type="spellStart"/>
      <w:r>
        <w:t>shoreface</w:t>
      </w:r>
      <w:proofErr w:type="spellEnd"/>
      <w:r>
        <w:t xml:space="preserve"> environment</w:t>
      </w:r>
      <w:r w:rsidRPr="00C94C2F">
        <w:t>. The uppermost formation of th</w:t>
      </w:r>
      <w:r>
        <w:t>e Jurassic</w:t>
      </w:r>
      <w:r w:rsidRPr="00C94C2F">
        <w:t xml:space="preserve"> reservoir </w:t>
      </w:r>
      <w:r>
        <w:t>is a sand-rich unit, here designated as the lower Frigate Shale</w:t>
      </w:r>
      <w:r w:rsidRPr="00C94C2F">
        <w:t xml:space="preserve"> (</w:t>
      </w:r>
      <w:proofErr w:type="spellStart"/>
      <w:r w:rsidRPr="00C94C2F">
        <w:t>Oxfordian-Tithonian</w:t>
      </w:r>
      <w:proofErr w:type="spellEnd"/>
      <w:r>
        <w:t xml:space="preserve">; </w:t>
      </w:r>
      <w:proofErr w:type="spellStart"/>
      <w:r w:rsidRPr="009D5B2E">
        <w:rPr>
          <w:rStyle w:val="Italic"/>
        </w:rPr>
        <w:t>Wanaea</w:t>
      </w:r>
      <w:proofErr w:type="spellEnd"/>
      <w:r w:rsidRPr="009D5B2E">
        <w:rPr>
          <w:rStyle w:val="Italic"/>
        </w:rPr>
        <w:t xml:space="preserve"> </w:t>
      </w:r>
      <w:proofErr w:type="spellStart"/>
      <w:r w:rsidRPr="009D5B2E">
        <w:rPr>
          <w:rStyle w:val="Italic"/>
        </w:rPr>
        <w:t>spectabilis</w:t>
      </w:r>
      <w:proofErr w:type="spellEnd"/>
      <w:r w:rsidRPr="009D5B2E">
        <w:rPr>
          <w:rStyle w:val="Italic"/>
        </w:rPr>
        <w:t xml:space="preserve">, </w:t>
      </w:r>
      <w:r w:rsidRPr="002E2122">
        <w:t>middle</w:t>
      </w:r>
      <w:r w:rsidRPr="009D5B2E">
        <w:rPr>
          <w:rStyle w:val="Italic"/>
        </w:rPr>
        <w:t xml:space="preserve"> </w:t>
      </w:r>
      <w:proofErr w:type="spellStart"/>
      <w:r w:rsidRPr="009D5B2E">
        <w:rPr>
          <w:rStyle w:val="Italic"/>
        </w:rPr>
        <w:t>Murospora</w:t>
      </w:r>
      <w:proofErr w:type="spellEnd"/>
      <w:r w:rsidRPr="009D5B2E">
        <w:rPr>
          <w:rStyle w:val="Italic"/>
        </w:rPr>
        <w:t xml:space="preserve"> </w:t>
      </w:r>
      <w:proofErr w:type="spellStart"/>
      <w:r w:rsidRPr="009D5B2E">
        <w:rPr>
          <w:rStyle w:val="Italic"/>
        </w:rPr>
        <w:t>florida</w:t>
      </w:r>
      <w:proofErr w:type="spellEnd"/>
      <w:r w:rsidRPr="009D5B2E">
        <w:rPr>
          <w:rStyle w:val="Italic"/>
        </w:rPr>
        <w:t xml:space="preserve"> </w:t>
      </w:r>
      <w:r w:rsidRPr="00C34FE6">
        <w:t xml:space="preserve">to </w:t>
      </w:r>
      <w:proofErr w:type="spellStart"/>
      <w:r w:rsidRPr="009D5B2E">
        <w:rPr>
          <w:rStyle w:val="Italic"/>
        </w:rPr>
        <w:t>Dingodinium</w:t>
      </w:r>
      <w:proofErr w:type="spellEnd"/>
      <w:r w:rsidRPr="009D5B2E">
        <w:rPr>
          <w:rStyle w:val="Italic"/>
        </w:rPr>
        <w:t xml:space="preserve"> </w:t>
      </w:r>
      <w:proofErr w:type="spellStart"/>
      <w:r w:rsidRPr="009D5B2E">
        <w:rPr>
          <w:rStyle w:val="Italic"/>
        </w:rPr>
        <w:t>jurassicum</w:t>
      </w:r>
      <w:proofErr w:type="spellEnd"/>
      <w:r w:rsidRPr="009D5B2E">
        <w:rPr>
          <w:rStyle w:val="Italic"/>
        </w:rPr>
        <w:t xml:space="preserve">, </w:t>
      </w:r>
      <w:r w:rsidRPr="002E2122">
        <w:t xml:space="preserve">middle </w:t>
      </w:r>
      <w:proofErr w:type="spellStart"/>
      <w:r w:rsidRPr="009D5B2E">
        <w:rPr>
          <w:rStyle w:val="Italic"/>
        </w:rPr>
        <w:t>Retitriletes</w:t>
      </w:r>
      <w:proofErr w:type="spellEnd"/>
      <w:r w:rsidRPr="009D5B2E">
        <w:rPr>
          <w:rStyle w:val="Italic"/>
        </w:rPr>
        <w:t xml:space="preserve"> </w:t>
      </w:r>
      <w:proofErr w:type="spellStart"/>
      <w:r w:rsidRPr="009D5B2E">
        <w:rPr>
          <w:rStyle w:val="Italic"/>
        </w:rPr>
        <w:t>watherooensis</w:t>
      </w:r>
      <w:proofErr w:type="spellEnd"/>
      <w:r w:rsidRPr="009D5B2E">
        <w:rPr>
          <w:rStyle w:val="Italic"/>
        </w:rPr>
        <w:t xml:space="preserve"> </w:t>
      </w:r>
      <w:r w:rsidRPr="00367911">
        <w:t>zones</w:t>
      </w:r>
      <w:r w:rsidRPr="00C94C2F">
        <w:t xml:space="preserve">) </w:t>
      </w:r>
      <w:r>
        <w:t xml:space="preserve">and </w:t>
      </w:r>
      <w:r w:rsidRPr="00C94C2F">
        <w:t xml:space="preserve">lies </w:t>
      </w:r>
      <w:proofErr w:type="spellStart"/>
      <w:r w:rsidRPr="00C94C2F">
        <w:t>disconformably</w:t>
      </w:r>
      <w:proofErr w:type="spellEnd"/>
      <w:r w:rsidRPr="00C94C2F">
        <w:t xml:space="preserve"> over the </w:t>
      </w:r>
      <w:proofErr w:type="spellStart"/>
      <w:r w:rsidRPr="00C94C2F">
        <w:t>Elang</w:t>
      </w:r>
      <w:proofErr w:type="spellEnd"/>
      <w:r w:rsidRPr="00C94C2F">
        <w:t xml:space="preserve"> Formation. The lower Frigate </w:t>
      </w:r>
      <w:r>
        <w:t xml:space="preserve">Shale was deposited in a middle </w:t>
      </w:r>
      <w:proofErr w:type="spellStart"/>
      <w:r>
        <w:t>shoreface</w:t>
      </w:r>
      <w:proofErr w:type="spellEnd"/>
      <w:r>
        <w:t xml:space="preserve"> setting and</w:t>
      </w:r>
      <w:r w:rsidRPr="00C94C2F">
        <w:t xml:space="preserve"> </w:t>
      </w:r>
      <w:r>
        <w:t xml:space="preserve">comprises </w:t>
      </w:r>
      <w:r w:rsidRPr="00C94C2F">
        <w:t>thinly bedded,</w:t>
      </w:r>
      <w:r>
        <w:t xml:space="preserve"> </w:t>
      </w:r>
      <w:proofErr w:type="spellStart"/>
      <w:r>
        <w:t>bioturbated</w:t>
      </w:r>
      <w:proofErr w:type="spellEnd"/>
      <w:r>
        <w:t>, very fine-grained</w:t>
      </w:r>
      <w:r w:rsidRPr="00C94C2F">
        <w:t xml:space="preserve"> sandstone</w:t>
      </w:r>
      <w:r w:rsidRPr="00C94C2F">
        <w:rPr>
          <w:rFonts w:cs="Calibri"/>
        </w:rPr>
        <w:t>.</w:t>
      </w:r>
      <w:r>
        <w:rPr>
          <w:rFonts w:cs="Calibri"/>
        </w:rPr>
        <w:t xml:space="preserve"> </w:t>
      </w:r>
      <w:r w:rsidRPr="00C94C2F">
        <w:t xml:space="preserve">There was a south and </w:t>
      </w:r>
      <w:r>
        <w:t>southeast</w:t>
      </w:r>
      <w:r w:rsidRPr="00C94C2F">
        <w:t xml:space="preserve"> source</w:t>
      </w:r>
      <w:r>
        <w:t xml:space="preserve"> of sediment supply</w:t>
      </w:r>
      <w:r w:rsidRPr="00C94C2F">
        <w:t xml:space="preserve"> for </w:t>
      </w:r>
      <w:r>
        <w:t>the lower</w:t>
      </w:r>
      <w:r w:rsidRPr="00C94C2F">
        <w:t xml:space="preserve"> formations</w:t>
      </w:r>
      <w:r>
        <w:t>, however, sediments in the lower Frigate Shale were sourced predominantly from the south and west of the sub-basin</w:t>
      </w:r>
      <w:r w:rsidRPr="00C94C2F">
        <w:t>. According to petrologic analysis and mineral abundances</w:t>
      </w:r>
      <w:r>
        <w:t>,</w:t>
      </w:r>
      <w:r w:rsidRPr="00C94C2F">
        <w:t xml:space="preserve"> the Plover and </w:t>
      </w:r>
      <w:proofErr w:type="spellStart"/>
      <w:r w:rsidRPr="00C94C2F">
        <w:t>Elang</w:t>
      </w:r>
      <w:proofErr w:type="spellEnd"/>
      <w:r w:rsidRPr="00C94C2F">
        <w:t xml:space="preserve"> formations are classified as </w:t>
      </w:r>
      <w:proofErr w:type="spellStart"/>
      <w:r w:rsidRPr="00C94C2F">
        <w:t>quartzarenite</w:t>
      </w:r>
      <w:proofErr w:type="spellEnd"/>
      <w:r w:rsidRPr="00C94C2F">
        <w:t xml:space="preserve"> to </w:t>
      </w:r>
      <w:proofErr w:type="spellStart"/>
      <w:r w:rsidRPr="00C94C2F">
        <w:t>sublitharenite</w:t>
      </w:r>
      <w:proofErr w:type="spellEnd"/>
      <w:r w:rsidRPr="00C94C2F">
        <w:t>, whereas</w:t>
      </w:r>
      <w:r>
        <w:t xml:space="preserve"> the lower Frigate Shale is</w:t>
      </w:r>
      <w:r w:rsidRPr="00C94C2F">
        <w:t xml:space="preserve"> determined to be a </w:t>
      </w:r>
      <w:proofErr w:type="spellStart"/>
      <w:r w:rsidRPr="00C94C2F">
        <w:t>litharenite</w:t>
      </w:r>
      <w:proofErr w:type="spellEnd"/>
      <w:r w:rsidRPr="00C94C2F">
        <w:t xml:space="preserve"> to lithic</w:t>
      </w:r>
      <w:r>
        <w:t xml:space="preserve"> </w:t>
      </w:r>
      <w:r w:rsidRPr="00C94C2F">
        <w:t>wacke (</w:t>
      </w:r>
      <w:r>
        <w:fldChar w:fldCharType="begin"/>
      </w:r>
      <w:r>
        <w:instrText xml:space="preserve"> REF _Ref372804652 \h </w:instrText>
      </w:r>
      <w:r>
        <w:fldChar w:fldCharType="separate"/>
      </w:r>
      <w:r w:rsidR="00F64E4F" w:rsidRPr="002F4AE8">
        <w:t xml:space="preserve">Figure </w:t>
      </w:r>
      <w:r w:rsidR="00F64E4F">
        <w:rPr>
          <w:noProof/>
        </w:rPr>
        <w:t>6</w:t>
      </w:r>
      <w:r w:rsidR="00F64E4F">
        <w:t>.</w:t>
      </w:r>
      <w:r w:rsidR="00F64E4F">
        <w:rPr>
          <w:noProof/>
        </w:rPr>
        <w:t>3</w:t>
      </w:r>
      <w:r>
        <w:fldChar w:fldCharType="end"/>
      </w:r>
      <w:r>
        <w:t>; Appendix C).</w:t>
      </w:r>
      <w:r w:rsidR="00AE5C2D">
        <w:t xml:space="preserve"> </w:t>
      </w:r>
      <w:r w:rsidRPr="00C94C2F">
        <w:t>Seismic</w:t>
      </w:r>
      <w:r>
        <w:t xml:space="preserve"> and stratigraphic interpretation shows </w:t>
      </w:r>
      <w:r w:rsidRPr="00C94C2F">
        <w:t xml:space="preserve">that the </w:t>
      </w:r>
      <w:r>
        <w:t>formations of the Jurassic reservoir are</w:t>
      </w:r>
      <w:r w:rsidRPr="00C94C2F">
        <w:t xml:space="preserve"> widely distrib</w:t>
      </w:r>
      <w:r w:rsidRPr="0075440A">
        <w:t>uted across the study area (</w:t>
      </w:r>
      <w:r>
        <w:fldChar w:fldCharType="begin"/>
      </w:r>
      <w:r>
        <w:instrText xml:space="preserve"> REF _Ref372804609 \h </w:instrText>
      </w:r>
      <w:r>
        <w:fldChar w:fldCharType="separate"/>
      </w:r>
      <w:r w:rsidR="00F64E4F">
        <w:t xml:space="preserve">Figure </w:t>
      </w:r>
      <w:r w:rsidR="00F64E4F">
        <w:rPr>
          <w:noProof/>
        </w:rPr>
        <w:t>6</w:t>
      </w:r>
      <w:r w:rsidR="00F64E4F">
        <w:t>.</w:t>
      </w:r>
      <w:r w:rsidR="00F64E4F">
        <w:rPr>
          <w:noProof/>
        </w:rPr>
        <w:t>1</w:t>
      </w:r>
      <w:r>
        <w:fldChar w:fldCharType="end"/>
      </w:r>
      <w:r>
        <w:t xml:space="preserve"> and</w:t>
      </w:r>
      <w:r w:rsidR="00AE5C2D">
        <w:t xml:space="preserve"> </w:t>
      </w:r>
      <w:r w:rsidR="00AE5C2D">
        <w:fldChar w:fldCharType="begin"/>
      </w:r>
      <w:r w:rsidR="00AE5C2D">
        <w:instrText xml:space="preserve"> REF _Ref380998469 \h </w:instrText>
      </w:r>
      <w:r w:rsidR="00AE5C2D">
        <w:fldChar w:fldCharType="separate"/>
      </w:r>
      <w:r w:rsidR="00F64E4F">
        <w:t>Figure </w:t>
      </w:r>
      <w:r w:rsidR="00F64E4F">
        <w:rPr>
          <w:noProof/>
        </w:rPr>
        <w:t>6</w:t>
      </w:r>
      <w:r w:rsidR="00F64E4F">
        <w:t>.</w:t>
      </w:r>
      <w:r w:rsidR="00F64E4F">
        <w:rPr>
          <w:noProof/>
        </w:rPr>
        <w:t>4</w:t>
      </w:r>
      <w:r w:rsidR="00AE5C2D">
        <w:fldChar w:fldCharType="end"/>
      </w:r>
      <w:r w:rsidRPr="0075440A">
        <w:t xml:space="preserve">). As with most formations in the Petrel Sub-basin, the lower reservoir thickens towards the </w:t>
      </w:r>
      <w:r>
        <w:t>northwest</w:t>
      </w:r>
      <w:r w:rsidRPr="0075440A">
        <w:t>. The gross thickness of the reservoir averages around 300 m and is thickest at the Petrel gas field</w:t>
      </w:r>
      <w:r>
        <w:t>,</w:t>
      </w:r>
      <w:r w:rsidRPr="0075440A">
        <w:t xml:space="preserve"> thinning towards the flanks (</w:t>
      </w:r>
      <w:r>
        <w:fldChar w:fldCharType="begin"/>
      </w:r>
      <w:r>
        <w:instrText xml:space="preserve"> REF _Ref372804609 \h </w:instrText>
      </w:r>
      <w:r>
        <w:fldChar w:fldCharType="separate"/>
      </w:r>
      <w:r w:rsidR="00F64E4F">
        <w:t xml:space="preserve">Figure </w:t>
      </w:r>
      <w:r w:rsidR="00F64E4F">
        <w:rPr>
          <w:noProof/>
        </w:rPr>
        <w:t>6</w:t>
      </w:r>
      <w:r w:rsidR="00F64E4F">
        <w:t>.</w:t>
      </w:r>
      <w:r w:rsidR="00F64E4F">
        <w:rPr>
          <w:noProof/>
        </w:rPr>
        <w:t>1</w:t>
      </w:r>
      <w:r>
        <w:fldChar w:fldCharType="end"/>
      </w:r>
      <w:r w:rsidRPr="0075440A">
        <w:t xml:space="preserve">, </w:t>
      </w:r>
      <w:r>
        <w:fldChar w:fldCharType="begin"/>
      </w:r>
      <w:r>
        <w:instrText xml:space="preserve"> REF _Ref372804598 \h </w:instrText>
      </w:r>
      <w:r>
        <w:fldChar w:fldCharType="separate"/>
      </w:r>
      <w:r w:rsidR="00F64E4F">
        <w:t xml:space="preserve">Figure </w:t>
      </w:r>
      <w:r w:rsidR="00F64E4F">
        <w:rPr>
          <w:noProof/>
        </w:rPr>
        <w:t>6</w:t>
      </w:r>
      <w:r w:rsidR="00F64E4F">
        <w:t>.</w:t>
      </w:r>
      <w:r w:rsidR="00F64E4F">
        <w:rPr>
          <w:noProof/>
        </w:rPr>
        <w:t>2</w:t>
      </w:r>
      <w:r>
        <w:fldChar w:fldCharType="end"/>
      </w:r>
      <w:r>
        <w:t>, and</w:t>
      </w:r>
      <w:r w:rsidR="00AE5C2D">
        <w:t xml:space="preserve"> </w:t>
      </w:r>
      <w:r w:rsidR="00AE5C2D">
        <w:fldChar w:fldCharType="begin"/>
      </w:r>
      <w:r w:rsidR="00AE5C2D">
        <w:instrText xml:space="preserve"> REF _Ref380998469 \h </w:instrText>
      </w:r>
      <w:r w:rsidR="00AE5C2D">
        <w:fldChar w:fldCharType="separate"/>
      </w:r>
      <w:r w:rsidR="00F64E4F">
        <w:t>Figure </w:t>
      </w:r>
      <w:r w:rsidR="00F64E4F">
        <w:rPr>
          <w:noProof/>
        </w:rPr>
        <w:t>6</w:t>
      </w:r>
      <w:r w:rsidR="00F64E4F">
        <w:t>.</w:t>
      </w:r>
      <w:r w:rsidR="00F64E4F">
        <w:rPr>
          <w:noProof/>
        </w:rPr>
        <w:t>4</w:t>
      </w:r>
      <w:r w:rsidR="00AE5C2D">
        <w:fldChar w:fldCharType="end"/>
      </w:r>
      <w:r w:rsidRPr="0075440A">
        <w:t xml:space="preserve">). </w:t>
      </w:r>
      <w:proofErr w:type="spellStart"/>
      <w:r w:rsidRPr="0075440A">
        <w:t>Petrophysical</w:t>
      </w:r>
      <w:proofErr w:type="spellEnd"/>
      <w:r w:rsidRPr="0075440A">
        <w:t xml:space="preserve"> well data </w:t>
      </w:r>
      <w:r>
        <w:t>indicate</w:t>
      </w:r>
      <w:r w:rsidRPr="0075440A">
        <w:t xml:space="preserve"> a high sand content (average 85%; </w:t>
      </w:r>
      <w:r w:rsidR="00B30F18">
        <w:fldChar w:fldCharType="begin"/>
      </w:r>
      <w:r w:rsidR="00B30F18">
        <w:instrText xml:space="preserve"> REF _Ref380156553 \h </w:instrText>
      </w:r>
      <w:r w:rsidR="00B30F18">
        <w:fldChar w:fldCharType="separate"/>
      </w:r>
      <w:r w:rsidR="00F64E4F">
        <w:t>Table </w:t>
      </w:r>
      <w:r w:rsidR="00F64E4F">
        <w:rPr>
          <w:noProof/>
        </w:rPr>
        <w:t>6</w:t>
      </w:r>
      <w:r w:rsidR="00F64E4F">
        <w:t>.</w:t>
      </w:r>
      <w:r w:rsidR="00F64E4F">
        <w:rPr>
          <w:noProof/>
        </w:rPr>
        <w:t>2</w:t>
      </w:r>
      <w:r w:rsidR="00B30F18">
        <w:fldChar w:fldCharType="end"/>
      </w:r>
      <w:r w:rsidRPr="0075440A">
        <w:t xml:space="preserve">) and evidence from the geological model and seismic </w:t>
      </w:r>
      <w:proofErr w:type="spellStart"/>
      <w:r w:rsidRPr="0075440A">
        <w:t>facies</w:t>
      </w:r>
      <w:proofErr w:type="spellEnd"/>
      <w:r w:rsidRPr="0075440A">
        <w:t xml:space="preserve"> interpretation indicates that reservoir connectivity is good to excellent. The </w:t>
      </w:r>
      <w:proofErr w:type="spellStart"/>
      <w:r w:rsidRPr="0075440A">
        <w:t>petrophysical</w:t>
      </w:r>
      <w:proofErr w:type="spellEnd"/>
      <w:r w:rsidRPr="0075440A">
        <w:t xml:space="preserve"> data </w:t>
      </w:r>
      <w:r>
        <w:t>confirm</w:t>
      </w:r>
      <w:r w:rsidRPr="0075440A">
        <w:t xml:space="preserve"> the depositional environment interpretation for the Jurassic reservoir where the fluvial to deltaic-coastal environments would result in the deposition of successive, amalgamated sand units. The identification of local but laterally continuous layers of siltstone and mudstones, especially in the Plover Formation and lower Frigate Shale</w:t>
      </w:r>
      <w:r>
        <w:t>,</w:t>
      </w:r>
      <w:r w:rsidRPr="0075440A">
        <w:t xml:space="preserve"> would potentially act as baffles and provide vertical barriers to CO</w:t>
      </w:r>
      <w:r w:rsidRPr="009D5B2E">
        <w:rPr>
          <w:rStyle w:val="Subscript"/>
        </w:rPr>
        <w:t>2</w:t>
      </w:r>
      <w:r w:rsidRPr="0075440A">
        <w:t xml:space="preserve"> plume migration. These intra-formational seals make the lower reservoir an attractive target as the</w:t>
      </w:r>
      <w:r>
        <w:t>y</w:t>
      </w:r>
      <w:r w:rsidRPr="0075440A">
        <w:t xml:space="preserve"> laterally distribute the CO</w:t>
      </w:r>
      <w:r w:rsidRPr="009D5B2E">
        <w:rPr>
          <w:rStyle w:val="Subscript"/>
        </w:rPr>
        <w:t>2</w:t>
      </w:r>
      <w:r w:rsidRPr="0075440A">
        <w:t xml:space="preserve"> plume after injection, increas</w:t>
      </w:r>
      <w:r>
        <w:t>ing</w:t>
      </w:r>
      <w:r w:rsidRPr="0075440A">
        <w:t xml:space="preserve"> the solubility of the CO</w:t>
      </w:r>
      <w:r w:rsidRPr="009D5B2E">
        <w:rPr>
          <w:rStyle w:val="Subscript"/>
        </w:rPr>
        <w:t>2</w:t>
      </w:r>
      <w:r w:rsidRPr="0075440A">
        <w:t xml:space="preserve"> in saline water and residual trapping</w:t>
      </w:r>
      <w:r>
        <w:t xml:space="preserve">. </w:t>
      </w:r>
      <w:r w:rsidRPr="0075440A">
        <w:t>The interpretation of thick, laterally continuous sand units and minor mudstones and siltstones in the well log and seismic data is supported by the seismic inversion study</w:t>
      </w:r>
      <w:r>
        <w:t xml:space="preserve"> </w:t>
      </w:r>
      <w:r w:rsidRPr="0075440A">
        <w:t>(</w:t>
      </w:r>
      <w:r>
        <w:t>Appendix M</w:t>
      </w:r>
      <w:r w:rsidRPr="0075440A">
        <w:t>)</w:t>
      </w:r>
      <w:r>
        <w:t>. T</w:t>
      </w:r>
      <w:r w:rsidRPr="0075440A">
        <w:t xml:space="preserve">he thick, massive sand units of the Jurassic reservoir were distributed </w:t>
      </w:r>
      <w:r>
        <w:t xml:space="preserve">continuously </w:t>
      </w:r>
      <w:r w:rsidRPr="0075440A">
        <w:t xml:space="preserve">across the sub-basin </w:t>
      </w:r>
      <w:r>
        <w:t>although</w:t>
      </w:r>
      <w:r w:rsidRPr="0075440A">
        <w:t xml:space="preserve"> minor, locally distributed sealing units </w:t>
      </w:r>
      <w:r>
        <w:t xml:space="preserve">are also occasionally </w:t>
      </w:r>
      <w:r w:rsidRPr="0075440A">
        <w:t>present (</w:t>
      </w:r>
      <w:r>
        <w:fldChar w:fldCharType="begin"/>
      </w:r>
      <w:r>
        <w:instrText xml:space="preserve"> REF _Ref372804713 \h </w:instrText>
      </w:r>
      <w:r>
        <w:fldChar w:fldCharType="separate"/>
      </w:r>
      <w:r w:rsidR="00F64E4F">
        <w:t xml:space="preserve">Figure </w:t>
      </w:r>
      <w:r w:rsidR="00F64E4F">
        <w:rPr>
          <w:noProof/>
        </w:rPr>
        <w:t>6</w:t>
      </w:r>
      <w:r w:rsidR="00F64E4F">
        <w:t>.</w:t>
      </w:r>
      <w:r w:rsidR="00F64E4F">
        <w:rPr>
          <w:noProof/>
        </w:rPr>
        <w:t>5</w:t>
      </w:r>
      <w:r>
        <w:fldChar w:fldCharType="end"/>
      </w:r>
      <w:r w:rsidRPr="0075440A">
        <w:t>).</w:t>
      </w:r>
    </w:p>
    <w:p w:rsidR="00AE0B1A" w:rsidRPr="00C94C2F" w:rsidRDefault="00AE0B1A" w:rsidP="00AE0B1A">
      <w:pPr>
        <w:pStyle w:val="BodyText"/>
      </w:pPr>
      <w:r>
        <w:t>T</w:t>
      </w:r>
      <w:r w:rsidRPr="00C94C2F">
        <w:t xml:space="preserve">he </w:t>
      </w:r>
      <w:r>
        <w:t>Jurassic</w:t>
      </w:r>
      <w:r w:rsidRPr="00C94C2F">
        <w:t xml:space="preserve"> reservoir </w:t>
      </w:r>
      <w:r w:rsidRPr="00DE0603">
        <w:t>has well-log calculated porosities from 20-30% on the</w:t>
      </w:r>
      <w:r>
        <w:t xml:space="preserve"> shallow</w:t>
      </w:r>
      <w:r w:rsidRPr="00DE0603">
        <w:t xml:space="preserve"> margin of the sub-basin to around </w:t>
      </w:r>
      <w:r>
        <w:t xml:space="preserve">17% in the centre. </w:t>
      </w:r>
      <w:proofErr w:type="spellStart"/>
      <w:r>
        <w:t>P</w:t>
      </w:r>
      <w:r w:rsidRPr="00DE0603">
        <w:t>ermeabilities</w:t>
      </w:r>
      <w:proofErr w:type="spellEnd"/>
      <w:r w:rsidRPr="00DE0603">
        <w:t xml:space="preserve"> rang</w:t>
      </w:r>
      <w:r>
        <w:t xml:space="preserve">e </w:t>
      </w:r>
      <w:r w:rsidRPr="00DE0603">
        <w:t xml:space="preserve">from </w:t>
      </w:r>
      <w:r>
        <w:t>65</w:t>
      </w:r>
      <w:r w:rsidRPr="00DE0603">
        <w:t xml:space="preserve"> to </w:t>
      </w:r>
      <w:r>
        <w:t>4022</w:t>
      </w:r>
      <w:r w:rsidRPr="00DE0603">
        <w:t xml:space="preserve"> </w:t>
      </w:r>
      <w:proofErr w:type="spellStart"/>
      <w:r w:rsidRPr="00DE0603">
        <w:t>mD</w:t>
      </w:r>
      <w:proofErr w:type="spellEnd"/>
      <w:r>
        <w:t>, with higher values found on the basin margin</w:t>
      </w:r>
      <w:r w:rsidRPr="00DE0603">
        <w:t xml:space="preserve"> </w:t>
      </w:r>
      <w:r w:rsidRPr="00C94C2F">
        <w:t>(</w:t>
      </w:r>
      <w:r w:rsidR="00B30F18">
        <w:fldChar w:fldCharType="begin"/>
      </w:r>
      <w:r w:rsidR="00B30F18">
        <w:instrText xml:space="preserve"> REF _Ref380156553 \h </w:instrText>
      </w:r>
      <w:r w:rsidR="00B30F18">
        <w:fldChar w:fldCharType="separate"/>
      </w:r>
      <w:r w:rsidR="00F64E4F">
        <w:t>Table </w:t>
      </w:r>
      <w:r w:rsidR="00F64E4F">
        <w:rPr>
          <w:noProof/>
        </w:rPr>
        <w:t>6</w:t>
      </w:r>
      <w:r w:rsidR="00F64E4F">
        <w:t>.</w:t>
      </w:r>
      <w:r w:rsidR="00F64E4F">
        <w:rPr>
          <w:noProof/>
        </w:rPr>
        <w:t>2</w:t>
      </w:r>
      <w:r w:rsidR="00B30F18">
        <w:fldChar w:fldCharType="end"/>
      </w:r>
      <w:r>
        <w:t xml:space="preserve">; </w:t>
      </w:r>
      <w:r w:rsidRPr="00367911">
        <w:t xml:space="preserve">Appendix B). The </w:t>
      </w:r>
      <w:proofErr w:type="spellStart"/>
      <w:r w:rsidRPr="00367911">
        <w:t>petrophysical</w:t>
      </w:r>
      <w:proofErr w:type="spellEnd"/>
      <w:r w:rsidRPr="00367911">
        <w:t xml:space="preserve"> results are comparable to the averaged measured core values of the </w:t>
      </w:r>
      <w:proofErr w:type="spellStart"/>
      <w:r w:rsidRPr="00367911">
        <w:t>Elang</w:t>
      </w:r>
      <w:proofErr w:type="spellEnd"/>
      <w:r w:rsidRPr="00367911">
        <w:t xml:space="preserve"> and Plover formations with measurements of 10</w:t>
      </w:r>
      <w:r w:rsidRPr="00DE0603">
        <w:t>% in Gull</w:t>
      </w:r>
      <w:r>
        <w:t> </w:t>
      </w:r>
      <w:r w:rsidRPr="00DE0603">
        <w:t>1 and 21% in Petrel 1 (</w:t>
      </w:r>
      <w:r w:rsidR="00B30F18">
        <w:fldChar w:fldCharType="begin"/>
      </w:r>
      <w:r w:rsidR="00B30F18">
        <w:instrText xml:space="preserve"> REF _Ref380156553 \h </w:instrText>
      </w:r>
      <w:r w:rsidR="00B30F18">
        <w:fldChar w:fldCharType="separate"/>
      </w:r>
      <w:r w:rsidR="00F64E4F">
        <w:t>Table </w:t>
      </w:r>
      <w:r w:rsidR="00F64E4F">
        <w:rPr>
          <w:noProof/>
        </w:rPr>
        <w:t>6</w:t>
      </w:r>
      <w:r w:rsidR="00F64E4F">
        <w:t>.</w:t>
      </w:r>
      <w:r w:rsidR="00F64E4F">
        <w:rPr>
          <w:noProof/>
        </w:rPr>
        <w:t>2</w:t>
      </w:r>
      <w:r w:rsidR="00B30F18">
        <w:fldChar w:fldCharType="end"/>
      </w:r>
      <w:r>
        <w:t>; Appendix G</w:t>
      </w:r>
      <w:r w:rsidRPr="00C94C2F">
        <w:t xml:space="preserve">). These </w:t>
      </w:r>
      <w:r>
        <w:t>values</w:t>
      </w:r>
      <w:r w:rsidRPr="00C94C2F">
        <w:t xml:space="preserve"> are consistent with the visual porosity estimates</w:t>
      </w:r>
      <w:r>
        <w:t xml:space="preserve"> from petrographic analysis (Appendix B)</w:t>
      </w:r>
      <w:r w:rsidRPr="00C94C2F">
        <w:t xml:space="preserve">. </w:t>
      </w:r>
      <w:r>
        <w:t>Overall, the</w:t>
      </w:r>
      <w:r w:rsidRPr="00C94C2F">
        <w:t xml:space="preserve"> porosity and permeability increases up</w:t>
      </w:r>
      <w:r>
        <w:t>-</w:t>
      </w:r>
      <w:r w:rsidRPr="00C94C2F">
        <w:t xml:space="preserve">section throughout the reservoir, with excellent reservoir properties in the </w:t>
      </w:r>
      <w:proofErr w:type="spellStart"/>
      <w:r w:rsidRPr="00C94C2F">
        <w:t>Elang</w:t>
      </w:r>
      <w:proofErr w:type="spellEnd"/>
      <w:r w:rsidRPr="00C94C2F">
        <w:t xml:space="preserve"> Formation</w:t>
      </w:r>
      <w:r>
        <w:t xml:space="preserve"> and decreasing slightly in the lower Frigate Shale</w:t>
      </w:r>
      <w:r w:rsidRPr="00C94C2F">
        <w:t>.</w:t>
      </w:r>
    </w:p>
    <w:p w:rsidR="00AE0B1A" w:rsidRDefault="00AE0B1A" w:rsidP="00AE0B1A">
      <w:pPr>
        <w:pStyle w:val="Figuresandimagescentred"/>
      </w:pPr>
      <w:r>
        <w:rPr>
          <w:noProof/>
        </w:rPr>
        <w:lastRenderedPageBreak/>
        <w:drawing>
          <wp:inline distT="0" distB="0" distL="0" distR="0" wp14:anchorId="5A643EFF" wp14:editId="52D1A1DD">
            <wp:extent cx="4615200" cy="6958800"/>
            <wp:effectExtent l="0" t="0" r="0" b="0"/>
            <wp:docPr id="2078" name="Picture 2078" descr="Due to the complexity of this document and the niche scientific target audience, no alternative description has been provided. Please email Geoscience Australia at clientservices@ga.gov.au for an alternative description." title="Fig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6finaldocs\9GA Record Concise Figures Final (GAV approved)\GAV Completed\13-6963-10.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r="6759"/>
                    <a:stretch/>
                  </pic:blipFill>
                  <pic:spPr bwMode="auto">
                    <a:xfrm>
                      <a:off x="0" y="0"/>
                      <a:ext cx="4615200" cy="6958800"/>
                    </a:xfrm>
                    <a:prstGeom prst="rect">
                      <a:avLst/>
                    </a:prstGeom>
                    <a:noFill/>
                    <a:ln>
                      <a:noFill/>
                    </a:ln>
                    <a:extLst>
                      <a:ext uri="{53640926-AAD7-44D8-BBD7-CCE9431645EC}">
                        <a14:shadowObscured xmlns:a14="http://schemas.microsoft.com/office/drawing/2010/main"/>
                      </a:ext>
                    </a:extLst>
                  </pic:spPr>
                </pic:pic>
              </a:graphicData>
            </a:graphic>
          </wp:inline>
        </w:drawing>
      </w:r>
    </w:p>
    <w:p w:rsidR="002F4AE8" w:rsidRDefault="00AE0B1A" w:rsidP="00AE0B1A">
      <w:pPr>
        <w:pStyle w:val="Caption"/>
      </w:pPr>
      <w:bookmarkStart w:id="539" w:name="_Ref372804652"/>
      <w:bookmarkStart w:id="540" w:name="_Toc373095011"/>
      <w:bookmarkStart w:id="541" w:name="_Toc378252741"/>
      <w:bookmarkStart w:id="542" w:name="_Toc378253065"/>
      <w:bookmarkStart w:id="543" w:name="_Toc378253389"/>
      <w:bookmarkStart w:id="544" w:name="_Toc378253713"/>
      <w:bookmarkStart w:id="545" w:name="_Toc378254037"/>
      <w:bookmarkStart w:id="546" w:name="_Toc378254361"/>
      <w:bookmarkStart w:id="547" w:name="_Toc378254685"/>
      <w:bookmarkStart w:id="548" w:name="_Toc378255009"/>
      <w:bookmarkStart w:id="549" w:name="_Toc378255358"/>
      <w:r w:rsidRPr="002F4AE8">
        <w:t xml:space="preserve">Figure </w:t>
      </w:r>
      <w:fldSimple w:instr=" STYLEREF 1 \s ">
        <w:r w:rsidR="00F64E4F">
          <w:rPr>
            <w:noProof/>
          </w:rPr>
          <w:t>6</w:t>
        </w:r>
      </w:fldSimple>
      <w:r w:rsidR="00AE5C2D">
        <w:t>.</w:t>
      </w:r>
      <w:fldSimple w:instr=" SEQ Figure \* ARABIC \s 1 ">
        <w:r w:rsidR="00F64E4F">
          <w:rPr>
            <w:noProof/>
          </w:rPr>
          <w:t>3</w:t>
        </w:r>
      </w:fldSimple>
      <w:bookmarkEnd w:id="539"/>
      <w:r w:rsidRPr="002F4AE8">
        <w:t xml:space="preserve"> Key petrographic sections and mineral maps of the Jurassic reservoir. (a-b) </w:t>
      </w:r>
      <w:proofErr w:type="spellStart"/>
      <w:r w:rsidRPr="002F4AE8">
        <w:t>Elang</w:t>
      </w:r>
      <w:proofErr w:type="spellEnd"/>
      <w:r w:rsidRPr="002F4AE8">
        <w:t xml:space="preserve"> Formation, Petrel 1, </w:t>
      </w:r>
      <w:proofErr w:type="gramStart"/>
      <w:r w:rsidRPr="002F4AE8">
        <w:t>1967.5</w:t>
      </w:r>
      <w:proofErr w:type="gramEnd"/>
      <w:r w:rsidRPr="002F4AE8">
        <w:t xml:space="preserve"> m. (a) Thin section photomicrograph illustrating the occurrence of overgrowth silica cement and K-feldspar microcline grain, cross polarised light. (b) Mineral map and legend. (c-d) </w:t>
      </w:r>
      <w:proofErr w:type="spellStart"/>
      <w:r w:rsidRPr="002F4AE8">
        <w:t>Elang</w:t>
      </w:r>
      <w:proofErr w:type="spellEnd"/>
      <w:r w:rsidRPr="002F4AE8">
        <w:t xml:space="preserve"> Formation, Petrel 1, 1967.5 m. (c) Thin section photomicrograph illustrating the visible porosity, pyrite and </w:t>
      </w:r>
      <w:proofErr w:type="spellStart"/>
      <w:r w:rsidRPr="002F4AE8">
        <w:t>glauconite</w:t>
      </w:r>
      <w:proofErr w:type="spellEnd"/>
      <w:r w:rsidRPr="002F4AE8">
        <w:t xml:space="preserve"> grains, polarised light. (d) Porosity maps, defined by regions with no minerals, blue equates to open pores (porosity). (e-f) Plover Formation, Gull 1, 2692.3 m. (e) Thin section photomicrograph illustrating poorly sorted quartz grains with microcrystalline rock fragment of </w:t>
      </w:r>
      <w:proofErr w:type="spellStart"/>
      <w:r w:rsidRPr="002F4AE8">
        <w:t>chert</w:t>
      </w:r>
      <w:proofErr w:type="spellEnd"/>
      <w:r w:rsidRPr="002F4AE8">
        <w:t>, cross polarised light. (f) Mineral map and legend. (g-h) Plover Formation, Gull 1, 2692.3 m. (g) Thin section photomicrograph illustrating the visible porosity, polarised light. (h) Porosity maps, defined by regions with no minerals, blue equates to open pores (porosity). Thin sections taken from Appendix C and mineral maps are taken from Appendix E. Note: Mineral Maps defining quartz/kaolinite</w:t>
      </w:r>
      <w:r w:rsidR="002F4AE8">
        <w:t xml:space="preserve"> </w:t>
      </w:r>
      <w:r w:rsidRPr="002F4AE8">
        <w:t xml:space="preserve">and unclassified and traces categories may include some </w:t>
      </w:r>
      <w:proofErr w:type="spellStart"/>
      <w:r w:rsidRPr="002F4AE8">
        <w:t>smectitic</w:t>
      </w:r>
      <w:proofErr w:type="spellEnd"/>
      <w:r w:rsidRPr="002F4AE8">
        <w:t xml:space="preserve"> components that are not resolvable.</w:t>
      </w:r>
      <w:bookmarkEnd w:id="540"/>
      <w:bookmarkEnd w:id="541"/>
      <w:bookmarkEnd w:id="542"/>
      <w:bookmarkEnd w:id="543"/>
      <w:bookmarkEnd w:id="544"/>
      <w:bookmarkEnd w:id="545"/>
      <w:bookmarkEnd w:id="546"/>
      <w:bookmarkEnd w:id="547"/>
      <w:bookmarkEnd w:id="548"/>
      <w:bookmarkEnd w:id="549"/>
    </w:p>
    <w:p w:rsidR="00AE5C2D" w:rsidRDefault="00AE0B1A" w:rsidP="00016FA4">
      <w:pPr>
        <w:pStyle w:val="Figuresandimagescentred"/>
      </w:pPr>
      <w:r>
        <w:rPr>
          <w:noProof/>
        </w:rPr>
        <w:lastRenderedPageBreak/>
        <w:drawing>
          <wp:inline distT="0" distB="0" distL="0" distR="0" wp14:anchorId="4F3B8456" wp14:editId="3950A40B">
            <wp:extent cx="4608000" cy="2404800"/>
            <wp:effectExtent l="0" t="0" r="2540" b="0"/>
            <wp:docPr id="53" name="Picture 53" descr="Due to the complexity of this document and the niche scientific target audience, no alternative description has been provided. Please email Geoscience Australia at clientservices@ga.gov.au for an alternative description." title="Fig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6finaldocs\9GA Record Concise Figures Final (GAV approved)\GAV Completed-Review\13-6963-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08000" cy="2404800"/>
                    </a:xfrm>
                    <a:prstGeom prst="rect">
                      <a:avLst/>
                    </a:prstGeom>
                    <a:noFill/>
                    <a:ln>
                      <a:noFill/>
                    </a:ln>
                  </pic:spPr>
                </pic:pic>
              </a:graphicData>
            </a:graphic>
          </wp:inline>
        </w:drawing>
      </w:r>
      <w:bookmarkStart w:id="550" w:name="_Ref372804669"/>
      <w:bookmarkStart w:id="551" w:name="_Toc373095012"/>
      <w:bookmarkStart w:id="552" w:name="_Toc378252742"/>
      <w:bookmarkStart w:id="553" w:name="_Toc378253066"/>
      <w:bookmarkStart w:id="554" w:name="_Toc378253390"/>
      <w:bookmarkStart w:id="555" w:name="_Toc378253714"/>
      <w:bookmarkStart w:id="556" w:name="_Toc378254038"/>
      <w:bookmarkStart w:id="557" w:name="_Toc378254362"/>
      <w:bookmarkStart w:id="558" w:name="_Toc378254686"/>
      <w:bookmarkStart w:id="559" w:name="_Toc378255010"/>
      <w:bookmarkStart w:id="560" w:name="_Toc378255359"/>
    </w:p>
    <w:p w:rsidR="00AE0B1A" w:rsidRDefault="00AE5C2D" w:rsidP="00AE5C2D">
      <w:pPr>
        <w:pStyle w:val="Caption"/>
      </w:pPr>
      <w:bookmarkStart w:id="561" w:name="_Ref380998469"/>
      <w:r>
        <w:t>Figure </w:t>
      </w:r>
      <w:fldSimple w:instr=" STYLEREF 1 \s ">
        <w:r w:rsidR="00F64E4F">
          <w:rPr>
            <w:noProof/>
          </w:rPr>
          <w:t>6</w:t>
        </w:r>
      </w:fldSimple>
      <w:r>
        <w:t>.</w:t>
      </w:r>
      <w:fldSimple w:instr=" SEQ Figure \* ARABIC \s 1 ">
        <w:r w:rsidR="00F64E4F">
          <w:rPr>
            <w:noProof/>
          </w:rPr>
          <w:t>4</w:t>
        </w:r>
      </w:fldSimple>
      <w:bookmarkEnd w:id="550"/>
      <w:bookmarkEnd w:id="561"/>
      <w:r>
        <w:t xml:space="preserve"> </w:t>
      </w:r>
      <w:r w:rsidR="00AE0B1A" w:rsidRPr="00312BA2">
        <w:t xml:space="preserve">Depth (a) and thickness (b) maps of the reservoir Plover and </w:t>
      </w:r>
      <w:proofErr w:type="spellStart"/>
      <w:r w:rsidR="00AE0B1A" w:rsidRPr="00312BA2">
        <w:t>Elang</w:t>
      </w:r>
      <w:proofErr w:type="spellEnd"/>
      <w:r w:rsidR="00AE0B1A" w:rsidRPr="00312BA2">
        <w:t xml:space="preserve"> formations. Note: for the purposes of this study the two units were amalgamated.</w:t>
      </w:r>
      <w:bookmarkEnd w:id="551"/>
      <w:bookmarkEnd w:id="552"/>
      <w:bookmarkEnd w:id="553"/>
      <w:bookmarkEnd w:id="554"/>
      <w:bookmarkEnd w:id="555"/>
      <w:bookmarkEnd w:id="556"/>
      <w:bookmarkEnd w:id="557"/>
      <w:bookmarkEnd w:id="558"/>
      <w:bookmarkEnd w:id="559"/>
      <w:bookmarkEnd w:id="560"/>
    </w:p>
    <w:p w:rsidR="00AE0B1A" w:rsidRPr="00C94C2F" w:rsidRDefault="00AE0B1A" w:rsidP="00AE0B1A">
      <w:pPr>
        <w:pStyle w:val="Head3nonumbers"/>
      </w:pPr>
      <w:bookmarkStart w:id="562" w:name="_Toc378252896"/>
      <w:bookmarkStart w:id="563" w:name="_Toc378253220"/>
      <w:bookmarkStart w:id="564" w:name="_Toc378253544"/>
      <w:bookmarkStart w:id="565" w:name="_Toc378253868"/>
      <w:bookmarkStart w:id="566" w:name="_Toc378254192"/>
      <w:bookmarkStart w:id="567" w:name="_Toc378254516"/>
      <w:bookmarkStart w:id="568" w:name="_Toc378254840"/>
      <w:bookmarkStart w:id="569" w:name="_Toc378255164"/>
      <w:bookmarkStart w:id="570" w:name="_Toc383758222"/>
      <w:r>
        <w:t>Jurassic Seal – u</w:t>
      </w:r>
      <w:r w:rsidRPr="00C94C2F">
        <w:t xml:space="preserve">pper Frigate </w:t>
      </w:r>
      <w:r>
        <w:t>Shale</w:t>
      </w:r>
      <w:bookmarkEnd w:id="562"/>
      <w:bookmarkEnd w:id="563"/>
      <w:bookmarkEnd w:id="564"/>
      <w:bookmarkEnd w:id="565"/>
      <w:bookmarkEnd w:id="566"/>
      <w:bookmarkEnd w:id="567"/>
      <w:bookmarkEnd w:id="568"/>
      <w:bookmarkEnd w:id="569"/>
      <w:bookmarkEnd w:id="570"/>
    </w:p>
    <w:p w:rsidR="00AE0B1A" w:rsidRPr="00C94C2F" w:rsidRDefault="00AE0B1A" w:rsidP="00AE0B1A">
      <w:pPr>
        <w:pStyle w:val="BodyText"/>
      </w:pPr>
      <w:r w:rsidRPr="00C94C2F">
        <w:t xml:space="preserve">The upper </w:t>
      </w:r>
      <w:proofErr w:type="spellStart"/>
      <w:r w:rsidRPr="00C94C2F">
        <w:t>Kimmeridgian</w:t>
      </w:r>
      <w:proofErr w:type="spellEnd"/>
      <w:r>
        <w:t xml:space="preserve"> to </w:t>
      </w:r>
      <w:proofErr w:type="spellStart"/>
      <w:r w:rsidRPr="00C94C2F">
        <w:t>Tithonian</w:t>
      </w:r>
      <w:proofErr w:type="spellEnd"/>
      <w:r w:rsidRPr="00C94C2F">
        <w:t xml:space="preserve"> Frigate </w:t>
      </w:r>
      <w:r>
        <w:t>Shale</w:t>
      </w:r>
      <w:r w:rsidRPr="00C94C2F">
        <w:t xml:space="preserve"> </w:t>
      </w:r>
      <w:r>
        <w:t>forms an effective</w:t>
      </w:r>
      <w:r w:rsidRPr="00C94C2F">
        <w:t xml:space="preserve"> seal for the </w:t>
      </w:r>
      <w:r>
        <w:t xml:space="preserve">underlying </w:t>
      </w:r>
      <w:proofErr w:type="spellStart"/>
      <w:r>
        <w:t>Elang</w:t>
      </w:r>
      <w:proofErr w:type="spellEnd"/>
      <w:r>
        <w:t xml:space="preserve"> Formation </w:t>
      </w:r>
      <w:r w:rsidRPr="00C94C2F">
        <w:t>reservoir.</w:t>
      </w:r>
      <w:r>
        <w:t xml:space="preserve"> The upper Frigate Shale was deposited in</w:t>
      </w:r>
      <w:r w:rsidRPr="00C94C2F">
        <w:t xml:space="preserve"> a range of </w:t>
      </w:r>
      <w:r>
        <w:t xml:space="preserve">sedimentary </w:t>
      </w:r>
      <w:r w:rsidRPr="00C94C2F">
        <w:t>environments from</w:t>
      </w:r>
      <w:r>
        <w:t xml:space="preserve"> low energy, open marine settings in the central, deeper</w:t>
      </w:r>
      <w:r w:rsidRPr="00C94C2F">
        <w:t xml:space="preserve"> parts of the </w:t>
      </w:r>
      <w:r>
        <w:t>sub-</w:t>
      </w:r>
      <w:r w:rsidRPr="00C94C2F">
        <w:t xml:space="preserve">basin transitioning to a middle </w:t>
      </w:r>
      <w:proofErr w:type="spellStart"/>
      <w:r w:rsidRPr="00C94C2F">
        <w:t>shoreface</w:t>
      </w:r>
      <w:proofErr w:type="spellEnd"/>
      <w:r w:rsidRPr="00C94C2F">
        <w:t xml:space="preserve"> </w:t>
      </w:r>
      <w:r>
        <w:t>setting</w:t>
      </w:r>
      <w:r w:rsidRPr="00C94C2F">
        <w:t xml:space="preserve"> on the shallow flanks </w:t>
      </w:r>
      <w:r>
        <w:t xml:space="preserve">towards the south and east </w:t>
      </w:r>
      <w:r w:rsidRPr="00DE0603">
        <w:t>(</w:t>
      </w:r>
      <w:r>
        <w:fldChar w:fldCharType="begin"/>
      </w:r>
      <w:r>
        <w:instrText xml:space="preserve"> REF _Ref372804732 \h </w:instrText>
      </w:r>
      <w:r>
        <w:fldChar w:fldCharType="separate"/>
      </w:r>
      <w:r w:rsidR="00F64E4F">
        <w:t xml:space="preserve">Figure </w:t>
      </w:r>
      <w:r w:rsidR="00F64E4F">
        <w:rPr>
          <w:noProof/>
        </w:rPr>
        <w:t>6</w:t>
      </w:r>
      <w:r w:rsidR="00F64E4F">
        <w:t>.</w:t>
      </w:r>
      <w:r w:rsidR="00F64E4F">
        <w:rPr>
          <w:noProof/>
        </w:rPr>
        <w:t>6</w:t>
      </w:r>
      <w:r>
        <w:fldChar w:fldCharType="end"/>
      </w:r>
      <w:r>
        <w:t xml:space="preserve">; </w:t>
      </w:r>
      <w:r w:rsidR="00B30F18">
        <w:fldChar w:fldCharType="begin"/>
      </w:r>
      <w:r w:rsidR="00B30F18">
        <w:instrText xml:space="preserve"> REF _Ref380156531 \h </w:instrText>
      </w:r>
      <w:r w:rsidR="00B30F18">
        <w:fldChar w:fldCharType="separate"/>
      </w:r>
      <w:r w:rsidR="00F64E4F">
        <w:t xml:space="preserve">Table </w:t>
      </w:r>
      <w:r w:rsidR="00F64E4F">
        <w:rPr>
          <w:noProof/>
        </w:rPr>
        <w:t>6</w:t>
      </w:r>
      <w:r w:rsidR="00F64E4F">
        <w:t>.</w:t>
      </w:r>
      <w:r w:rsidR="00F64E4F">
        <w:rPr>
          <w:noProof/>
        </w:rPr>
        <w:t>1</w:t>
      </w:r>
      <w:r w:rsidR="00B30F18">
        <w:fldChar w:fldCharType="end"/>
      </w:r>
      <w:r w:rsidRPr="00367911">
        <w:t>). Data from the Petrel</w:t>
      </w:r>
      <w:r>
        <w:t xml:space="preserve"> gas field</w:t>
      </w:r>
      <w:r w:rsidRPr="00367911">
        <w:t xml:space="preserve"> wells show the upper Frigate </w:t>
      </w:r>
      <w:r w:rsidRPr="00DE0603">
        <w:t xml:space="preserve">Shale consists of a mudstone </w:t>
      </w:r>
      <w:proofErr w:type="spellStart"/>
      <w:r w:rsidRPr="00DE0603">
        <w:t>facies</w:t>
      </w:r>
      <w:proofErr w:type="spellEnd"/>
      <w:r w:rsidRPr="00DE0603">
        <w:t xml:space="preserve"> dominated by </w:t>
      </w:r>
      <w:proofErr w:type="spellStart"/>
      <w:r w:rsidRPr="00DE0603">
        <w:t>micaceous</w:t>
      </w:r>
      <w:proofErr w:type="spellEnd"/>
      <w:r w:rsidRPr="00DE0603">
        <w:t xml:space="preserve"> and </w:t>
      </w:r>
      <w:proofErr w:type="spellStart"/>
      <w:r w:rsidRPr="00DE0603">
        <w:t>kaolinitic</w:t>
      </w:r>
      <w:proofErr w:type="spellEnd"/>
      <w:r w:rsidRPr="00DE0603">
        <w:t xml:space="preserve"> clays with minor beds of siltstone (Appendices B, </w:t>
      </w:r>
      <w:r>
        <w:t>F, G</w:t>
      </w:r>
      <w:r w:rsidRPr="00DE0603">
        <w:t xml:space="preserve">) that </w:t>
      </w:r>
      <w:r>
        <w:t>indicate</w:t>
      </w:r>
      <w:r w:rsidRPr="00DE0603">
        <w:t xml:space="preserve"> </w:t>
      </w:r>
      <w:r>
        <w:t xml:space="preserve">they were deposited in </w:t>
      </w:r>
      <w:r w:rsidRPr="00DE0603">
        <w:t>a marine environment</w:t>
      </w:r>
      <w:r>
        <w:t xml:space="preserve"> (</w:t>
      </w:r>
      <w:r>
        <w:fldChar w:fldCharType="begin"/>
      </w:r>
      <w:r>
        <w:instrText xml:space="preserve"> REF _Ref372804739 \h </w:instrText>
      </w:r>
      <w:r>
        <w:fldChar w:fldCharType="separate"/>
      </w:r>
      <w:r w:rsidR="00F64E4F">
        <w:t xml:space="preserve">Figure </w:t>
      </w:r>
      <w:r w:rsidR="00F64E4F">
        <w:rPr>
          <w:noProof/>
        </w:rPr>
        <w:t>6</w:t>
      </w:r>
      <w:r w:rsidR="00F64E4F">
        <w:t>.</w:t>
      </w:r>
      <w:r w:rsidR="00F64E4F">
        <w:rPr>
          <w:noProof/>
        </w:rPr>
        <w:t>7</w:t>
      </w:r>
      <w:r>
        <w:fldChar w:fldCharType="end"/>
      </w:r>
      <w:r>
        <w:t>)</w:t>
      </w:r>
      <w:r w:rsidRPr="00DE0603">
        <w:t xml:space="preserve">. </w:t>
      </w:r>
      <w:r>
        <w:t>T</w:t>
      </w:r>
      <w:r w:rsidRPr="00C94C2F">
        <w:t xml:space="preserve">he upper Frigate </w:t>
      </w:r>
      <w:r>
        <w:t>Shale</w:t>
      </w:r>
      <w:r w:rsidRPr="00C94C2F">
        <w:t xml:space="preserve"> is </w:t>
      </w:r>
      <w:r>
        <w:t xml:space="preserve">inferred to be </w:t>
      </w:r>
      <w:r w:rsidRPr="00C94C2F">
        <w:t xml:space="preserve">distributed across the </w:t>
      </w:r>
      <w:r>
        <w:t xml:space="preserve">entire </w:t>
      </w:r>
      <w:r w:rsidRPr="00C94C2F">
        <w:t xml:space="preserve">study area, with an average </w:t>
      </w:r>
      <w:r w:rsidRPr="00DE0603">
        <w:t>thickness of 148 m</w:t>
      </w:r>
      <w:r>
        <w:t>,</w:t>
      </w:r>
      <w:r w:rsidRPr="00C94C2F">
        <w:t xml:space="preserve"> </w:t>
      </w:r>
      <w:r>
        <w:t>from s</w:t>
      </w:r>
      <w:r w:rsidRPr="00C94C2F">
        <w:t xml:space="preserve">eismic </w:t>
      </w:r>
      <w:r>
        <w:t xml:space="preserve">interpretations, as described in Section 4 </w:t>
      </w:r>
      <w:r w:rsidRPr="00DE0603">
        <w:t>(</w:t>
      </w:r>
      <w:r>
        <w:fldChar w:fldCharType="begin"/>
      </w:r>
      <w:r>
        <w:instrText xml:space="preserve"> REF _Ref372804609 \h </w:instrText>
      </w:r>
      <w:r>
        <w:fldChar w:fldCharType="separate"/>
      </w:r>
      <w:r w:rsidR="00F64E4F">
        <w:t xml:space="preserve">Figure </w:t>
      </w:r>
      <w:r w:rsidR="00F64E4F">
        <w:rPr>
          <w:noProof/>
        </w:rPr>
        <w:t>6</w:t>
      </w:r>
      <w:r w:rsidR="00F64E4F">
        <w:t>.</w:t>
      </w:r>
      <w:r w:rsidR="00F64E4F">
        <w:rPr>
          <w:noProof/>
        </w:rPr>
        <w:t>1</w:t>
      </w:r>
      <w:r>
        <w:fldChar w:fldCharType="end"/>
      </w:r>
      <w:r w:rsidRPr="00367911">
        <w:t xml:space="preserve">, </w:t>
      </w:r>
      <w:r>
        <w:fldChar w:fldCharType="begin"/>
      </w:r>
      <w:r>
        <w:instrText xml:space="preserve"> REF _Ref372804598 \h </w:instrText>
      </w:r>
      <w:r>
        <w:fldChar w:fldCharType="separate"/>
      </w:r>
      <w:r w:rsidR="00F64E4F">
        <w:t xml:space="preserve">Figure </w:t>
      </w:r>
      <w:r w:rsidR="00F64E4F">
        <w:rPr>
          <w:noProof/>
        </w:rPr>
        <w:t>6</w:t>
      </w:r>
      <w:r w:rsidR="00F64E4F">
        <w:t>.</w:t>
      </w:r>
      <w:r w:rsidR="00F64E4F">
        <w:rPr>
          <w:noProof/>
        </w:rPr>
        <w:t>2</w:t>
      </w:r>
      <w:r>
        <w:fldChar w:fldCharType="end"/>
      </w:r>
      <w:r>
        <w:t>,</w:t>
      </w:r>
      <w:r w:rsidRPr="00367911">
        <w:t xml:space="preserve"> </w:t>
      </w:r>
      <w:r>
        <w:t xml:space="preserve">and </w:t>
      </w:r>
      <w:r>
        <w:fldChar w:fldCharType="begin"/>
      </w:r>
      <w:r>
        <w:instrText xml:space="preserve"> REF _Ref372804732 \h </w:instrText>
      </w:r>
      <w:r>
        <w:fldChar w:fldCharType="separate"/>
      </w:r>
      <w:r w:rsidR="00F64E4F">
        <w:t xml:space="preserve">Figure </w:t>
      </w:r>
      <w:r w:rsidR="00F64E4F">
        <w:rPr>
          <w:noProof/>
        </w:rPr>
        <w:t>6</w:t>
      </w:r>
      <w:r w:rsidR="00F64E4F">
        <w:t>.</w:t>
      </w:r>
      <w:r w:rsidR="00F64E4F">
        <w:rPr>
          <w:noProof/>
        </w:rPr>
        <w:t>6</w:t>
      </w:r>
      <w:r>
        <w:fldChar w:fldCharType="end"/>
      </w:r>
      <w:r w:rsidRPr="00367911">
        <w:t>). The mudstone</w:t>
      </w:r>
      <w:r w:rsidRPr="00DE0603">
        <w:t xml:space="preserve"> </w:t>
      </w:r>
      <w:proofErr w:type="spellStart"/>
      <w:r w:rsidRPr="00DE0603">
        <w:t>facies</w:t>
      </w:r>
      <w:proofErr w:type="spellEnd"/>
      <w:r w:rsidRPr="00DE0603">
        <w:t xml:space="preserve"> of the upper Frigate Shale </w:t>
      </w:r>
      <w:r>
        <w:t xml:space="preserve">is present </w:t>
      </w:r>
      <w:r w:rsidRPr="00DE0603">
        <w:t xml:space="preserve">in the Petrel wells and its extent can be traced outwards using the existing seismic data. It is </w:t>
      </w:r>
      <w:r>
        <w:t>inferred</w:t>
      </w:r>
      <w:r w:rsidRPr="00DE0603">
        <w:t xml:space="preserve">, given the marine depositional environment of the </w:t>
      </w:r>
      <w:proofErr w:type="spellStart"/>
      <w:r w:rsidRPr="00DE0603">
        <w:t>facies</w:t>
      </w:r>
      <w:proofErr w:type="spellEnd"/>
      <w:r>
        <w:t>,</w:t>
      </w:r>
      <w:r w:rsidRPr="00DE0603">
        <w:t xml:space="preserve"> that the seismically-defined </w:t>
      </w:r>
      <w:proofErr w:type="spellStart"/>
      <w:r w:rsidRPr="00DE0603">
        <w:t>progrades</w:t>
      </w:r>
      <w:proofErr w:type="spellEnd"/>
      <w:r w:rsidRPr="00DE0603">
        <w:t xml:space="preserve"> would be mud-rich and therefore the mudstone </w:t>
      </w:r>
      <w:proofErr w:type="spellStart"/>
      <w:r w:rsidRPr="00DE0603">
        <w:t>facies</w:t>
      </w:r>
      <w:proofErr w:type="spellEnd"/>
      <w:r w:rsidRPr="00DE0603">
        <w:t xml:space="preserve"> could be mapped to the top of the </w:t>
      </w:r>
      <w:proofErr w:type="spellStart"/>
      <w:r w:rsidRPr="00DE0603">
        <w:t>progrades</w:t>
      </w:r>
      <w:proofErr w:type="spellEnd"/>
      <w:r w:rsidRPr="00DE0603">
        <w:t xml:space="preserve"> (</w:t>
      </w:r>
      <w:r>
        <w:fldChar w:fldCharType="begin"/>
      </w:r>
      <w:r>
        <w:instrText xml:space="preserve"> REF _Ref372804773 \h </w:instrText>
      </w:r>
      <w:r>
        <w:fldChar w:fldCharType="separate"/>
      </w:r>
      <w:r w:rsidR="00F64E4F">
        <w:t xml:space="preserve">Figure </w:t>
      </w:r>
      <w:r w:rsidR="00F64E4F">
        <w:rPr>
          <w:noProof/>
        </w:rPr>
        <w:t>6</w:t>
      </w:r>
      <w:r w:rsidR="00F64E4F">
        <w:t>.</w:t>
      </w:r>
      <w:r w:rsidR="00F64E4F">
        <w:rPr>
          <w:noProof/>
        </w:rPr>
        <w:t>8</w:t>
      </w:r>
      <w:r>
        <w:fldChar w:fldCharType="end"/>
      </w:r>
      <w:r w:rsidRPr="00DE0603">
        <w:t xml:space="preserve">). The top of the </w:t>
      </w:r>
      <w:proofErr w:type="spellStart"/>
      <w:r w:rsidRPr="00DE0603">
        <w:t>progrades</w:t>
      </w:r>
      <w:proofErr w:type="spellEnd"/>
      <w:r w:rsidRPr="00DE0603">
        <w:t xml:space="preserve"> represents the probable maximum extent of the mudstone </w:t>
      </w:r>
      <w:proofErr w:type="spellStart"/>
      <w:r w:rsidRPr="00DE0603">
        <w:t>facies</w:t>
      </w:r>
      <w:proofErr w:type="spellEnd"/>
      <w:r w:rsidRPr="00DE0603">
        <w:t xml:space="preserve"> and the toe defines </w:t>
      </w:r>
      <w:r>
        <w:t>its</w:t>
      </w:r>
      <w:r w:rsidRPr="00DE0603">
        <w:t xml:space="preserve"> minimum extent. The results of the seismic inversion analysis verified that the mud-rich interpretation of the </w:t>
      </w:r>
      <w:proofErr w:type="spellStart"/>
      <w:r w:rsidRPr="00DE0603">
        <w:t>progrades</w:t>
      </w:r>
      <w:proofErr w:type="spellEnd"/>
      <w:r w:rsidRPr="00DE0603">
        <w:t xml:space="preserve"> is valid (</w:t>
      </w:r>
      <w:r>
        <w:fldChar w:fldCharType="begin"/>
      </w:r>
      <w:r>
        <w:instrText xml:space="preserve"> REF _Ref372804713 \h </w:instrText>
      </w:r>
      <w:r>
        <w:fldChar w:fldCharType="separate"/>
      </w:r>
      <w:r w:rsidR="00F64E4F">
        <w:t xml:space="preserve">Figure </w:t>
      </w:r>
      <w:r w:rsidR="00F64E4F">
        <w:rPr>
          <w:noProof/>
        </w:rPr>
        <w:t>6</w:t>
      </w:r>
      <w:r w:rsidR="00F64E4F">
        <w:t>.</w:t>
      </w:r>
      <w:r w:rsidR="00F64E4F">
        <w:rPr>
          <w:noProof/>
        </w:rPr>
        <w:t>5</w:t>
      </w:r>
      <w:r>
        <w:fldChar w:fldCharType="end"/>
      </w:r>
      <w:r>
        <w:t>; Appendix M</w:t>
      </w:r>
      <w:r w:rsidRPr="00DE0603">
        <w:t xml:space="preserve">). The upper Frigate Shale extends north to </w:t>
      </w:r>
      <w:r w:rsidRPr="00F75FB9">
        <w:t>Curlew 1</w:t>
      </w:r>
      <w:r w:rsidRPr="00DE0603">
        <w:t xml:space="preserve"> and </w:t>
      </w:r>
      <w:r w:rsidRPr="00F75FB9">
        <w:t>Gull 1</w:t>
      </w:r>
      <w:r w:rsidRPr="00DE0603">
        <w:t xml:space="preserve">, but in these two wells, the mudstone </w:t>
      </w:r>
      <w:proofErr w:type="spellStart"/>
      <w:r w:rsidRPr="00DE0603">
        <w:t>facies</w:t>
      </w:r>
      <w:proofErr w:type="spellEnd"/>
      <w:r w:rsidRPr="00DE0603">
        <w:t xml:space="preserve"> transitions to a siltstone-dominated </w:t>
      </w:r>
      <w:proofErr w:type="spellStart"/>
      <w:r w:rsidRPr="00DE0603">
        <w:t>facies</w:t>
      </w:r>
      <w:proofErr w:type="spellEnd"/>
      <w:r w:rsidRPr="00DE0603">
        <w:t xml:space="preserve">. To the east and south of the Petrel gas field, the </w:t>
      </w:r>
      <w:r>
        <w:t xml:space="preserve">mudstone </w:t>
      </w:r>
      <w:proofErr w:type="spellStart"/>
      <w:r>
        <w:t>facies</w:t>
      </w:r>
      <w:proofErr w:type="spellEnd"/>
      <w:r>
        <w:t xml:space="preserve"> extends up to 70</w:t>
      </w:r>
      <w:r w:rsidRPr="00DE0603">
        <w:t xml:space="preserve"> km</w:t>
      </w:r>
      <w:r>
        <w:t xml:space="preserve"> </w:t>
      </w:r>
      <w:r w:rsidRPr="00DE0603">
        <w:t>(</w:t>
      </w:r>
      <w:r>
        <w:fldChar w:fldCharType="begin"/>
      </w:r>
      <w:r>
        <w:instrText xml:space="preserve"> REF _Ref372288044 \h </w:instrText>
      </w:r>
      <w:r>
        <w:fldChar w:fldCharType="separate"/>
      </w:r>
      <w:r w:rsidR="00F64E4F">
        <w:t>Figure </w:t>
      </w:r>
      <w:r w:rsidR="00F64E4F">
        <w:rPr>
          <w:noProof/>
        </w:rPr>
        <w:t>1</w:t>
      </w:r>
      <w:r w:rsidR="00F64E4F">
        <w:t>.</w:t>
      </w:r>
      <w:r w:rsidR="00F64E4F">
        <w:rPr>
          <w:noProof/>
        </w:rPr>
        <w:t>4</w:t>
      </w:r>
      <w:r>
        <w:fldChar w:fldCharType="end"/>
      </w:r>
      <w:r w:rsidRPr="00DE0603">
        <w:t>).</w:t>
      </w:r>
    </w:p>
    <w:p w:rsidR="00AE0B1A" w:rsidRDefault="00AE0B1A" w:rsidP="00AE0B1A">
      <w:pPr>
        <w:pStyle w:val="BodyText"/>
      </w:pPr>
      <w:r>
        <w:t>The potential seal capacity of the upper Frigate Shale measured from the limited core data is shown to be relatively poor</w:t>
      </w:r>
      <w:r w:rsidRPr="00D10B90">
        <w:t xml:space="preserve"> </w:t>
      </w:r>
      <w:r>
        <w:t>(</w:t>
      </w:r>
      <w:r>
        <w:fldChar w:fldCharType="begin"/>
      </w:r>
      <w:r>
        <w:instrText xml:space="preserve"> REF _Ref372804805 \h </w:instrText>
      </w:r>
      <w:r>
        <w:fldChar w:fldCharType="separate"/>
      </w:r>
      <w:r w:rsidR="00F64E4F">
        <w:t xml:space="preserve">Figure </w:t>
      </w:r>
      <w:r w:rsidR="00F64E4F">
        <w:rPr>
          <w:noProof/>
        </w:rPr>
        <w:t>6</w:t>
      </w:r>
      <w:r w:rsidR="00F64E4F">
        <w:t>.</w:t>
      </w:r>
      <w:r w:rsidR="00F64E4F">
        <w:rPr>
          <w:noProof/>
        </w:rPr>
        <w:t>9</w:t>
      </w:r>
      <w:r>
        <w:fldChar w:fldCharType="end"/>
      </w:r>
      <w:r>
        <w:t xml:space="preserve">; </w:t>
      </w:r>
      <w:r w:rsidR="00B30F18">
        <w:fldChar w:fldCharType="begin"/>
      </w:r>
      <w:r w:rsidR="00B30F18">
        <w:instrText xml:space="preserve"> REF _Ref380156668 \h </w:instrText>
      </w:r>
      <w:r w:rsidR="00B30F18">
        <w:fldChar w:fldCharType="separate"/>
      </w:r>
      <w:r w:rsidR="00F64E4F">
        <w:t xml:space="preserve">Table </w:t>
      </w:r>
      <w:r w:rsidR="00F64E4F">
        <w:rPr>
          <w:noProof/>
        </w:rPr>
        <w:t>6</w:t>
      </w:r>
      <w:r w:rsidR="00F64E4F">
        <w:t>.</w:t>
      </w:r>
      <w:r w:rsidR="00F64E4F">
        <w:rPr>
          <w:noProof/>
        </w:rPr>
        <w:t>3</w:t>
      </w:r>
      <w:r w:rsidR="00B30F18">
        <w:fldChar w:fldCharType="end"/>
      </w:r>
      <w:r>
        <w:t>). L</w:t>
      </w:r>
      <w:r w:rsidRPr="00DE0603">
        <w:t xml:space="preserve">ow threshold pressures </w:t>
      </w:r>
      <w:r>
        <w:t xml:space="preserve">were observed based on </w:t>
      </w:r>
      <w:r w:rsidRPr="00DE0603">
        <w:t>calculated CO</w:t>
      </w:r>
      <w:r w:rsidRPr="009D5B2E">
        <w:rPr>
          <w:rStyle w:val="Subscript"/>
        </w:rPr>
        <w:t>2</w:t>
      </w:r>
      <w:r w:rsidRPr="00DE0603">
        <w:t xml:space="preserve"> column heights </w:t>
      </w:r>
      <w:r>
        <w:t xml:space="preserve">of </w:t>
      </w:r>
      <w:r w:rsidRPr="00C94C2F">
        <w:t>approximately 6</w:t>
      </w:r>
      <w:r>
        <w:t>5</w:t>
      </w:r>
      <w:r w:rsidRPr="00C94C2F">
        <w:t xml:space="preserve">-143 m </w:t>
      </w:r>
      <w:r w:rsidRPr="00DE0603">
        <w:t>using mercury injection capillary</w:t>
      </w:r>
      <w:r>
        <w:t xml:space="preserve"> pressure (MICP) (Appendix G)</w:t>
      </w:r>
      <w:r w:rsidRPr="00C94C2F">
        <w:t>. This measurement corresponds to the only recovered core pres</w:t>
      </w:r>
      <w:r>
        <w:t xml:space="preserve">erving the upper Frigate Shale in </w:t>
      </w:r>
      <w:r w:rsidRPr="00F75FB9">
        <w:t>Petrel</w:t>
      </w:r>
      <w:r>
        <w:t xml:space="preserve"> </w:t>
      </w:r>
      <w:r w:rsidRPr="00F75FB9">
        <w:t>1</w:t>
      </w:r>
      <w:r>
        <w:t>.</w:t>
      </w:r>
      <w:r w:rsidRPr="00C94C2F">
        <w:t xml:space="preserve"> </w:t>
      </w:r>
      <w:r>
        <w:t>The sample</w:t>
      </w:r>
      <w:r w:rsidRPr="00C94C2F">
        <w:t xml:space="preserve"> was collected from the top of the </w:t>
      </w:r>
      <w:r>
        <w:t>unit</w:t>
      </w:r>
      <w:r w:rsidRPr="00C94C2F">
        <w:t xml:space="preserve">, </w:t>
      </w:r>
      <w:r>
        <w:t>a</w:t>
      </w:r>
      <w:r w:rsidRPr="00C94C2F">
        <w:t xml:space="preserve"> sandier part of the upper Frigate </w:t>
      </w:r>
      <w:r>
        <w:t>Shale,</w:t>
      </w:r>
      <w:r w:rsidRPr="00C94C2F">
        <w:t xml:space="preserve"> near the transition to the overlying reservoir of the </w:t>
      </w:r>
      <w:r>
        <w:t>Sandpiper Sandstone so the measurements probably indicate a</w:t>
      </w:r>
      <w:r w:rsidRPr="00C94C2F">
        <w:t xml:space="preserve"> minimum calculated column height</w:t>
      </w:r>
      <w:r>
        <w:t xml:space="preserve">. In contrast, petrology and </w:t>
      </w:r>
      <w:proofErr w:type="spellStart"/>
      <w:r>
        <w:t>sedimentological</w:t>
      </w:r>
      <w:proofErr w:type="spellEnd"/>
      <w:r>
        <w:t xml:space="preserve"> </w:t>
      </w:r>
      <w:proofErr w:type="spellStart"/>
      <w:r>
        <w:t>facies</w:t>
      </w:r>
      <w:proofErr w:type="spellEnd"/>
      <w:r>
        <w:t xml:space="preserve"> analysis of cuttings and side wall core found </w:t>
      </w:r>
      <w:r w:rsidRPr="00C94C2F">
        <w:t xml:space="preserve">that </w:t>
      </w:r>
      <w:r>
        <w:t>in the lower section of the upper Frigate Shale the mudstone was clay-rich and fissile (Appendix C). Furthermore, the thickness and lateral extent indicates that the mudstone-</w:t>
      </w:r>
      <w:proofErr w:type="spellStart"/>
      <w:r>
        <w:t>facies</w:t>
      </w:r>
      <w:proofErr w:type="spellEnd"/>
      <w:r>
        <w:t xml:space="preserve"> would act as an effective </w:t>
      </w:r>
      <w:proofErr w:type="spellStart"/>
      <w:r>
        <w:t>caprock</w:t>
      </w:r>
      <w:proofErr w:type="spellEnd"/>
      <w:r>
        <w:t xml:space="preserve"> to the reservoir </w:t>
      </w:r>
      <w:r>
        <w:lastRenderedPageBreak/>
        <w:t xml:space="preserve">below. According to </w:t>
      </w:r>
      <w:proofErr w:type="spellStart"/>
      <w:r>
        <w:t>Kaldi</w:t>
      </w:r>
      <w:proofErr w:type="spellEnd"/>
      <w:r>
        <w:t xml:space="preserve"> et al. (2013) understanding the lithology, thickness and lateral extent of the seal can be used to support the effectiveness of the unit to act as a seal</w:t>
      </w:r>
      <w:r w:rsidRPr="0005477C">
        <w:t xml:space="preserve"> </w:t>
      </w:r>
      <w:r>
        <w:t xml:space="preserve">in the absence of a comprehensive suite of </w:t>
      </w:r>
      <w:r w:rsidRPr="003E7003">
        <w:t>CO</w:t>
      </w:r>
      <w:r w:rsidRPr="009D5B2E">
        <w:rPr>
          <w:rStyle w:val="Subscript"/>
        </w:rPr>
        <w:t>2</w:t>
      </w:r>
      <w:r>
        <w:t xml:space="preserve"> column height measurements. Therefore, based on the mapping of the seal extent and the petrology, and contrary to the calculated column height measurements, it is concluded that the upper Frigate Shale is most likely an effective seal. Finally, additional evidence of the FIS analysis </w:t>
      </w:r>
      <w:r w:rsidRPr="00C94C2F">
        <w:t xml:space="preserve">of the Frigate </w:t>
      </w:r>
      <w:r>
        <w:t>Shale</w:t>
      </w:r>
      <w:r w:rsidRPr="00C94C2F">
        <w:t xml:space="preserve"> in </w:t>
      </w:r>
      <w:r>
        <w:t xml:space="preserve">the </w:t>
      </w:r>
      <w:r w:rsidRPr="00F75FB9">
        <w:t>Newby</w:t>
      </w:r>
      <w:r>
        <w:t xml:space="preserve"> </w:t>
      </w:r>
      <w:r w:rsidRPr="00F75FB9">
        <w:t>1</w:t>
      </w:r>
      <w:r w:rsidRPr="00C94C2F">
        <w:t xml:space="preserve"> and </w:t>
      </w:r>
      <w:r w:rsidRPr="00F75FB9">
        <w:t>Penguin</w:t>
      </w:r>
      <w:r>
        <w:t xml:space="preserve"> </w:t>
      </w:r>
      <w:r w:rsidRPr="00F75FB9">
        <w:t>1</w:t>
      </w:r>
      <w:r w:rsidRPr="00C94C2F">
        <w:t xml:space="preserve"> </w:t>
      </w:r>
      <w:r>
        <w:t>wells demonstrates that fluid migration has not occurred, and from this and an adequate sealing capacity can be inferred for this upper unit.</w:t>
      </w:r>
    </w:p>
    <w:p w:rsidR="00AE0B1A" w:rsidRDefault="00AE0B1A" w:rsidP="00AE0B1A">
      <w:pPr>
        <w:pStyle w:val="Figuresandimagescentred"/>
      </w:pPr>
      <w:r w:rsidRPr="00255748">
        <w:rPr>
          <w:noProof/>
        </w:rPr>
        <w:drawing>
          <wp:inline distT="0" distB="0" distL="0" distR="0" wp14:anchorId="65B21ACD" wp14:editId="7CBB1E62">
            <wp:extent cx="5737860" cy="6446520"/>
            <wp:effectExtent l="0" t="0" r="0" b="0"/>
            <wp:docPr id="40" name="Picture 40" descr="Due to the complexity of this document and the niche scientific target audience, no alternative description has been provided. Please email Geoscience Australia at clientservices@ga.gov.au for an alternative description." title="Fig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6finaldocs\0.REVIEW GA Record Summary + Appendices Internal  Review\Reviewed Draft\New folder\13-7199-4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37860" cy="6446520"/>
                    </a:xfrm>
                    <a:prstGeom prst="rect">
                      <a:avLst/>
                    </a:prstGeom>
                    <a:noFill/>
                    <a:ln>
                      <a:noFill/>
                    </a:ln>
                  </pic:spPr>
                </pic:pic>
              </a:graphicData>
            </a:graphic>
          </wp:inline>
        </w:drawing>
      </w:r>
    </w:p>
    <w:p w:rsidR="00AE0B1A" w:rsidRPr="00255748" w:rsidRDefault="00AE0B1A" w:rsidP="00AE0B1A">
      <w:pPr>
        <w:pStyle w:val="Caption"/>
      </w:pPr>
      <w:bookmarkStart w:id="571" w:name="_Ref372804713"/>
      <w:bookmarkStart w:id="572" w:name="_Toc373095013"/>
      <w:bookmarkStart w:id="573" w:name="_Toc378252743"/>
      <w:bookmarkStart w:id="574" w:name="_Toc378253067"/>
      <w:bookmarkStart w:id="575" w:name="_Toc378253391"/>
      <w:bookmarkStart w:id="576" w:name="_Toc378253715"/>
      <w:bookmarkStart w:id="577" w:name="_Toc378254039"/>
      <w:bookmarkStart w:id="578" w:name="_Toc378254363"/>
      <w:bookmarkStart w:id="579" w:name="_Toc378254687"/>
      <w:bookmarkStart w:id="580" w:name="_Toc378255011"/>
      <w:bookmarkStart w:id="581" w:name="_Toc378255360"/>
      <w:r>
        <w:t xml:space="preserve">Figure </w:t>
      </w:r>
      <w:fldSimple w:instr=" STYLEREF 1 \s ">
        <w:r w:rsidR="00F64E4F">
          <w:rPr>
            <w:noProof/>
          </w:rPr>
          <w:t>6</w:t>
        </w:r>
      </w:fldSimple>
      <w:r w:rsidR="00AE5C2D">
        <w:t>.</w:t>
      </w:r>
      <w:fldSimple w:instr=" SEQ Figure \* ARABIC \s 1 ">
        <w:r w:rsidR="00F64E4F">
          <w:rPr>
            <w:noProof/>
          </w:rPr>
          <w:t>5</w:t>
        </w:r>
      </w:fldSimple>
      <w:bookmarkEnd w:id="571"/>
      <w:r>
        <w:t xml:space="preserve"> </w:t>
      </w:r>
      <w:r w:rsidRPr="001461B8">
        <w:t xml:space="preserve">Seismic inversion analysis of GA336-107 showing sand distribution across the study area. Also note the presence of the upper Frigate Shale mudstone terminating towards the flanks. See Appendix </w:t>
      </w:r>
      <w:r>
        <w:t>M</w:t>
      </w:r>
      <w:r w:rsidRPr="001461B8">
        <w:t xml:space="preserve"> for full details.</w:t>
      </w:r>
      <w:bookmarkEnd w:id="572"/>
      <w:bookmarkEnd w:id="573"/>
      <w:bookmarkEnd w:id="574"/>
      <w:bookmarkEnd w:id="575"/>
      <w:bookmarkEnd w:id="576"/>
      <w:bookmarkEnd w:id="577"/>
      <w:bookmarkEnd w:id="578"/>
      <w:bookmarkEnd w:id="579"/>
      <w:bookmarkEnd w:id="580"/>
      <w:bookmarkEnd w:id="581"/>
    </w:p>
    <w:p w:rsidR="00AE0B1A" w:rsidRDefault="00AE0B1A" w:rsidP="00AE0B1A">
      <w:pPr>
        <w:pStyle w:val="Figuresandimagescentred"/>
      </w:pPr>
      <w:r>
        <w:rPr>
          <w:noProof/>
        </w:rPr>
        <w:lastRenderedPageBreak/>
        <w:drawing>
          <wp:inline distT="0" distB="0" distL="0" distR="0" wp14:anchorId="318995BB" wp14:editId="0641F1A4">
            <wp:extent cx="5760720" cy="3003350"/>
            <wp:effectExtent l="0" t="0" r="0" b="6985"/>
            <wp:docPr id="54" name="Picture 54" descr="Due to the complexity of this document and the niche scientific target audience, no alternative description has been provided. Please email Geoscience Australia at clientservices@ga.gov.au for an alternative description." title="Fig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6finaldocs\9GA Record Concise Figures Final (GAV approved)\GAV Completed-Review\13-6963-3.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3003350"/>
                    </a:xfrm>
                    <a:prstGeom prst="rect">
                      <a:avLst/>
                    </a:prstGeom>
                    <a:noFill/>
                    <a:ln>
                      <a:noFill/>
                    </a:ln>
                  </pic:spPr>
                </pic:pic>
              </a:graphicData>
            </a:graphic>
          </wp:inline>
        </w:drawing>
      </w:r>
    </w:p>
    <w:p w:rsidR="00AE0B1A" w:rsidRPr="00C1651F" w:rsidRDefault="00AE0B1A" w:rsidP="00AE0B1A">
      <w:pPr>
        <w:pStyle w:val="Caption"/>
      </w:pPr>
      <w:bookmarkStart w:id="582" w:name="_Ref372804732"/>
      <w:bookmarkStart w:id="583" w:name="_Toc373095014"/>
      <w:bookmarkStart w:id="584" w:name="_Toc378252744"/>
      <w:bookmarkStart w:id="585" w:name="_Toc378253068"/>
      <w:bookmarkStart w:id="586" w:name="_Toc378253392"/>
      <w:bookmarkStart w:id="587" w:name="_Toc378253716"/>
      <w:bookmarkStart w:id="588" w:name="_Toc378254040"/>
      <w:bookmarkStart w:id="589" w:name="_Toc378254364"/>
      <w:bookmarkStart w:id="590" w:name="_Toc378254688"/>
      <w:bookmarkStart w:id="591" w:name="_Toc378255012"/>
      <w:bookmarkStart w:id="592" w:name="_Toc378255361"/>
      <w:r>
        <w:t xml:space="preserve">Figure </w:t>
      </w:r>
      <w:fldSimple w:instr=" STYLEREF 1 \s ">
        <w:r w:rsidR="00F64E4F">
          <w:rPr>
            <w:noProof/>
          </w:rPr>
          <w:t>6</w:t>
        </w:r>
      </w:fldSimple>
      <w:r w:rsidR="00AE5C2D">
        <w:t>.</w:t>
      </w:r>
      <w:fldSimple w:instr=" SEQ Figure \* ARABIC \s 1 ">
        <w:r w:rsidR="00F64E4F">
          <w:rPr>
            <w:noProof/>
          </w:rPr>
          <w:t>6</w:t>
        </w:r>
      </w:fldSimple>
      <w:bookmarkEnd w:id="582"/>
      <w:r>
        <w:t xml:space="preserve"> </w:t>
      </w:r>
      <w:r w:rsidRPr="0042223F">
        <w:t>Depth (a) and thickness (b) maps of the Frigate Shale. Note: the total extent of the upper and lower Frigate Shale was combined in this figure.</w:t>
      </w:r>
      <w:bookmarkEnd w:id="583"/>
      <w:bookmarkEnd w:id="584"/>
      <w:bookmarkEnd w:id="585"/>
      <w:bookmarkEnd w:id="586"/>
      <w:bookmarkEnd w:id="587"/>
      <w:bookmarkEnd w:id="588"/>
      <w:bookmarkEnd w:id="589"/>
      <w:bookmarkEnd w:id="590"/>
      <w:bookmarkEnd w:id="591"/>
      <w:bookmarkEnd w:id="592"/>
    </w:p>
    <w:p w:rsidR="00AE0B1A" w:rsidRDefault="00AE0B1A" w:rsidP="00AE0B1A">
      <w:pPr>
        <w:pStyle w:val="Figuresandimagescentred"/>
      </w:pPr>
      <w:r>
        <w:rPr>
          <w:noProof/>
        </w:rPr>
        <w:drawing>
          <wp:inline distT="0" distB="0" distL="0" distR="0" wp14:anchorId="2ADFD7BA" wp14:editId="6863C86B">
            <wp:extent cx="5760720" cy="2776572"/>
            <wp:effectExtent l="0" t="0" r="0" b="5080"/>
            <wp:docPr id="38" name="Picture 38" descr="Due to the complexity of this document and the niche scientific target audience, no alternative description has been provided. Please email Geoscience Australia at clientservices@ga.gov.au for an alternative description." title="Fig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For Chris Consoli\13-6963-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2776572"/>
                    </a:xfrm>
                    <a:prstGeom prst="rect">
                      <a:avLst/>
                    </a:prstGeom>
                    <a:noFill/>
                    <a:ln>
                      <a:noFill/>
                    </a:ln>
                  </pic:spPr>
                </pic:pic>
              </a:graphicData>
            </a:graphic>
          </wp:inline>
        </w:drawing>
      </w:r>
    </w:p>
    <w:p w:rsidR="00AE0B1A" w:rsidRPr="006C7A58" w:rsidRDefault="00AE0B1A" w:rsidP="00AE0B1A">
      <w:pPr>
        <w:pStyle w:val="Caption"/>
      </w:pPr>
      <w:bookmarkStart w:id="593" w:name="_Ref372804739"/>
      <w:bookmarkStart w:id="594" w:name="_Toc373095015"/>
      <w:bookmarkStart w:id="595" w:name="_Toc378252745"/>
      <w:bookmarkStart w:id="596" w:name="_Toc378253069"/>
      <w:bookmarkStart w:id="597" w:name="_Toc378253393"/>
      <w:bookmarkStart w:id="598" w:name="_Toc378253717"/>
      <w:bookmarkStart w:id="599" w:name="_Toc378254041"/>
      <w:bookmarkStart w:id="600" w:name="_Toc378254365"/>
      <w:bookmarkStart w:id="601" w:name="_Toc378254689"/>
      <w:bookmarkStart w:id="602" w:name="_Toc378255013"/>
      <w:bookmarkStart w:id="603" w:name="_Toc378255362"/>
      <w:r>
        <w:t xml:space="preserve">Figure </w:t>
      </w:r>
      <w:fldSimple w:instr=" STYLEREF 1 \s ">
        <w:r w:rsidR="00F64E4F">
          <w:rPr>
            <w:noProof/>
          </w:rPr>
          <w:t>6</w:t>
        </w:r>
      </w:fldSimple>
      <w:r w:rsidR="00AE5C2D">
        <w:t>.</w:t>
      </w:r>
      <w:fldSimple w:instr=" SEQ Figure \* ARABIC \s 1 ">
        <w:r w:rsidR="00F64E4F">
          <w:rPr>
            <w:noProof/>
          </w:rPr>
          <w:t>7</w:t>
        </w:r>
      </w:fldSimple>
      <w:bookmarkEnd w:id="593"/>
      <w:r>
        <w:t xml:space="preserve"> </w:t>
      </w:r>
      <w:r w:rsidRPr="006C7A58">
        <w:t xml:space="preserve">Photomicrograph and mineral and porosity maps for selected core sample of the upper Frigate Shale. (a-c) Upper Frigate Shale, Petrel 1, </w:t>
      </w:r>
      <w:proofErr w:type="gramStart"/>
      <w:r w:rsidRPr="006C7A58">
        <w:t>1587.2</w:t>
      </w:r>
      <w:proofErr w:type="gramEnd"/>
      <w:r w:rsidRPr="006C7A58">
        <w:t xml:space="preserve"> m. (a) Thin section photomicrograph illustrating the occurrence of very fine to fine quartz grains with mica flakes. It also shows silt and clay rich zones, cross polarised light. (b) Mineral map. (c) Porosity maps, defined by regions with no minerals, blue equates to open pores (porosity). Mineral legend applies to (b). Thin sections taken from Appendix C and mineral maps are taken from Appendix E. </w:t>
      </w:r>
      <w:r>
        <w:t xml:space="preserve">Note: </w:t>
      </w:r>
      <w:r w:rsidRPr="006C7A58">
        <w:t xml:space="preserve">Mineral Maps defining quartz/kaolinite and unclassified and traces categories may include some </w:t>
      </w:r>
      <w:proofErr w:type="spellStart"/>
      <w:r w:rsidRPr="006C7A58">
        <w:t>smectitic</w:t>
      </w:r>
      <w:proofErr w:type="spellEnd"/>
      <w:r w:rsidRPr="006C7A58">
        <w:t xml:space="preserve"> components that are not resolvable.</w:t>
      </w:r>
      <w:bookmarkEnd w:id="594"/>
      <w:bookmarkEnd w:id="595"/>
      <w:bookmarkEnd w:id="596"/>
      <w:bookmarkEnd w:id="597"/>
      <w:bookmarkEnd w:id="598"/>
      <w:bookmarkEnd w:id="599"/>
      <w:bookmarkEnd w:id="600"/>
      <w:bookmarkEnd w:id="601"/>
      <w:bookmarkEnd w:id="602"/>
      <w:bookmarkEnd w:id="603"/>
    </w:p>
    <w:p w:rsidR="00AE0B1A" w:rsidRDefault="00AE0B1A" w:rsidP="00AE0B1A">
      <w:pPr>
        <w:pStyle w:val="Figuresandimagescentred"/>
      </w:pPr>
      <w:r>
        <w:rPr>
          <w:noProof/>
        </w:rPr>
        <w:lastRenderedPageBreak/>
        <w:t xml:space="preserve"> </w:t>
      </w:r>
      <w:r>
        <w:rPr>
          <w:noProof/>
        </w:rPr>
        <w:drawing>
          <wp:inline distT="0" distB="0" distL="0" distR="0" wp14:anchorId="570CA682" wp14:editId="1B5CA9D0">
            <wp:extent cx="5454000" cy="3063600"/>
            <wp:effectExtent l="0" t="0" r="0" b="3810"/>
            <wp:docPr id="41" name="Picture 41" descr="Due to the complexity of this document and the niche scientific target audience, no alternative description has been provided. Please email Geoscience Australia at clientservices@ga.gov.au for an alternative description." title="Fig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6finaldocs\0.REVIEW GA Record Summary + Appendices Internal  Review\Reviewed Draft\New folder\13-7199-5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54000" cy="3063600"/>
                    </a:xfrm>
                    <a:prstGeom prst="rect">
                      <a:avLst/>
                    </a:prstGeom>
                    <a:noFill/>
                    <a:ln>
                      <a:noFill/>
                    </a:ln>
                  </pic:spPr>
                </pic:pic>
              </a:graphicData>
            </a:graphic>
          </wp:inline>
        </w:drawing>
      </w:r>
    </w:p>
    <w:p w:rsidR="00AE0B1A" w:rsidRDefault="00AE0B1A" w:rsidP="00AE0B1A">
      <w:pPr>
        <w:pStyle w:val="Caption"/>
      </w:pPr>
      <w:bookmarkStart w:id="604" w:name="_Ref372804773"/>
      <w:bookmarkStart w:id="605" w:name="_Toc373095016"/>
      <w:bookmarkStart w:id="606" w:name="_Toc378252746"/>
      <w:bookmarkStart w:id="607" w:name="_Toc378253070"/>
      <w:bookmarkStart w:id="608" w:name="_Toc378253394"/>
      <w:bookmarkStart w:id="609" w:name="_Toc378253718"/>
      <w:bookmarkStart w:id="610" w:name="_Toc378254042"/>
      <w:bookmarkStart w:id="611" w:name="_Toc378254366"/>
      <w:bookmarkStart w:id="612" w:name="_Toc378254690"/>
      <w:bookmarkStart w:id="613" w:name="_Toc378255014"/>
      <w:bookmarkStart w:id="614" w:name="_Toc378255363"/>
      <w:r>
        <w:t xml:space="preserve">Figure </w:t>
      </w:r>
      <w:fldSimple w:instr=" STYLEREF 1 \s ">
        <w:r w:rsidR="00F64E4F">
          <w:rPr>
            <w:noProof/>
          </w:rPr>
          <w:t>6</w:t>
        </w:r>
      </w:fldSimple>
      <w:r w:rsidR="00AE5C2D">
        <w:t>.</w:t>
      </w:r>
      <w:fldSimple w:instr=" SEQ Figure \* ARABIC \s 1 ">
        <w:r w:rsidR="00F64E4F">
          <w:rPr>
            <w:noProof/>
          </w:rPr>
          <w:t>8</w:t>
        </w:r>
      </w:fldSimple>
      <w:bookmarkEnd w:id="604"/>
      <w:r>
        <w:t xml:space="preserve"> </w:t>
      </w:r>
      <w:r w:rsidRPr="00AA2E96">
        <w:t xml:space="preserve">Seismic </w:t>
      </w:r>
      <w:proofErr w:type="spellStart"/>
      <w:r w:rsidRPr="00AA2E96">
        <w:t>facies</w:t>
      </w:r>
      <w:proofErr w:type="spellEnd"/>
      <w:r w:rsidRPr="00AA2E96">
        <w:t xml:space="preserve"> analysis of seismic line r9710005 (AGSO Regional 2D seismic line 100-05) showing seismic character of the formations. Also note the presence of the </w:t>
      </w:r>
      <w:proofErr w:type="spellStart"/>
      <w:r w:rsidRPr="00AA2E96">
        <w:t>progrades</w:t>
      </w:r>
      <w:proofErr w:type="spellEnd"/>
      <w:r w:rsidRPr="00AA2E96">
        <w:t xml:space="preserve"> in the upper Frigate Shale mudstone terminating towards the flanks (right). See</w:t>
      </w:r>
      <w:r w:rsidRPr="00594428">
        <w:t xml:space="preserve"> </w:t>
      </w:r>
      <w:r>
        <w:fldChar w:fldCharType="begin"/>
      </w:r>
      <w:r>
        <w:instrText xml:space="preserve"> REF _Ref372289121 \h </w:instrText>
      </w:r>
      <w:r>
        <w:fldChar w:fldCharType="separate"/>
      </w:r>
      <w:r w:rsidR="00F64E4F">
        <w:t xml:space="preserve">Figure </w:t>
      </w:r>
      <w:r w:rsidR="00F64E4F">
        <w:rPr>
          <w:noProof/>
        </w:rPr>
        <w:t>4</w:t>
      </w:r>
      <w:r w:rsidR="00F64E4F">
        <w:t>.</w:t>
      </w:r>
      <w:r w:rsidR="00F64E4F">
        <w:rPr>
          <w:noProof/>
        </w:rPr>
        <w:t>4</w:t>
      </w:r>
      <w:r>
        <w:fldChar w:fldCharType="end"/>
      </w:r>
      <w:r w:rsidR="00400897">
        <w:t xml:space="preserve"> </w:t>
      </w:r>
      <w:r>
        <w:t xml:space="preserve">for seismic line location. </w:t>
      </w:r>
      <w:r w:rsidRPr="00CB6B84">
        <w:t xml:space="preserve">See Appendix </w:t>
      </w:r>
      <w:r>
        <w:t>A</w:t>
      </w:r>
      <w:r w:rsidRPr="00CB6B84">
        <w:t xml:space="preserve"> for full details.</w:t>
      </w:r>
      <w:bookmarkEnd w:id="605"/>
      <w:bookmarkEnd w:id="606"/>
      <w:bookmarkEnd w:id="607"/>
      <w:bookmarkEnd w:id="608"/>
      <w:bookmarkEnd w:id="609"/>
      <w:bookmarkEnd w:id="610"/>
      <w:bookmarkEnd w:id="611"/>
      <w:bookmarkEnd w:id="612"/>
      <w:bookmarkEnd w:id="613"/>
      <w:bookmarkEnd w:id="614"/>
    </w:p>
    <w:p w:rsidR="00AE0B1A" w:rsidRDefault="00AE0B1A" w:rsidP="00AE0B1A">
      <w:pPr>
        <w:pStyle w:val="Tabletitle"/>
      </w:pPr>
      <w:bookmarkStart w:id="615" w:name="_Ref380156668"/>
      <w:bookmarkStart w:id="616" w:name="_Toc372790379"/>
      <w:bookmarkStart w:id="617" w:name="_Toc378252833"/>
      <w:bookmarkStart w:id="618" w:name="_Toc378253157"/>
      <w:bookmarkStart w:id="619" w:name="_Toc378253481"/>
      <w:bookmarkStart w:id="620" w:name="_Toc378253805"/>
      <w:bookmarkStart w:id="621" w:name="_Toc378254129"/>
      <w:bookmarkStart w:id="622" w:name="_Toc378254453"/>
      <w:bookmarkStart w:id="623" w:name="_Toc378254777"/>
      <w:bookmarkStart w:id="624" w:name="_Toc378255101"/>
      <w:bookmarkStart w:id="625" w:name="_Toc378255450"/>
      <w:r>
        <w:t xml:space="preserve">Table </w:t>
      </w:r>
      <w:fldSimple w:instr=" STYLEREF 1 \s ">
        <w:r w:rsidR="00F64E4F">
          <w:rPr>
            <w:noProof/>
          </w:rPr>
          <w:t>6</w:t>
        </w:r>
      </w:fldSimple>
      <w:r>
        <w:t>.</w:t>
      </w:r>
      <w:fldSimple w:instr=" SEQ Table \* ARABIC \s 1 ">
        <w:r w:rsidR="00F64E4F">
          <w:rPr>
            <w:noProof/>
          </w:rPr>
          <w:t>3</w:t>
        </w:r>
      </w:fldSimple>
      <w:bookmarkEnd w:id="615"/>
      <w:r>
        <w:t xml:space="preserve"> </w:t>
      </w:r>
      <w:r w:rsidRPr="001D05E9">
        <w:t>Summary of the core analysis results of the seals in key wells. Results from this study are combined with results of Lang and Gibson-Poole (2001) and Gibson-Poole (2009). See Appendix G for full details.</w:t>
      </w:r>
      <w:bookmarkEnd w:id="616"/>
      <w:bookmarkEnd w:id="617"/>
      <w:bookmarkEnd w:id="618"/>
      <w:bookmarkEnd w:id="619"/>
      <w:bookmarkEnd w:id="620"/>
      <w:bookmarkEnd w:id="621"/>
      <w:bookmarkEnd w:id="622"/>
      <w:bookmarkEnd w:id="623"/>
      <w:bookmarkEnd w:id="624"/>
      <w:bookmarkEnd w:id="625"/>
    </w:p>
    <w:tbl>
      <w:tblPr>
        <w:tblStyle w:val="TableGAHeaderRow"/>
        <w:tblW w:w="5000" w:type="pct"/>
        <w:tblInd w:w="0" w:type="dxa"/>
        <w:tblLayout w:type="fixed"/>
        <w:tblLook w:val="04A0" w:firstRow="1" w:lastRow="0" w:firstColumn="1" w:lastColumn="0" w:noHBand="0" w:noVBand="1"/>
        <w:tblCaption w:val="Table 6.3"/>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131"/>
        <w:gridCol w:w="1477"/>
        <w:gridCol w:w="990"/>
        <w:gridCol w:w="1132"/>
        <w:gridCol w:w="994"/>
        <w:gridCol w:w="1685"/>
        <w:gridCol w:w="1776"/>
      </w:tblGrid>
      <w:tr w:rsidR="00AE0B1A" w:rsidRPr="003153A8" w:rsidTr="00016FA4">
        <w:trPr>
          <w:cnfStyle w:val="100000000000" w:firstRow="1" w:lastRow="0" w:firstColumn="0" w:lastColumn="0" w:oddVBand="0" w:evenVBand="0" w:oddHBand="0" w:evenHBand="0" w:firstRowFirstColumn="0" w:firstRowLastColumn="0" w:lastRowFirstColumn="0" w:lastRowLastColumn="0"/>
          <w:trHeight w:val="57"/>
          <w:tblHeader/>
        </w:trPr>
        <w:tc>
          <w:tcPr>
            <w:tcW w:w="616" w:type="pct"/>
            <w:vMerge w:val="restart"/>
            <w:noWrap/>
            <w:hideMark/>
          </w:tcPr>
          <w:p w:rsidR="00AE0B1A" w:rsidRPr="000A4D73" w:rsidRDefault="00AE0B1A" w:rsidP="00FD0A94">
            <w:pPr>
              <w:pStyle w:val="Tabletextleft"/>
            </w:pPr>
            <w:r w:rsidRPr="000A4D73">
              <w:t>Well</w:t>
            </w:r>
          </w:p>
        </w:tc>
        <w:tc>
          <w:tcPr>
            <w:tcW w:w="804" w:type="pct"/>
            <w:vMerge w:val="restart"/>
            <w:noWrap/>
            <w:hideMark/>
          </w:tcPr>
          <w:p w:rsidR="00AE0B1A" w:rsidRPr="000A4D73" w:rsidRDefault="00AE0B1A" w:rsidP="00FD0A94">
            <w:pPr>
              <w:pStyle w:val="Tabletextleft"/>
            </w:pPr>
            <w:r w:rsidRPr="000A4D73">
              <w:t>Formation</w:t>
            </w:r>
          </w:p>
        </w:tc>
        <w:tc>
          <w:tcPr>
            <w:tcW w:w="539" w:type="pct"/>
            <w:vMerge w:val="restart"/>
            <w:noWrap/>
            <w:hideMark/>
          </w:tcPr>
          <w:p w:rsidR="00AE0B1A" w:rsidRPr="000A4D73" w:rsidRDefault="00AE0B1A" w:rsidP="00FD0A94">
            <w:pPr>
              <w:pStyle w:val="Tabletextleft"/>
            </w:pPr>
            <w:r w:rsidRPr="000A4D73">
              <w:t>Brine-CO</w:t>
            </w:r>
            <w:r w:rsidRPr="0046723E">
              <w:rPr>
                <w:rStyle w:val="Subscript"/>
              </w:rPr>
              <w:t>2</w:t>
            </w:r>
            <w:r w:rsidRPr="000A4D73">
              <w:t xml:space="preserve"> Injection</w:t>
            </w:r>
          </w:p>
          <w:p w:rsidR="00AE0B1A" w:rsidRPr="000A4D73" w:rsidRDefault="00AE0B1A" w:rsidP="00FD0A94">
            <w:pPr>
              <w:pStyle w:val="Tabletextleft"/>
              <w:rPr>
                <w:b w:val="0"/>
              </w:rPr>
            </w:pPr>
            <w:r w:rsidRPr="000A4D73">
              <w:t>Threshold Pressure (psi)</w:t>
            </w:r>
          </w:p>
        </w:tc>
        <w:tc>
          <w:tcPr>
            <w:tcW w:w="616" w:type="pct"/>
            <w:vMerge w:val="restart"/>
          </w:tcPr>
          <w:p w:rsidR="00AE0B1A" w:rsidRPr="000A4D73" w:rsidRDefault="00AE0B1A" w:rsidP="00FD0A94">
            <w:pPr>
              <w:pStyle w:val="Tabletextleft"/>
              <w:rPr>
                <w:b w:val="0"/>
              </w:rPr>
            </w:pPr>
            <w:r>
              <w:t xml:space="preserve">MICP </w:t>
            </w:r>
            <w:r w:rsidRPr="000A4D73">
              <w:t xml:space="preserve">Threshold </w:t>
            </w:r>
            <w:r>
              <w:t>P</w:t>
            </w:r>
            <w:r w:rsidRPr="000A4D73">
              <w:t>ressure (psi)</w:t>
            </w:r>
          </w:p>
        </w:tc>
        <w:tc>
          <w:tcPr>
            <w:tcW w:w="2425" w:type="pct"/>
            <w:gridSpan w:val="3"/>
          </w:tcPr>
          <w:p w:rsidR="00AE0B1A" w:rsidRPr="000A4D73" w:rsidRDefault="00AE0B1A" w:rsidP="00FD0A94">
            <w:pPr>
              <w:pStyle w:val="Tabletextleft"/>
            </w:pPr>
            <w:r w:rsidRPr="000A4D73">
              <w:t>MICP</w:t>
            </w:r>
          </w:p>
          <w:p w:rsidR="00AE0B1A" w:rsidRPr="007F785C" w:rsidRDefault="00AE0B1A" w:rsidP="00FD0A94">
            <w:pPr>
              <w:pStyle w:val="Tabletextleft"/>
              <w:rPr>
                <w:b w:val="0"/>
              </w:rPr>
            </w:pPr>
            <w:r w:rsidRPr="000A4D73">
              <w:t>CO</w:t>
            </w:r>
            <w:r w:rsidRPr="009D5B2E">
              <w:rPr>
                <w:rStyle w:val="Subscript"/>
              </w:rPr>
              <w:t>2</w:t>
            </w:r>
            <w:r w:rsidRPr="000A4D73">
              <w:t xml:space="preserve"> Column Height (m)</w:t>
            </w:r>
          </w:p>
        </w:tc>
      </w:tr>
      <w:tr w:rsidR="00AE0B1A" w:rsidRPr="003153A8" w:rsidTr="00016FA4">
        <w:trPr>
          <w:cnfStyle w:val="100000000000" w:firstRow="1" w:lastRow="0" w:firstColumn="0" w:lastColumn="0" w:oddVBand="0" w:evenVBand="0" w:oddHBand="0" w:evenHBand="0" w:firstRowFirstColumn="0" w:firstRowLastColumn="0" w:lastRowFirstColumn="0" w:lastRowLastColumn="0"/>
          <w:trHeight w:val="57"/>
          <w:tblHeader/>
        </w:trPr>
        <w:tc>
          <w:tcPr>
            <w:tcW w:w="616" w:type="pct"/>
            <w:vMerge/>
            <w:noWrap/>
          </w:tcPr>
          <w:p w:rsidR="00AE0B1A" w:rsidRPr="000A4D73" w:rsidRDefault="00AE0B1A" w:rsidP="00FD0A94">
            <w:pPr>
              <w:pStyle w:val="Tabletextleft"/>
              <w:rPr>
                <w:rFonts w:ascii="Calibri" w:hAnsi="Calibri" w:cs="Calibri"/>
                <w:color w:val="FFFFFF" w:themeColor="background1"/>
                <w:sz w:val="20"/>
              </w:rPr>
            </w:pPr>
          </w:p>
        </w:tc>
        <w:tc>
          <w:tcPr>
            <w:tcW w:w="804" w:type="pct"/>
            <w:vMerge/>
            <w:noWrap/>
          </w:tcPr>
          <w:p w:rsidR="00AE0B1A" w:rsidRPr="000A4D73" w:rsidRDefault="00AE0B1A" w:rsidP="00FD0A94">
            <w:pPr>
              <w:pStyle w:val="Tabletextleft"/>
              <w:rPr>
                <w:rFonts w:ascii="Calibri" w:hAnsi="Calibri" w:cs="Calibri"/>
                <w:color w:val="FFFFFF" w:themeColor="background1"/>
                <w:sz w:val="20"/>
              </w:rPr>
            </w:pPr>
          </w:p>
        </w:tc>
        <w:tc>
          <w:tcPr>
            <w:tcW w:w="539" w:type="pct"/>
            <w:vMerge/>
            <w:noWrap/>
          </w:tcPr>
          <w:p w:rsidR="00AE0B1A" w:rsidRPr="000A4D73" w:rsidRDefault="00AE0B1A" w:rsidP="00FD0A94">
            <w:pPr>
              <w:pStyle w:val="Tabletextleft"/>
            </w:pPr>
          </w:p>
        </w:tc>
        <w:tc>
          <w:tcPr>
            <w:tcW w:w="616" w:type="pct"/>
            <w:vMerge/>
          </w:tcPr>
          <w:p w:rsidR="00AE0B1A" w:rsidRPr="000A4D73" w:rsidRDefault="00AE0B1A" w:rsidP="00FD0A94">
            <w:pPr>
              <w:pStyle w:val="Tabletextleft"/>
              <w:rPr>
                <w:b w:val="0"/>
              </w:rPr>
            </w:pPr>
          </w:p>
        </w:tc>
        <w:tc>
          <w:tcPr>
            <w:tcW w:w="541" w:type="pct"/>
          </w:tcPr>
          <w:p w:rsidR="00AE0B1A" w:rsidRPr="000A4D73" w:rsidRDefault="00AE0B1A" w:rsidP="00FD0A94">
            <w:pPr>
              <w:pStyle w:val="Tabletextleft"/>
            </w:pPr>
            <w:r>
              <w:t>This Study</w:t>
            </w:r>
          </w:p>
        </w:tc>
        <w:tc>
          <w:tcPr>
            <w:tcW w:w="917" w:type="pct"/>
            <w:noWrap/>
          </w:tcPr>
          <w:p w:rsidR="00AE0B1A" w:rsidRPr="000A4D73" w:rsidRDefault="00AE0B1A" w:rsidP="00FD0A94">
            <w:pPr>
              <w:pStyle w:val="Tabletextleft"/>
              <w:rPr>
                <w:rFonts w:ascii="Calibri" w:hAnsi="Calibri" w:cs="Calibri"/>
                <w:color w:val="FFFFFF" w:themeColor="background1"/>
                <w:sz w:val="20"/>
              </w:rPr>
            </w:pPr>
            <w:r w:rsidRPr="000A4D73">
              <w:t>Gibson Poole (2009</w:t>
            </w:r>
            <w:r>
              <w:t>)</w:t>
            </w:r>
          </w:p>
        </w:tc>
        <w:tc>
          <w:tcPr>
            <w:tcW w:w="966" w:type="pct"/>
            <w:noWrap/>
          </w:tcPr>
          <w:p w:rsidR="00AE0B1A" w:rsidRPr="007F785C" w:rsidRDefault="00AE0B1A" w:rsidP="00FD0A94">
            <w:pPr>
              <w:pStyle w:val="Tabletextleft"/>
            </w:pPr>
            <w:r w:rsidRPr="000A4D73">
              <w:t>Lang and Gibson Poole (2001)</w:t>
            </w:r>
          </w:p>
        </w:tc>
      </w:tr>
      <w:tr w:rsidR="00AE0B1A" w:rsidRPr="003153A8" w:rsidTr="00016FA4">
        <w:trPr>
          <w:cnfStyle w:val="000000100000" w:firstRow="0" w:lastRow="0" w:firstColumn="0" w:lastColumn="0" w:oddVBand="0" w:evenVBand="0" w:oddHBand="1" w:evenHBand="0" w:firstRowFirstColumn="0" w:firstRowLastColumn="0" w:lastRowFirstColumn="0" w:lastRowLastColumn="0"/>
          <w:cantSplit/>
          <w:trHeight w:val="57"/>
        </w:trPr>
        <w:tc>
          <w:tcPr>
            <w:tcW w:w="616" w:type="pct"/>
            <w:vMerge w:val="restart"/>
            <w:noWrap/>
            <w:hideMark/>
          </w:tcPr>
          <w:p w:rsidR="00AE0B1A" w:rsidRPr="000A4D73" w:rsidRDefault="00AE0B1A" w:rsidP="00AE0B1A">
            <w:pPr>
              <w:pStyle w:val="Tabletextleft"/>
            </w:pPr>
            <w:r>
              <w:t>Gull 1</w:t>
            </w:r>
          </w:p>
        </w:tc>
        <w:tc>
          <w:tcPr>
            <w:tcW w:w="804" w:type="pct"/>
            <w:vMerge w:val="restart"/>
            <w:noWrap/>
            <w:hideMark/>
          </w:tcPr>
          <w:p w:rsidR="00AE0B1A" w:rsidRPr="000A4D73" w:rsidRDefault="00AE0B1A" w:rsidP="00AE0B1A">
            <w:pPr>
              <w:pStyle w:val="Tabletextleft"/>
            </w:pPr>
            <w:r w:rsidRPr="000A4D73">
              <w:t xml:space="preserve">upper </w:t>
            </w:r>
            <w:proofErr w:type="spellStart"/>
            <w:r w:rsidRPr="000A4D73">
              <w:t>Wangarlu</w:t>
            </w:r>
            <w:proofErr w:type="spellEnd"/>
          </w:p>
        </w:tc>
        <w:tc>
          <w:tcPr>
            <w:tcW w:w="539" w:type="pct"/>
            <w:noWrap/>
            <w:hideMark/>
          </w:tcPr>
          <w:p w:rsidR="00AE0B1A" w:rsidRPr="000A4D73" w:rsidRDefault="00AE0B1A" w:rsidP="00FD0A94">
            <w:pPr>
              <w:pStyle w:val="Tabletextright"/>
            </w:pPr>
          </w:p>
        </w:tc>
        <w:tc>
          <w:tcPr>
            <w:tcW w:w="616" w:type="pct"/>
            <w:noWrap/>
            <w:hideMark/>
          </w:tcPr>
          <w:p w:rsidR="00AE0B1A" w:rsidRPr="000A4D73" w:rsidRDefault="00AE0B1A" w:rsidP="00FD0A94">
            <w:pPr>
              <w:pStyle w:val="Tabletextright"/>
            </w:pPr>
            <w:r w:rsidRPr="000A4D73">
              <w:t>286</w:t>
            </w:r>
          </w:p>
        </w:tc>
        <w:tc>
          <w:tcPr>
            <w:tcW w:w="541" w:type="pct"/>
            <w:noWrap/>
            <w:hideMark/>
          </w:tcPr>
          <w:p w:rsidR="00AE0B1A" w:rsidRPr="000A4D73" w:rsidRDefault="00AE0B1A" w:rsidP="00FD0A94">
            <w:pPr>
              <w:pStyle w:val="Tabletextright"/>
            </w:pPr>
            <w:r w:rsidRPr="000A4D73">
              <w:t>340</w:t>
            </w:r>
          </w:p>
        </w:tc>
        <w:tc>
          <w:tcPr>
            <w:tcW w:w="917" w:type="pct"/>
            <w:noWrap/>
            <w:hideMark/>
          </w:tcPr>
          <w:p w:rsidR="00AE0B1A" w:rsidRPr="000A4D73" w:rsidRDefault="00AE0B1A" w:rsidP="00FD0A94">
            <w:pPr>
              <w:pStyle w:val="Tabletextright"/>
            </w:pPr>
            <w:r w:rsidRPr="000A4D73">
              <w:t>310</w:t>
            </w:r>
          </w:p>
        </w:tc>
        <w:tc>
          <w:tcPr>
            <w:tcW w:w="966" w:type="pct"/>
            <w:noWrap/>
            <w:hideMark/>
          </w:tcPr>
          <w:p w:rsidR="00AE0B1A" w:rsidRPr="000A4D73" w:rsidRDefault="00AE0B1A" w:rsidP="00FD0A94">
            <w:pPr>
              <w:pStyle w:val="Tabletextright"/>
            </w:pPr>
            <w:r w:rsidRPr="000A4D73">
              <w:t>500</w:t>
            </w:r>
          </w:p>
        </w:tc>
      </w:tr>
      <w:tr w:rsidR="00AE0B1A" w:rsidRPr="003153A8" w:rsidTr="00016FA4">
        <w:trPr>
          <w:cnfStyle w:val="000000010000" w:firstRow="0" w:lastRow="0" w:firstColumn="0" w:lastColumn="0" w:oddVBand="0" w:evenVBand="0" w:oddHBand="0" w:evenHBand="1" w:firstRowFirstColumn="0" w:firstRowLastColumn="0" w:lastRowFirstColumn="0" w:lastRowLastColumn="0"/>
          <w:cantSplit/>
          <w:trHeight w:val="57"/>
        </w:trPr>
        <w:tc>
          <w:tcPr>
            <w:tcW w:w="616" w:type="pct"/>
            <w:vMerge/>
            <w:hideMark/>
          </w:tcPr>
          <w:p w:rsidR="00AE0B1A" w:rsidRPr="000A4D73" w:rsidRDefault="00AE0B1A" w:rsidP="00AE0B1A">
            <w:pPr>
              <w:pStyle w:val="Tabletextleft"/>
            </w:pPr>
          </w:p>
        </w:tc>
        <w:tc>
          <w:tcPr>
            <w:tcW w:w="804" w:type="pct"/>
            <w:vMerge/>
            <w:hideMark/>
          </w:tcPr>
          <w:p w:rsidR="00AE0B1A" w:rsidRPr="000A4D73" w:rsidRDefault="00AE0B1A" w:rsidP="00AE0B1A">
            <w:pPr>
              <w:pStyle w:val="Tabletextleft"/>
            </w:pPr>
          </w:p>
        </w:tc>
        <w:tc>
          <w:tcPr>
            <w:tcW w:w="539" w:type="pct"/>
            <w:noWrap/>
            <w:hideMark/>
          </w:tcPr>
          <w:p w:rsidR="00AE0B1A" w:rsidRPr="000A4D73" w:rsidRDefault="00AE0B1A" w:rsidP="00FD0A94">
            <w:pPr>
              <w:pStyle w:val="Tabletextright"/>
            </w:pPr>
          </w:p>
        </w:tc>
        <w:tc>
          <w:tcPr>
            <w:tcW w:w="616" w:type="pct"/>
            <w:noWrap/>
            <w:hideMark/>
          </w:tcPr>
          <w:p w:rsidR="00AE0B1A" w:rsidRPr="000A4D73" w:rsidRDefault="00AE0B1A" w:rsidP="00FD0A94">
            <w:pPr>
              <w:pStyle w:val="Tabletextright"/>
            </w:pPr>
          </w:p>
        </w:tc>
        <w:tc>
          <w:tcPr>
            <w:tcW w:w="541" w:type="pct"/>
            <w:noWrap/>
            <w:hideMark/>
          </w:tcPr>
          <w:p w:rsidR="00AE0B1A" w:rsidRPr="000A4D73" w:rsidRDefault="00AE0B1A" w:rsidP="00FD0A94">
            <w:pPr>
              <w:pStyle w:val="Tabletextright"/>
            </w:pPr>
          </w:p>
        </w:tc>
        <w:tc>
          <w:tcPr>
            <w:tcW w:w="917" w:type="pct"/>
            <w:noWrap/>
            <w:hideMark/>
          </w:tcPr>
          <w:p w:rsidR="00AE0B1A" w:rsidRPr="000A4D73" w:rsidRDefault="00AE0B1A" w:rsidP="00FD0A94">
            <w:pPr>
              <w:pStyle w:val="Tabletextright"/>
            </w:pPr>
            <w:r w:rsidRPr="000A4D73">
              <w:t>309</w:t>
            </w:r>
          </w:p>
        </w:tc>
        <w:tc>
          <w:tcPr>
            <w:tcW w:w="966" w:type="pct"/>
            <w:noWrap/>
            <w:hideMark/>
          </w:tcPr>
          <w:p w:rsidR="00AE0B1A" w:rsidRPr="000A4D73" w:rsidRDefault="00AE0B1A" w:rsidP="00FD0A94">
            <w:pPr>
              <w:pStyle w:val="Tabletextright"/>
            </w:pPr>
            <w:r w:rsidRPr="000A4D73">
              <w:t>500</w:t>
            </w:r>
          </w:p>
        </w:tc>
      </w:tr>
      <w:tr w:rsidR="00AE0B1A" w:rsidRPr="003153A8" w:rsidTr="00016FA4">
        <w:trPr>
          <w:cnfStyle w:val="000000100000" w:firstRow="0" w:lastRow="0" w:firstColumn="0" w:lastColumn="0" w:oddVBand="0" w:evenVBand="0" w:oddHBand="1" w:evenHBand="0" w:firstRowFirstColumn="0" w:firstRowLastColumn="0" w:lastRowFirstColumn="0" w:lastRowLastColumn="0"/>
          <w:cantSplit/>
          <w:trHeight w:val="57"/>
        </w:trPr>
        <w:tc>
          <w:tcPr>
            <w:tcW w:w="616" w:type="pct"/>
            <w:vMerge/>
            <w:hideMark/>
          </w:tcPr>
          <w:p w:rsidR="00AE0B1A" w:rsidRPr="000A4D73" w:rsidRDefault="00AE0B1A" w:rsidP="00AE0B1A">
            <w:pPr>
              <w:pStyle w:val="Tabletextleft"/>
            </w:pPr>
          </w:p>
        </w:tc>
        <w:tc>
          <w:tcPr>
            <w:tcW w:w="804" w:type="pct"/>
            <w:noWrap/>
            <w:hideMark/>
          </w:tcPr>
          <w:p w:rsidR="00AE0B1A" w:rsidRPr="000A4D73" w:rsidRDefault="00AE0B1A" w:rsidP="00AE0B1A">
            <w:pPr>
              <w:pStyle w:val="Tabletextleft"/>
            </w:pPr>
            <w:r w:rsidRPr="000A4D73">
              <w:t xml:space="preserve">mid </w:t>
            </w:r>
            <w:proofErr w:type="spellStart"/>
            <w:r w:rsidRPr="000A4D73">
              <w:t>Wangarlu</w:t>
            </w:r>
            <w:proofErr w:type="spellEnd"/>
          </w:p>
        </w:tc>
        <w:tc>
          <w:tcPr>
            <w:tcW w:w="539" w:type="pct"/>
            <w:noWrap/>
            <w:hideMark/>
          </w:tcPr>
          <w:p w:rsidR="00AE0B1A" w:rsidRPr="000A4D73" w:rsidRDefault="00AE0B1A" w:rsidP="00FD0A94">
            <w:pPr>
              <w:pStyle w:val="Tabletextright"/>
            </w:pPr>
          </w:p>
        </w:tc>
        <w:tc>
          <w:tcPr>
            <w:tcW w:w="616" w:type="pct"/>
            <w:noWrap/>
            <w:hideMark/>
          </w:tcPr>
          <w:p w:rsidR="00AE0B1A" w:rsidRPr="000A4D73" w:rsidRDefault="00AE0B1A" w:rsidP="00FD0A94">
            <w:pPr>
              <w:pStyle w:val="Tabletextright"/>
            </w:pPr>
            <w:r w:rsidRPr="000A4D73">
              <w:t>115</w:t>
            </w:r>
          </w:p>
        </w:tc>
        <w:tc>
          <w:tcPr>
            <w:tcW w:w="541" w:type="pct"/>
            <w:noWrap/>
            <w:hideMark/>
          </w:tcPr>
          <w:p w:rsidR="00AE0B1A" w:rsidRPr="000A4D73" w:rsidRDefault="00AE0B1A" w:rsidP="00FD0A94">
            <w:pPr>
              <w:pStyle w:val="Tabletextright"/>
            </w:pPr>
            <w:r w:rsidRPr="000A4D73">
              <w:t>137</w:t>
            </w:r>
          </w:p>
        </w:tc>
        <w:tc>
          <w:tcPr>
            <w:tcW w:w="917" w:type="pct"/>
            <w:noWrap/>
            <w:hideMark/>
          </w:tcPr>
          <w:p w:rsidR="00AE0B1A" w:rsidRPr="000A4D73" w:rsidRDefault="00AE0B1A" w:rsidP="00FD0A94">
            <w:pPr>
              <w:pStyle w:val="Tabletextright"/>
            </w:pPr>
            <w:r w:rsidRPr="000A4D73">
              <w:t>799</w:t>
            </w:r>
          </w:p>
        </w:tc>
        <w:tc>
          <w:tcPr>
            <w:tcW w:w="966" w:type="pct"/>
            <w:noWrap/>
            <w:hideMark/>
          </w:tcPr>
          <w:p w:rsidR="00AE0B1A" w:rsidRPr="000A4D73" w:rsidRDefault="00AE0B1A" w:rsidP="00FD0A94">
            <w:pPr>
              <w:pStyle w:val="Tabletextright"/>
            </w:pPr>
            <w:r w:rsidRPr="000A4D73">
              <w:t>800</w:t>
            </w:r>
          </w:p>
        </w:tc>
      </w:tr>
      <w:tr w:rsidR="00AE0B1A" w:rsidRPr="003153A8" w:rsidTr="00016FA4">
        <w:trPr>
          <w:cnfStyle w:val="000000010000" w:firstRow="0" w:lastRow="0" w:firstColumn="0" w:lastColumn="0" w:oddVBand="0" w:evenVBand="0" w:oddHBand="0" w:evenHBand="1" w:firstRowFirstColumn="0" w:firstRowLastColumn="0" w:lastRowFirstColumn="0" w:lastRowLastColumn="0"/>
          <w:cantSplit/>
          <w:trHeight w:val="57"/>
        </w:trPr>
        <w:tc>
          <w:tcPr>
            <w:tcW w:w="616" w:type="pct"/>
            <w:noWrap/>
            <w:hideMark/>
          </w:tcPr>
          <w:p w:rsidR="00AE0B1A" w:rsidRPr="000A4D73" w:rsidRDefault="00AE0B1A" w:rsidP="00AE0B1A">
            <w:pPr>
              <w:pStyle w:val="Tabletextleft"/>
            </w:pPr>
            <w:r>
              <w:t>Jacaranda 1</w:t>
            </w:r>
          </w:p>
        </w:tc>
        <w:tc>
          <w:tcPr>
            <w:tcW w:w="804" w:type="pct"/>
            <w:noWrap/>
            <w:hideMark/>
          </w:tcPr>
          <w:p w:rsidR="00AE0B1A" w:rsidRPr="000A4D73" w:rsidRDefault="00AE0B1A" w:rsidP="00AE0B1A">
            <w:pPr>
              <w:pStyle w:val="Tabletextleft"/>
            </w:pPr>
            <w:r w:rsidRPr="000A4D73">
              <w:t>base Darwin-top Echuca Shoals</w:t>
            </w:r>
          </w:p>
        </w:tc>
        <w:tc>
          <w:tcPr>
            <w:tcW w:w="539" w:type="pct"/>
            <w:noWrap/>
            <w:hideMark/>
          </w:tcPr>
          <w:p w:rsidR="00AE0B1A" w:rsidRPr="000A4D73" w:rsidRDefault="00AE0B1A" w:rsidP="00FD0A94">
            <w:pPr>
              <w:pStyle w:val="Tabletextright"/>
            </w:pPr>
            <w:r w:rsidRPr="000A4D73">
              <w:t>26.1</w:t>
            </w:r>
          </w:p>
        </w:tc>
        <w:tc>
          <w:tcPr>
            <w:tcW w:w="616" w:type="pct"/>
            <w:noWrap/>
            <w:hideMark/>
          </w:tcPr>
          <w:p w:rsidR="00AE0B1A" w:rsidRPr="000A4D73" w:rsidRDefault="00AE0B1A" w:rsidP="00FD0A94">
            <w:pPr>
              <w:pStyle w:val="Tabletextright"/>
            </w:pPr>
            <w:r w:rsidRPr="000A4D73">
              <w:t>141</w:t>
            </w:r>
          </w:p>
        </w:tc>
        <w:tc>
          <w:tcPr>
            <w:tcW w:w="541" w:type="pct"/>
            <w:noWrap/>
            <w:hideMark/>
          </w:tcPr>
          <w:p w:rsidR="00AE0B1A" w:rsidRPr="000A4D73" w:rsidRDefault="00AE0B1A" w:rsidP="00FD0A94">
            <w:pPr>
              <w:pStyle w:val="Tabletextright"/>
            </w:pPr>
            <w:r w:rsidRPr="000A4D73">
              <w:t>168</w:t>
            </w:r>
          </w:p>
        </w:tc>
        <w:tc>
          <w:tcPr>
            <w:tcW w:w="917" w:type="pct"/>
            <w:noWrap/>
            <w:hideMark/>
          </w:tcPr>
          <w:p w:rsidR="00AE0B1A" w:rsidRPr="000A4D73" w:rsidRDefault="00AE0B1A" w:rsidP="00FD0A94">
            <w:pPr>
              <w:pStyle w:val="Tabletextright"/>
            </w:pPr>
          </w:p>
        </w:tc>
        <w:tc>
          <w:tcPr>
            <w:tcW w:w="966" w:type="pct"/>
            <w:noWrap/>
            <w:hideMark/>
          </w:tcPr>
          <w:p w:rsidR="00AE0B1A" w:rsidRPr="000A4D73" w:rsidRDefault="00AE0B1A" w:rsidP="00FD0A94">
            <w:pPr>
              <w:pStyle w:val="Tabletextright"/>
            </w:pPr>
          </w:p>
        </w:tc>
      </w:tr>
      <w:tr w:rsidR="00AE0B1A" w:rsidRPr="003153A8" w:rsidTr="00016FA4">
        <w:trPr>
          <w:cnfStyle w:val="000000100000" w:firstRow="0" w:lastRow="0" w:firstColumn="0" w:lastColumn="0" w:oddVBand="0" w:evenVBand="0" w:oddHBand="1" w:evenHBand="0" w:firstRowFirstColumn="0" w:firstRowLastColumn="0" w:lastRowFirstColumn="0" w:lastRowLastColumn="0"/>
          <w:cantSplit/>
          <w:trHeight w:val="57"/>
        </w:trPr>
        <w:tc>
          <w:tcPr>
            <w:tcW w:w="616" w:type="pct"/>
            <w:vMerge w:val="restart"/>
            <w:noWrap/>
            <w:hideMark/>
          </w:tcPr>
          <w:p w:rsidR="00AE0B1A" w:rsidRPr="000A4D73" w:rsidRDefault="00AE0B1A" w:rsidP="00AE0B1A">
            <w:pPr>
              <w:pStyle w:val="Tabletextleft"/>
            </w:pPr>
            <w:r>
              <w:t>Petrel 1</w:t>
            </w:r>
          </w:p>
        </w:tc>
        <w:tc>
          <w:tcPr>
            <w:tcW w:w="804" w:type="pct"/>
            <w:vMerge w:val="restart"/>
            <w:noWrap/>
            <w:hideMark/>
          </w:tcPr>
          <w:p w:rsidR="00AE0B1A" w:rsidRPr="000A4D73" w:rsidRDefault="00AE0B1A" w:rsidP="00AE0B1A">
            <w:pPr>
              <w:pStyle w:val="Tabletextleft"/>
            </w:pPr>
            <w:r w:rsidRPr="000A4D73">
              <w:t xml:space="preserve">upper </w:t>
            </w:r>
            <w:proofErr w:type="spellStart"/>
            <w:r w:rsidRPr="000A4D73">
              <w:t>Wangarlu</w:t>
            </w:r>
            <w:proofErr w:type="spellEnd"/>
          </w:p>
        </w:tc>
        <w:tc>
          <w:tcPr>
            <w:tcW w:w="539" w:type="pct"/>
            <w:noWrap/>
            <w:hideMark/>
          </w:tcPr>
          <w:p w:rsidR="00AE0B1A" w:rsidRPr="000A4D73" w:rsidRDefault="00AE0B1A" w:rsidP="00FD0A94">
            <w:pPr>
              <w:pStyle w:val="Tabletextright"/>
            </w:pPr>
          </w:p>
        </w:tc>
        <w:tc>
          <w:tcPr>
            <w:tcW w:w="616" w:type="pct"/>
            <w:noWrap/>
            <w:hideMark/>
          </w:tcPr>
          <w:p w:rsidR="00AE0B1A" w:rsidRPr="000A4D73" w:rsidRDefault="00AE0B1A" w:rsidP="00FD0A94">
            <w:pPr>
              <w:pStyle w:val="Tabletextright"/>
            </w:pPr>
            <w:r w:rsidRPr="000A4D73">
              <w:t>155</w:t>
            </w:r>
          </w:p>
        </w:tc>
        <w:tc>
          <w:tcPr>
            <w:tcW w:w="541" w:type="pct"/>
            <w:noWrap/>
            <w:hideMark/>
          </w:tcPr>
          <w:p w:rsidR="00AE0B1A" w:rsidRPr="000A4D73" w:rsidRDefault="00AE0B1A" w:rsidP="00FD0A94">
            <w:pPr>
              <w:pStyle w:val="Tabletextright"/>
            </w:pPr>
            <w:r w:rsidRPr="000A4D73">
              <w:t>184</w:t>
            </w:r>
          </w:p>
        </w:tc>
        <w:tc>
          <w:tcPr>
            <w:tcW w:w="917" w:type="pct"/>
            <w:noWrap/>
            <w:hideMark/>
          </w:tcPr>
          <w:p w:rsidR="00AE0B1A" w:rsidRPr="000A4D73" w:rsidRDefault="00AE0B1A" w:rsidP="00FD0A94">
            <w:pPr>
              <w:pStyle w:val="Tabletextright"/>
            </w:pPr>
            <w:r w:rsidRPr="000A4D73">
              <w:t>176</w:t>
            </w:r>
          </w:p>
        </w:tc>
        <w:tc>
          <w:tcPr>
            <w:tcW w:w="966" w:type="pct"/>
            <w:noWrap/>
            <w:hideMark/>
          </w:tcPr>
          <w:p w:rsidR="00AE0B1A" w:rsidRPr="000A4D73" w:rsidRDefault="00AE0B1A" w:rsidP="00FD0A94">
            <w:pPr>
              <w:pStyle w:val="Tabletextright"/>
            </w:pPr>
            <w:r w:rsidRPr="000A4D73">
              <w:t>240</w:t>
            </w:r>
          </w:p>
        </w:tc>
      </w:tr>
      <w:tr w:rsidR="00AE0B1A" w:rsidRPr="003153A8" w:rsidTr="00016FA4">
        <w:trPr>
          <w:cnfStyle w:val="000000010000" w:firstRow="0" w:lastRow="0" w:firstColumn="0" w:lastColumn="0" w:oddVBand="0" w:evenVBand="0" w:oddHBand="0" w:evenHBand="1" w:firstRowFirstColumn="0" w:firstRowLastColumn="0" w:lastRowFirstColumn="0" w:lastRowLastColumn="0"/>
          <w:cantSplit/>
          <w:trHeight w:val="57"/>
        </w:trPr>
        <w:tc>
          <w:tcPr>
            <w:tcW w:w="616" w:type="pct"/>
            <w:vMerge/>
            <w:hideMark/>
          </w:tcPr>
          <w:p w:rsidR="00AE0B1A" w:rsidRPr="000A4D73" w:rsidRDefault="00AE0B1A" w:rsidP="00AE0B1A">
            <w:pPr>
              <w:pStyle w:val="Tabletextleft"/>
            </w:pPr>
          </w:p>
        </w:tc>
        <w:tc>
          <w:tcPr>
            <w:tcW w:w="804" w:type="pct"/>
            <w:vMerge/>
            <w:hideMark/>
          </w:tcPr>
          <w:p w:rsidR="00AE0B1A" w:rsidRPr="000A4D73" w:rsidRDefault="00AE0B1A" w:rsidP="00AE0B1A">
            <w:pPr>
              <w:pStyle w:val="Tabletextleft"/>
            </w:pPr>
          </w:p>
        </w:tc>
        <w:tc>
          <w:tcPr>
            <w:tcW w:w="539" w:type="pct"/>
            <w:noWrap/>
            <w:hideMark/>
          </w:tcPr>
          <w:p w:rsidR="00AE0B1A" w:rsidRPr="000A4D73" w:rsidRDefault="00AE0B1A" w:rsidP="00FD0A94">
            <w:pPr>
              <w:pStyle w:val="Tabletextright"/>
            </w:pPr>
          </w:p>
        </w:tc>
        <w:tc>
          <w:tcPr>
            <w:tcW w:w="616" w:type="pct"/>
            <w:noWrap/>
            <w:hideMark/>
          </w:tcPr>
          <w:p w:rsidR="00AE0B1A" w:rsidRPr="000A4D73" w:rsidRDefault="00AE0B1A" w:rsidP="00FD0A94">
            <w:pPr>
              <w:pStyle w:val="Tabletextright"/>
            </w:pPr>
          </w:p>
        </w:tc>
        <w:tc>
          <w:tcPr>
            <w:tcW w:w="541" w:type="pct"/>
            <w:noWrap/>
            <w:hideMark/>
          </w:tcPr>
          <w:p w:rsidR="00AE0B1A" w:rsidRPr="000A4D73" w:rsidRDefault="00AE0B1A" w:rsidP="00FD0A94">
            <w:pPr>
              <w:pStyle w:val="Tabletextright"/>
            </w:pPr>
          </w:p>
        </w:tc>
        <w:tc>
          <w:tcPr>
            <w:tcW w:w="917" w:type="pct"/>
            <w:noWrap/>
            <w:hideMark/>
          </w:tcPr>
          <w:p w:rsidR="00AE0B1A" w:rsidRPr="000A4D73" w:rsidRDefault="00AE0B1A" w:rsidP="00FD0A94">
            <w:pPr>
              <w:pStyle w:val="Tabletextright"/>
            </w:pPr>
            <w:r w:rsidRPr="000A4D73">
              <w:t>249</w:t>
            </w:r>
          </w:p>
        </w:tc>
        <w:tc>
          <w:tcPr>
            <w:tcW w:w="966" w:type="pct"/>
            <w:noWrap/>
            <w:hideMark/>
          </w:tcPr>
          <w:p w:rsidR="00AE0B1A" w:rsidRPr="000A4D73" w:rsidRDefault="00AE0B1A" w:rsidP="00FD0A94">
            <w:pPr>
              <w:pStyle w:val="Tabletextright"/>
            </w:pPr>
            <w:r w:rsidRPr="000A4D73">
              <w:t>200</w:t>
            </w:r>
          </w:p>
        </w:tc>
      </w:tr>
      <w:tr w:rsidR="00AE0B1A" w:rsidRPr="003153A8" w:rsidTr="00016FA4">
        <w:trPr>
          <w:cnfStyle w:val="000000100000" w:firstRow="0" w:lastRow="0" w:firstColumn="0" w:lastColumn="0" w:oddVBand="0" w:evenVBand="0" w:oddHBand="1" w:evenHBand="0" w:firstRowFirstColumn="0" w:firstRowLastColumn="0" w:lastRowFirstColumn="0" w:lastRowLastColumn="0"/>
          <w:cantSplit/>
          <w:trHeight w:val="57"/>
        </w:trPr>
        <w:tc>
          <w:tcPr>
            <w:tcW w:w="616" w:type="pct"/>
            <w:vMerge/>
            <w:hideMark/>
          </w:tcPr>
          <w:p w:rsidR="00AE0B1A" w:rsidRPr="000A4D73" w:rsidRDefault="00AE0B1A" w:rsidP="00AE0B1A">
            <w:pPr>
              <w:pStyle w:val="Tabletextleft"/>
            </w:pPr>
          </w:p>
        </w:tc>
        <w:tc>
          <w:tcPr>
            <w:tcW w:w="804" w:type="pct"/>
            <w:vMerge w:val="restart"/>
            <w:noWrap/>
            <w:hideMark/>
          </w:tcPr>
          <w:p w:rsidR="00AE0B1A" w:rsidRPr="000A4D73" w:rsidRDefault="00AE0B1A" w:rsidP="00AE0B1A">
            <w:pPr>
              <w:pStyle w:val="Tabletextleft"/>
            </w:pPr>
            <w:r w:rsidRPr="000A4D73">
              <w:t xml:space="preserve">mid </w:t>
            </w:r>
            <w:proofErr w:type="spellStart"/>
            <w:r w:rsidRPr="000A4D73">
              <w:t>Wangarlu</w:t>
            </w:r>
            <w:proofErr w:type="spellEnd"/>
          </w:p>
        </w:tc>
        <w:tc>
          <w:tcPr>
            <w:tcW w:w="539" w:type="pct"/>
            <w:noWrap/>
            <w:hideMark/>
          </w:tcPr>
          <w:p w:rsidR="00AE0B1A" w:rsidRPr="000A4D73" w:rsidRDefault="00AE0B1A" w:rsidP="00FD0A94">
            <w:pPr>
              <w:pStyle w:val="Tabletextright"/>
            </w:pPr>
            <w:r w:rsidRPr="000A4D73">
              <w:t>15.1</w:t>
            </w:r>
          </w:p>
        </w:tc>
        <w:tc>
          <w:tcPr>
            <w:tcW w:w="616" w:type="pct"/>
            <w:noWrap/>
            <w:hideMark/>
          </w:tcPr>
          <w:p w:rsidR="00AE0B1A" w:rsidRPr="000A4D73" w:rsidRDefault="00AE0B1A" w:rsidP="00FD0A94">
            <w:pPr>
              <w:pStyle w:val="Tabletextright"/>
            </w:pPr>
            <w:r w:rsidRPr="000A4D73">
              <w:t>307</w:t>
            </w:r>
          </w:p>
        </w:tc>
        <w:tc>
          <w:tcPr>
            <w:tcW w:w="541" w:type="pct"/>
            <w:noWrap/>
            <w:hideMark/>
          </w:tcPr>
          <w:p w:rsidR="00AE0B1A" w:rsidRPr="000A4D73" w:rsidRDefault="00AE0B1A" w:rsidP="00FD0A94">
            <w:pPr>
              <w:pStyle w:val="Tabletextright"/>
            </w:pPr>
            <w:r w:rsidRPr="000A4D73">
              <w:t>365</w:t>
            </w:r>
          </w:p>
        </w:tc>
        <w:tc>
          <w:tcPr>
            <w:tcW w:w="917" w:type="pct"/>
            <w:noWrap/>
            <w:hideMark/>
          </w:tcPr>
          <w:p w:rsidR="00AE0B1A" w:rsidRPr="000A4D73" w:rsidRDefault="00AE0B1A" w:rsidP="00FD0A94">
            <w:pPr>
              <w:pStyle w:val="Tabletextright"/>
            </w:pPr>
            <w:r w:rsidRPr="000A4D73">
              <w:t>251</w:t>
            </w:r>
          </w:p>
        </w:tc>
        <w:tc>
          <w:tcPr>
            <w:tcW w:w="966" w:type="pct"/>
            <w:noWrap/>
            <w:hideMark/>
          </w:tcPr>
          <w:p w:rsidR="00AE0B1A" w:rsidRPr="000A4D73" w:rsidRDefault="00AE0B1A" w:rsidP="00FD0A94">
            <w:pPr>
              <w:pStyle w:val="Tabletextright"/>
            </w:pPr>
            <w:r w:rsidRPr="000A4D73">
              <w:t>305</w:t>
            </w:r>
          </w:p>
        </w:tc>
      </w:tr>
      <w:tr w:rsidR="00AE0B1A" w:rsidRPr="003153A8" w:rsidTr="00016FA4">
        <w:trPr>
          <w:cnfStyle w:val="000000010000" w:firstRow="0" w:lastRow="0" w:firstColumn="0" w:lastColumn="0" w:oddVBand="0" w:evenVBand="0" w:oddHBand="0" w:evenHBand="1" w:firstRowFirstColumn="0" w:firstRowLastColumn="0" w:lastRowFirstColumn="0" w:lastRowLastColumn="0"/>
          <w:cantSplit/>
          <w:trHeight w:val="57"/>
        </w:trPr>
        <w:tc>
          <w:tcPr>
            <w:tcW w:w="616" w:type="pct"/>
            <w:vMerge/>
            <w:hideMark/>
          </w:tcPr>
          <w:p w:rsidR="00AE0B1A" w:rsidRPr="000A4D73" w:rsidRDefault="00AE0B1A" w:rsidP="00AE0B1A">
            <w:pPr>
              <w:pStyle w:val="Tabletextleft"/>
            </w:pPr>
          </w:p>
        </w:tc>
        <w:tc>
          <w:tcPr>
            <w:tcW w:w="804" w:type="pct"/>
            <w:vMerge/>
            <w:hideMark/>
          </w:tcPr>
          <w:p w:rsidR="00AE0B1A" w:rsidRPr="000A4D73" w:rsidRDefault="00AE0B1A" w:rsidP="00AE0B1A">
            <w:pPr>
              <w:pStyle w:val="Tabletextleft"/>
            </w:pPr>
          </w:p>
        </w:tc>
        <w:tc>
          <w:tcPr>
            <w:tcW w:w="539" w:type="pct"/>
            <w:noWrap/>
          </w:tcPr>
          <w:p w:rsidR="00AE0B1A" w:rsidRPr="000A4D73" w:rsidRDefault="00AE0B1A" w:rsidP="00FD0A94">
            <w:pPr>
              <w:pStyle w:val="Tabletextright"/>
            </w:pPr>
          </w:p>
        </w:tc>
        <w:tc>
          <w:tcPr>
            <w:tcW w:w="616" w:type="pct"/>
            <w:noWrap/>
          </w:tcPr>
          <w:p w:rsidR="00AE0B1A" w:rsidRPr="000A4D73" w:rsidRDefault="00AE0B1A" w:rsidP="00FD0A94">
            <w:pPr>
              <w:pStyle w:val="Tabletextright"/>
            </w:pPr>
          </w:p>
        </w:tc>
        <w:tc>
          <w:tcPr>
            <w:tcW w:w="541" w:type="pct"/>
            <w:noWrap/>
          </w:tcPr>
          <w:p w:rsidR="00AE0B1A" w:rsidRPr="000A4D73" w:rsidRDefault="00AE0B1A" w:rsidP="00FD0A94">
            <w:pPr>
              <w:pStyle w:val="Tabletextright"/>
            </w:pPr>
          </w:p>
        </w:tc>
        <w:tc>
          <w:tcPr>
            <w:tcW w:w="917" w:type="pct"/>
            <w:noWrap/>
            <w:hideMark/>
          </w:tcPr>
          <w:p w:rsidR="00AE0B1A" w:rsidRPr="000A4D73" w:rsidRDefault="00AE0B1A" w:rsidP="00FD0A94">
            <w:pPr>
              <w:pStyle w:val="Tabletextright"/>
            </w:pPr>
            <w:r w:rsidRPr="000A4D73">
              <w:t>175</w:t>
            </w:r>
          </w:p>
        </w:tc>
        <w:tc>
          <w:tcPr>
            <w:tcW w:w="966" w:type="pct"/>
            <w:noWrap/>
            <w:hideMark/>
          </w:tcPr>
          <w:p w:rsidR="00AE0B1A" w:rsidRPr="000A4D73" w:rsidRDefault="00AE0B1A" w:rsidP="00FD0A94">
            <w:pPr>
              <w:pStyle w:val="Tabletextright"/>
            </w:pPr>
            <w:r w:rsidRPr="000A4D73">
              <w:t>305</w:t>
            </w:r>
          </w:p>
        </w:tc>
      </w:tr>
      <w:tr w:rsidR="00AE0B1A" w:rsidRPr="003153A8" w:rsidTr="00016FA4">
        <w:trPr>
          <w:cnfStyle w:val="000000100000" w:firstRow="0" w:lastRow="0" w:firstColumn="0" w:lastColumn="0" w:oddVBand="0" w:evenVBand="0" w:oddHBand="1" w:evenHBand="0" w:firstRowFirstColumn="0" w:firstRowLastColumn="0" w:lastRowFirstColumn="0" w:lastRowLastColumn="0"/>
          <w:cantSplit/>
          <w:trHeight w:val="57"/>
        </w:trPr>
        <w:tc>
          <w:tcPr>
            <w:tcW w:w="616" w:type="pct"/>
            <w:vMerge/>
            <w:hideMark/>
          </w:tcPr>
          <w:p w:rsidR="00AE0B1A" w:rsidRPr="000A4D73" w:rsidRDefault="00AE0B1A" w:rsidP="00AE0B1A">
            <w:pPr>
              <w:pStyle w:val="Tabletextleft"/>
            </w:pPr>
          </w:p>
        </w:tc>
        <w:tc>
          <w:tcPr>
            <w:tcW w:w="804" w:type="pct"/>
            <w:vMerge/>
            <w:hideMark/>
          </w:tcPr>
          <w:p w:rsidR="00AE0B1A" w:rsidRPr="000A4D73" w:rsidRDefault="00AE0B1A" w:rsidP="00AE0B1A">
            <w:pPr>
              <w:pStyle w:val="Tabletextleft"/>
            </w:pPr>
          </w:p>
        </w:tc>
        <w:tc>
          <w:tcPr>
            <w:tcW w:w="539" w:type="pct"/>
            <w:noWrap/>
            <w:hideMark/>
          </w:tcPr>
          <w:p w:rsidR="00AE0B1A" w:rsidRPr="000A4D73" w:rsidRDefault="00AE0B1A" w:rsidP="00FD0A94">
            <w:pPr>
              <w:pStyle w:val="Tabletextright"/>
            </w:pPr>
          </w:p>
        </w:tc>
        <w:tc>
          <w:tcPr>
            <w:tcW w:w="616" w:type="pct"/>
            <w:noWrap/>
            <w:hideMark/>
          </w:tcPr>
          <w:p w:rsidR="00AE0B1A" w:rsidRPr="000A4D73" w:rsidRDefault="00AE0B1A" w:rsidP="00FD0A94">
            <w:pPr>
              <w:pStyle w:val="Tabletextright"/>
            </w:pPr>
          </w:p>
        </w:tc>
        <w:tc>
          <w:tcPr>
            <w:tcW w:w="541" w:type="pct"/>
            <w:noWrap/>
            <w:hideMark/>
          </w:tcPr>
          <w:p w:rsidR="00AE0B1A" w:rsidRPr="000A4D73" w:rsidRDefault="00AE0B1A" w:rsidP="00FD0A94">
            <w:pPr>
              <w:pStyle w:val="Tabletextright"/>
            </w:pPr>
          </w:p>
        </w:tc>
        <w:tc>
          <w:tcPr>
            <w:tcW w:w="917" w:type="pct"/>
            <w:noWrap/>
            <w:hideMark/>
          </w:tcPr>
          <w:p w:rsidR="00AE0B1A" w:rsidRPr="000A4D73" w:rsidRDefault="00AE0B1A" w:rsidP="00FD0A94">
            <w:pPr>
              <w:pStyle w:val="Tabletextright"/>
            </w:pPr>
            <w:r w:rsidRPr="000A4D73">
              <w:t>250</w:t>
            </w:r>
          </w:p>
        </w:tc>
        <w:tc>
          <w:tcPr>
            <w:tcW w:w="966" w:type="pct"/>
            <w:noWrap/>
            <w:hideMark/>
          </w:tcPr>
          <w:p w:rsidR="00AE0B1A" w:rsidRPr="000A4D73" w:rsidRDefault="00AE0B1A" w:rsidP="00FD0A94">
            <w:pPr>
              <w:pStyle w:val="Tabletextright"/>
            </w:pPr>
            <w:r w:rsidRPr="000A4D73">
              <w:t>400</w:t>
            </w:r>
          </w:p>
        </w:tc>
      </w:tr>
      <w:tr w:rsidR="00AE0B1A" w:rsidRPr="003153A8" w:rsidTr="00016FA4">
        <w:trPr>
          <w:cnfStyle w:val="000000010000" w:firstRow="0" w:lastRow="0" w:firstColumn="0" w:lastColumn="0" w:oddVBand="0" w:evenVBand="0" w:oddHBand="0" w:evenHBand="1" w:firstRowFirstColumn="0" w:firstRowLastColumn="0" w:lastRowFirstColumn="0" w:lastRowLastColumn="0"/>
          <w:cantSplit/>
          <w:trHeight w:val="57"/>
        </w:trPr>
        <w:tc>
          <w:tcPr>
            <w:tcW w:w="616" w:type="pct"/>
            <w:vMerge/>
            <w:hideMark/>
          </w:tcPr>
          <w:p w:rsidR="00AE0B1A" w:rsidRPr="000A4D73" w:rsidRDefault="00AE0B1A" w:rsidP="00AE0B1A">
            <w:pPr>
              <w:pStyle w:val="Tabletextleft"/>
            </w:pPr>
          </w:p>
        </w:tc>
        <w:tc>
          <w:tcPr>
            <w:tcW w:w="804" w:type="pct"/>
            <w:noWrap/>
            <w:hideMark/>
          </w:tcPr>
          <w:p w:rsidR="00AE0B1A" w:rsidRPr="000A4D73" w:rsidRDefault="00AE0B1A" w:rsidP="00AE0B1A">
            <w:pPr>
              <w:pStyle w:val="Tabletextleft"/>
            </w:pPr>
            <w:r w:rsidRPr="000A4D73">
              <w:t>upper Frigate</w:t>
            </w:r>
            <w:r>
              <w:t xml:space="preserve"> Shale</w:t>
            </w:r>
          </w:p>
        </w:tc>
        <w:tc>
          <w:tcPr>
            <w:tcW w:w="539" w:type="pct"/>
            <w:noWrap/>
            <w:hideMark/>
          </w:tcPr>
          <w:p w:rsidR="00AE0B1A" w:rsidRPr="000A4D73" w:rsidRDefault="00AE0B1A" w:rsidP="00FD0A94">
            <w:pPr>
              <w:pStyle w:val="Tabletextright"/>
            </w:pPr>
            <w:r w:rsidRPr="000A4D73">
              <w:t>9.4</w:t>
            </w:r>
          </w:p>
        </w:tc>
        <w:tc>
          <w:tcPr>
            <w:tcW w:w="616" w:type="pct"/>
            <w:noWrap/>
            <w:hideMark/>
          </w:tcPr>
          <w:p w:rsidR="00AE0B1A" w:rsidRPr="000A4D73" w:rsidRDefault="00AE0B1A" w:rsidP="00FD0A94">
            <w:pPr>
              <w:pStyle w:val="Tabletextright"/>
            </w:pPr>
            <w:r w:rsidRPr="000A4D73">
              <w:t>55</w:t>
            </w:r>
          </w:p>
        </w:tc>
        <w:tc>
          <w:tcPr>
            <w:tcW w:w="541" w:type="pct"/>
            <w:noWrap/>
            <w:hideMark/>
          </w:tcPr>
          <w:p w:rsidR="00AE0B1A" w:rsidRPr="000A4D73" w:rsidRDefault="00AE0B1A" w:rsidP="00FD0A94">
            <w:pPr>
              <w:pStyle w:val="Tabletextright"/>
            </w:pPr>
            <w:r w:rsidRPr="000A4D73">
              <w:t>65</w:t>
            </w:r>
          </w:p>
        </w:tc>
        <w:tc>
          <w:tcPr>
            <w:tcW w:w="917" w:type="pct"/>
            <w:noWrap/>
            <w:hideMark/>
          </w:tcPr>
          <w:p w:rsidR="00AE0B1A" w:rsidRPr="000A4D73" w:rsidRDefault="00AE0B1A" w:rsidP="00FD0A94">
            <w:pPr>
              <w:pStyle w:val="Tabletextright"/>
            </w:pPr>
            <w:r w:rsidRPr="000A4D73">
              <w:t>34</w:t>
            </w:r>
          </w:p>
        </w:tc>
        <w:tc>
          <w:tcPr>
            <w:tcW w:w="966" w:type="pct"/>
            <w:noWrap/>
            <w:hideMark/>
          </w:tcPr>
          <w:p w:rsidR="00AE0B1A" w:rsidRPr="000A4D73" w:rsidRDefault="00AE0B1A" w:rsidP="00FD0A94">
            <w:pPr>
              <w:pStyle w:val="Tabletextright"/>
            </w:pPr>
            <w:r w:rsidRPr="000A4D73">
              <w:t>52</w:t>
            </w:r>
          </w:p>
        </w:tc>
      </w:tr>
      <w:tr w:rsidR="00AE0B1A" w:rsidRPr="003153A8" w:rsidTr="00016FA4">
        <w:trPr>
          <w:cnfStyle w:val="000000100000" w:firstRow="0" w:lastRow="0" w:firstColumn="0" w:lastColumn="0" w:oddVBand="0" w:evenVBand="0" w:oddHBand="1" w:evenHBand="0" w:firstRowFirstColumn="0" w:firstRowLastColumn="0" w:lastRowFirstColumn="0" w:lastRowLastColumn="0"/>
          <w:cantSplit/>
          <w:trHeight w:val="57"/>
        </w:trPr>
        <w:tc>
          <w:tcPr>
            <w:tcW w:w="616" w:type="pct"/>
            <w:noWrap/>
            <w:hideMark/>
          </w:tcPr>
          <w:p w:rsidR="00AE0B1A" w:rsidRPr="000A4D73" w:rsidRDefault="00AE0B1A" w:rsidP="00AE0B1A">
            <w:pPr>
              <w:pStyle w:val="Tabletextleft"/>
            </w:pPr>
            <w:r>
              <w:t>Tern 1</w:t>
            </w:r>
          </w:p>
        </w:tc>
        <w:tc>
          <w:tcPr>
            <w:tcW w:w="804" w:type="pct"/>
            <w:noWrap/>
            <w:hideMark/>
          </w:tcPr>
          <w:p w:rsidR="00AE0B1A" w:rsidRPr="000A4D73" w:rsidRDefault="00AE0B1A" w:rsidP="00AE0B1A">
            <w:pPr>
              <w:pStyle w:val="Tabletextleft"/>
            </w:pPr>
            <w:r w:rsidRPr="000A4D73">
              <w:t xml:space="preserve">mid-lower </w:t>
            </w:r>
            <w:proofErr w:type="spellStart"/>
            <w:r w:rsidRPr="000A4D73">
              <w:t>Wangarlu</w:t>
            </w:r>
            <w:proofErr w:type="spellEnd"/>
          </w:p>
        </w:tc>
        <w:tc>
          <w:tcPr>
            <w:tcW w:w="539" w:type="pct"/>
            <w:noWrap/>
            <w:hideMark/>
          </w:tcPr>
          <w:p w:rsidR="00AE0B1A" w:rsidRPr="000A4D73" w:rsidRDefault="00AE0B1A" w:rsidP="00FD0A94">
            <w:pPr>
              <w:pStyle w:val="Tabletextright"/>
            </w:pPr>
          </w:p>
        </w:tc>
        <w:tc>
          <w:tcPr>
            <w:tcW w:w="616" w:type="pct"/>
            <w:noWrap/>
            <w:hideMark/>
          </w:tcPr>
          <w:p w:rsidR="00AE0B1A" w:rsidRPr="000A4D73" w:rsidRDefault="00AE0B1A" w:rsidP="00FD0A94">
            <w:pPr>
              <w:pStyle w:val="Tabletextright"/>
            </w:pPr>
            <w:r w:rsidRPr="000A4D73">
              <w:t>135</w:t>
            </w:r>
          </w:p>
        </w:tc>
        <w:tc>
          <w:tcPr>
            <w:tcW w:w="541" w:type="pct"/>
            <w:noWrap/>
            <w:hideMark/>
          </w:tcPr>
          <w:p w:rsidR="00AE0B1A" w:rsidRPr="000A4D73" w:rsidRDefault="00AE0B1A" w:rsidP="00FD0A94">
            <w:pPr>
              <w:pStyle w:val="Tabletextright"/>
            </w:pPr>
            <w:r w:rsidRPr="000A4D73">
              <w:t>161</w:t>
            </w:r>
          </w:p>
        </w:tc>
        <w:tc>
          <w:tcPr>
            <w:tcW w:w="917" w:type="pct"/>
            <w:noWrap/>
            <w:hideMark/>
          </w:tcPr>
          <w:p w:rsidR="00AE0B1A" w:rsidRPr="000A4D73" w:rsidRDefault="00AE0B1A" w:rsidP="00FD0A94">
            <w:pPr>
              <w:pStyle w:val="Tabletextright"/>
            </w:pPr>
          </w:p>
        </w:tc>
        <w:tc>
          <w:tcPr>
            <w:tcW w:w="966" w:type="pct"/>
            <w:noWrap/>
            <w:hideMark/>
          </w:tcPr>
          <w:p w:rsidR="00AE0B1A" w:rsidRPr="000A4D73" w:rsidRDefault="00AE0B1A" w:rsidP="00FD0A94">
            <w:pPr>
              <w:pStyle w:val="Tabletextright"/>
            </w:pPr>
          </w:p>
        </w:tc>
      </w:tr>
    </w:tbl>
    <w:p w:rsidR="00AE0B1A" w:rsidRDefault="00AE0B1A" w:rsidP="00B95C7A">
      <w:pPr>
        <w:pStyle w:val="Figuresandimagescentred"/>
      </w:pPr>
      <w:r w:rsidRPr="003F02CF">
        <w:rPr>
          <w:noProof/>
        </w:rPr>
        <w:lastRenderedPageBreak/>
        <w:drawing>
          <wp:inline distT="0" distB="0" distL="0" distR="0" wp14:anchorId="5FB05E63" wp14:editId="0C21F8A6">
            <wp:extent cx="5701665" cy="3841750"/>
            <wp:effectExtent l="0" t="0" r="0" b="6350"/>
            <wp:docPr id="19" name="Picture 19" descr="Due to the complexity of this document and the niche scientific target audience, no alternative description has been provided. Please email Geoscience Australia at clientservices@ga.gov.au for an alternative description." title="Fig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6finaldocs\9GA Record Concise Figures Final (GAV approved)\GAV Completed-Review\13-7199-4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01665" cy="3841750"/>
                    </a:xfrm>
                    <a:prstGeom prst="rect">
                      <a:avLst/>
                    </a:prstGeom>
                    <a:noFill/>
                    <a:ln>
                      <a:noFill/>
                    </a:ln>
                  </pic:spPr>
                </pic:pic>
              </a:graphicData>
            </a:graphic>
          </wp:inline>
        </w:drawing>
      </w:r>
    </w:p>
    <w:p w:rsidR="00AE0B1A" w:rsidRDefault="00AE0B1A" w:rsidP="00AE0B1A">
      <w:pPr>
        <w:pStyle w:val="Caption"/>
      </w:pPr>
      <w:bookmarkStart w:id="626" w:name="_Ref372804805"/>
      <w:bookmarkStart w:id="627" w:name="_Toc373095017"/>
      <w:bookmarkStart w:id="628" w:name="_Toc378252747"/>
      <w:bookmarkStart w:id="629" w:name="_Toc378253071"/>
      <w:bookmarkStart w:id="630" w:name="_Toc378253395"/>
      <w:bookmarkStart w:id="631" w:name="_Toc378253719"/>
      <w:bookmarkStart w:id="632" w:name="_Toc378254043"/>
      <w:bookmarkStart w:id="633" w:name="_Toc378254367"/>
      <w:bookmarkStart w:id="634" w:name="_Toc378254691"/>
      <w:bookmarkStart w:id="635" w:name="_Toc378255015"/>
      <w:bookmarkStart w:id="636" w:name="_Toc378255364"/>
      <w:r>
        <w:t xml:space="preserve">Figure </w:t>
      </w:r>
      <w:fldSimple w:instr=" STYLEREF 1 \s ">
        <w:r w:rsidR="00F64E4F">
          <w:rPr>
            <w:noProof/>
          </w:rPr>
          <w:t>6</w:t>
        </w:r>
      </w:fldSimple>
      <w:r w:rsidR="00AE5C2D">
        <w:t>.</w:t>
      </w:r>
      <w:fldSimple w:instr=" SEQ Figure \* ARABIC \s 1 ">
        <w:r w:rsidR="00F64E4F">
          <w:rPr>
            <w:noProof/>
          </w:rPr>
          <w:t>9</w:t>
        </w:r>
      </w:fldSimple>
      <w:bookmarkEnd w:id="626"/>
      <w:r>
        <w:t xml:space="preserve"> </w:t>
      </w:r>
      <w:r w:rsidRPr="003C0964">
        <w:t>Seal capacity column heights. Results from this study are combined with results of Gibson-Poole (2009) and Lang and Gibson-Poole (2001). See Appendix G for full details.</w:t>
      </w:r>
      <w:bookmarkEnd w:id="627"/>
      <w:bookmarkEnd w:id="628"/>
      <w:bookmarkEnd w:id="629"/>
      <w:bookmarkEnd w:id="630"/>
      <w:bookmarkEnd w:id="631"/>
      <w:bookmarkEnd w:id="632"/>
      <w:bookmarkEnd w:id="633"/>
      <w:bookmarkEnd w:id="634"/>
      <w:bookmarkEnd w:id="635"/>
      <w:bookmarkEnd w:id="636"/>
    </w:p>
    <w:p w:rsidR="00AE0B1A" w:rsidRPr="00C94C2F" w:rsidRDefault="00AE0B1A" w:rsidP="00AE0B1A">
      <w:pPr>
        <w:pStyle w:val="Head3nonumbers"/>
      </w:pPr>
      <w:bookmarkStart w:id="637" w:name="_Toc378252897"/>
      <w:bookmarkStart w:id="638" w:name="_Toc378253221"/>
      <w:bookmarkStart w:id="639" w:name="_Toc378253545"/>
      <w:bookmarkStart w:id="640" w:name="_Toc378253869"/>
      <w:bookmarkStart w:id="641" w:name="_Toc378254193"/>
      <w:bookmarkStart w:id="642" w:name="_Toc378254517"/>
      <w:bookmarkStart w:id="643" w:name="_Toc378254841"/>
      <w:bookmarkStart w:id="644" w:name="_Toc378255165"/>
      <w:bookmarkStart w:id="645" w:name="_Toc383758223"/>
      <w:r>
        <w:t>Cretaceous</w:t>
      </w:r>
      <w:r w:rsidRPr="00C94C2F">
        <w:t xml:space="preserve"> Reservoir – </w:t>
      </w:r>
      <w:r>
        <w:t>Sandpiper Sandstone</w:t>
      </w:r>
      <w:bookmarkEnd w:id="637"/>
      <w:bookmarkEnd w:id="638"/>
      <w:bookmarkEnd w:id="639"/>
      <w:bookmarkEnd w:id="640"/>
      <w:bookmarkEnd w:id="641"/>
      <w:bookmarkEnd w:id="642"/>
      <w:bookmarkEnd w:id="643"/>
      <w:bookmarkEnd w:id="644"/>
      <w:bookmarkEnd w:id="645"/>
    </w:p>
    <w:p w:rsidR="00AE0B1A" w:rsidRPr="00DE0603" w:rsidRDefault="00AE0B1A" w:rsidP="00AE0B1A">
      <w:pPr>
        <w:pStyle w:val="BodyText"/>
      </w:pPr>
      <w:r>
        <w:t xml:space="preserve">The Cretaceous reservoir comprises the </w:t>
      </w:r>
      <w:r w:rsidRPr="00C94C2F">
        <w:t xml:space="preserve">Late </w:t>
      </w:r>
      <w:proofErr w:type="spellStart"/>
      <w:r w:rsidRPr="00C94C2F">
        <w:t>Tithonian</w:t>
      </w:r>
      <w:proofErr w:type="spellEnd"/>
      <w:r w:rsidRPr="00C94C2F">
        <w:t xml:space="preserve">-Early </w:t>
      </w:r>
      <w:proofErr w:type="spellStart"/>
      <w:r w:rsidRPr="00C94C2F">
        <w:t>Valanginian</w:t>
      </w:r>
      <w:proofErr w:type="spellEnd"/>
      <w:r>
        <w:t xml:space="preserve"> Sandpiper Sandstone</w:t>
      </w:r>
      <w:r w:rsidRPr="00C94C2F">
        <w:t xml:space="preserve"> </w:t>
      </w:r>
      <w:r>
        <w:t>(</w:t>
      </w:r>
      <w:proofErr w:type="spellStart"/>
      <w:r w:rsidRPr="009D5B2E">
        <w:rPr>
          <w:rStyle w:val="Italic"/>
        </w:rPr>
        <w:t>Pseudoceratium</w:t>
      </w:r>
      <w:proofErr w:type="spellEnd"/>
      <w:r w:rsidRPr="009D5B2E">
        <w:rPr>
          <w:rStyle w:val="Italic"/>
        </w:rPr>
        <w:t xml:space="preserve"> </w:t>
      </w:r>
      <w:proofErr w:type="spellStart"/>
      <w:r w:rsidRPr="009D5B2E">
        <w:rPr>
          <w:rStyle w:val="Italic"/>
        </w:rPr>
        <w:t>iehiense</w:t>
      </w:r>
      <w:proofErr w:type="spellEnd"/>
      <w:r w:rsidRPr="009D5B2E">
        <w:rPr>
          <w:rStyle w:val="Italic"/>
        </w:rPr>
        <w:t xml:space="preserve"> </w:t>
      </w:r>
      <w:r w:rsidRPr="00367911">
        <w:t xml:space="preserve">to </w:t>
      </w:r>
      <w:proofErr w:type="spellStart"/>
      <w:r w:rsidRPr="009D5B2E">
        <w:rPr>
          <w:rStyle w:val="Italic"/>
        </w:rPr>
        <w:t>Egmontodinium</w:t>
      </w:r>
      <w:proofErr w:type="spellEnd"/>
      <w:r w:rsidRPr="009D5B2E">
        <w:rPr>
          <w:rStyle w:val="Italic"/>
        </w:rPr>
        <w:t xml:space="preserve"> </w:t>
      </w:r>
      <w:proofErr w:type="spellStart"/>
      <w:r w:rsidRPr="009D5B2E">
        <w:rPr>
          <w:rStyle w:val="Italic"/>
        </w:rPr>
        <w:t>torynum</w:t>
      </w:r>
      <w:proofErr w:type="spellEnd"/>
      <w:r w:rsidRPr="009D5B2E">
        <w:rPr>
          <w:rStyle w:val="Italic"/>
        </w:rPr>
        <w:t xml:space="preserve"> </w:t>
      </w:r>
      <w:proofErr w:type="spellStart"/>
      <w:r w:rsidRPr="00D4045D">
        <w:t>palynological</w:t>
      </w:r>
      <w:proofErr w:type="spellEnd"/>
      <w:r w:rsidRPr="00D4045D">
        <w:t xml:space="preserve"> zones</w:t>
      </w:r>
      <w:r w:rsidRPr="00C94C2F">
        <w:t>)</w:t>
      </w:r>
      <w:r>
        <w:t>. It</w:t>
      </w:r>
      <w:r w:rsidRPr="00C94C2F">
        <w:t xml:space="preserve"> </w:t>
      </w:r>
      <w:r>
        <w:t>is</w:t>
      </w:r>
      <w:r w:rsidRPr="00C94C2F">
        <w:t xml:space="preserve"> identified as highly prospective with good to excellent properties for CO</w:t>
      </w:r>
      <w:r w:rsidRPr="009D5B2E">
        <w:rPr>
          <w:rStyle w:val="Subscript"/>
        </w:rPr>
        <w:t>2</w:t>
      </w:r>
      <w:r w:rsidRPr="00C94C2F">
        <w:t xml:space="preserve"> </w:t>
      </w:r>
      <w:r>
        <w:t xml:space="preserve">geological </w:t>
      </w:r>
      <w:r w:rsidRPr="00C94C2F">
        <w:t xml:space="preserve">storage. </w:t>
      </w:r>
      <w:proofErr w:type="spellStart"/>
      <w:r>
        <w:t>Petrophysical</w:t>
      </w:r>
      <w:proofErr w:type="spellEnd"/>
      <w:r>
        <w:t xml:space="preserve"> and mineralogical analysis</w:t>
      </w:r>
      <w:r w:rsidRPr="00C94C2F">
        <w:t xml:space="preserve"> show</w:t>
      </w:r>
      <w:r>
        <w:t xml:space="preserve"> that</w:t>
      </w:r>
      <w:r w:rsidRPr="00C94C2F">
        <w:t xml:space="preserve"> the reservoir </w:t>
      </w:r>
      <w:r>
        <w:t>consists of</w:t>
      </w:r>
      <w:r w:rsidRPr="00C94C2F">
        <w:t xml:space="preserve"> massive</w:t>
      </w:r>
      <w:r>
        <w:t>,</w:t>
      </w:r>
      <w:r w:rsidRPr="00C94C2F">
        <w:t xml:space="preserve"> fine</w:t>
      </w:r>
      <w:r>
        <w:t>-</w:t>
      </w:r>
      <w:r w:rsidRPr="00C94C2F">
        <w:t xml:space="preserve"> to coarse-grained, glauconitic and pyritic sandstone</w:t>
      </w:r>
      <w:r>
        <w:t>s</w:t>
      </w:r>
      <w:r w:rsidRPr="00C94C2F">
        <w:t xml:space="preserve"> with minor to rare siltstone and mudstone </w:t>
      </w:r>
      <w:proofErr w:type="spellStart"/>
      <w:r w:rsidRPr="00DE0603">
        <w:t>interbeds</w:t>
      </w:r>
      <w:proofErr w:type="spellEnd"/>
      <w:r w:rsidRPr="00DE0603">
        <w:t xml:space="preserve"> (Appendices C, </w:t>
      </w:r>
      <w:r>
        <w:t>E</w:t>
      </w:r>
      <w:r w:rsidRPr="00DE0603">
        <w:t xml:space="preserve"> and </w:t>
      </w:r>
      <w:r>
        <w:t>F</w:t>
      </w:r>
      <w:r w:rsidRPr="00DE0603">
        <w:t xml:space="preserve">). </w:t>
      </w:r>
      <w:proofErr w:type="spellStart"/>
      <w:r w:rsidRPr="00DE0603">
        <w:t>Petrological</w:t>
      </w:r>
      <w:proofErr w:type="spellEnd"/>
      <w:r w:rsidRPr="00DE0603">
        <w:t xml:space="preserve"> analysis and mineral abundances were used to classify the Sandpiper Sandstone as </w:t>
      </w:r>
      <w:proofErr w:type="spellStart"/>
      <w:r w:rsidRPr="00DE0603">
        <w:t>quartzarenite</w:t>
      </w:r>
      <w:proofErr w:type="spellEnd"/>
      <w:r w:rsidRPr="00DE0603">
        <w:t xml:space="preserve"> to </w:t>
      </w:r>
      <w:proofErr w:type="spellStart"/>
      <w:r w:rsidRPr="00DE0603">
        <w:t>sublitharenite</w:t>
      </w:r>
      <w:proofErr w:type="spellEnd"/>
      <w:r w:rsidRPr="00DE0603">
        <w:t xml:space="preserve"> (</w:t>
      </w:r>
      <w:r>
        <w:fldChar w:fldCharType="begin"/>
      </w:r>
      <w:r>
        <w:instrText xml:space="preserve"> REF _Ref372804822 \h </w:instrText>
      </w:r>
      <w:r>
        <w:fldChar w:fldCharType="separate"/>
      </w:r>
      <w:r w:rsidR="00F64E4F">
        <w:t xml:space="preserve">Figure </w:t>
      </w:r>
      <w:r w:rsidR="00F64E4F">
        <w:rPr>
          <w:noProof/>
        </w:rPr>
        <w:t>6</w:t>
      </w:r>
      <w:r w:rsidR="00F64E4F">
        <w:t>.</w:t>
      </w:r>
      <w:r w:rsidR="00F64E4F">
        <w:rPr>
          <w:noProof/>
        </w:rPr>
        <w:t>10</w:t>
      </w:r>
      <w:r>
        <w:fldChar w:fldCharType="end"/>
      </w:r>
      <w:r w:rsidRPr="00DE0603">
        <w:t>). According</w:t>
      </w:r>
      <w:r w:rsidRPr="00C94C2F">
        <w:t xml:space="preserve"> to </w:t>
      </w:r>
      <w:r>
        <w:t xml:space="preserve">the interpreted </w:t>
      </w:r>
      <w:r w:rsidRPr="00C94C2F">
        <w:t xml:space="preserve">seismic data and geological modelling, the </w:t>
      </w:r>
      <w:r>
        <w:t>f</w:t>
      </w:r>
      <w:r w:rsidRPr="00C94C2F">
        <w:t xml:space="preserve">ormation is present across much of </w:t>
      </w:r>
      <w:r w:rsidRPr="00DE0603">
        <w:t xml:space="preserve">the </w:t>
      </w:r>
      <w:r>
        <w:t>Petrel S</w:t>
      </w:r>
      <w:r w:rsidRPr="00DE0603">
        <w:t>ub-basin (</w:t>
      </w:r>
      <w:r>
        <w:fldChar w:fldCharType="begin"/>
      </w:r>
      <w:r>
        <w:instrText xml:space="preserve"> REF _Ref372804831 \h </w:instrText>
      </w:r>
      <w:r>
        <w:fldChar w:fldCharType="separate"/>
      </w:r>
      <w:r w:rsidR="00F64E4F">
        <w:t xml:space="preserve">Figure </w:t>
      </w:r>
      <w:r w:rsidR="00F64E4F">
        <w:rPr>
          <w:noProof/>
        </w:rPr>
        <w:t>6</w:t>
      </w:r>
      <w:r w:rsidR="00F64E4F">
        <w:t>.</w:t>
      </w:r>
      <w:r w:rsidR="00F64E4F">
        <w:rPr>
          <w:noProof/>
        </w:rPr>
        <w:t>11</w:t>
      </w:r>
      <w:r>
        <w:fldChar w:fldCharType="end"/>
      </w:r>
      <w:r w:rsidRPr="00DE0603">
        <w:t xml:space="preserve">). The sandstone is thickest along the basin axis (e.g. </w:t>
      </w:r>
      <w:r w:rsidRPr="00F75FB9">
        <w:t>Petrel 1</w:t>
      </w:r>
      <w:r w:rsidRPr="00DE0603">
        <w:t>, 255 m</w:t>
      </w:r>
      <w:r>
        <w:t>)</w:t>
      </w:r>
      <w:r w:rsidRPr="00DE0603">
        <w:t xml:space="preserve"> </w:t>
      </w:r>
      <w:r>
        <w:t>(</w:t>
      </w:r>
      <w:r>
        <w:fldChar w:fldCharType="begin"/>
      </w:r>
      <w:r>
        <w:instrText xml:space="preserve"> REF _Ref372804598 \h </w:instrText>
      </w:r>
      <w:r>
        <w:fldChar w:fldCharType="separate"/>
      </w:r>
      <w:r w:rsidR="00F64E4F">
        <w:t xml:space="preserve">Figure </w:t>
      </w:r>
      <w:r w:rsidR="00F64E4F">
        <w:rPr>
          <w:noProof/>
        </w:rPr>
        <w:t>6</w:t>
      </w:r>
      <w:r w:rsidR="00F64E4F">
        <w:t>.</w:t>
      </w:r>
      <w:r w:rsidR="00F64E4F">
        <w:rPr>
          <w:noProof/>
        </w:rPr>
        <w:t>2</w:t>
      </w:r>
      <w:r>
        <w:fldChar w:fldCharType="end"/>
      </w:r>
      <w:r w:rsidRPr="00DE0603">
        <w:t>)</w:t>
      </w:r>
      <w:r>
        <w:t>,</w:t>
      </w:r>
      <w:r w:rsidRPr="00DE0603">
        <w:t xml:space="preserve"> averag</w:t>
      </w:r>
      <w:r>
        <w:t>ing</w:t>
      </w:r>
      <w:r w:rsidRPr="00DE0603">
        <w:t xml:space="preserve"> 164 m</w:t>
      </w:r>
      <w:r>
        <w:t xml:space="preserve"> in thickness. Towards the south</w:t>
      </w:r>
      <w:r w:rsidRPr="00DE0603">
        <w:t>e</w:t>
      </w:r>
      <w:r>
        <w:t>a</w:t>
      </w:r>
      <w:r w:rsidRPr="00DE0603">
        <w:t>st</w:t>
      </w:r>
      <w:r>
        <w:t>,</w:t>
      </w:r>
      <w:r w:rsidRPr="00DE0603">
        <w:t xml:space="preserve"> as well as over the salt </w:t>
      </w:r>
      <w:proofErr w:type="spellStart"/>
      <w:r w:rsidRPr="00DE0603">
        <w:t>diapirs</w:t>
      </w:r>
      <w:proofErr w:type="spellEnd"/>
      <w:r>
        <w:t>,</w:t>
      </w:r>
      <w:r w:rsidRPr="00DE0603">
        <w:t xml:space="preserve"> the unit thins with an average thickness of around 50 m (</w:t>
      </w:r>
      <w:r>
        <w:fldChar w:fldCharType="begin"/>
      </w:r>
      <w:r>
        <w:instrText xml:space="preserve"> REF _Ref372804609 \h </w:instrText>
      </w:r>
      <w:r>
        <w:fldChar w:fldCharType="separate"/>
      </w:r>
      <w:r w:rsidR="00F64E4F">
        <w:t xml:space="preserve">Figure </w:t>
      </w:r>
      <w:r w:rsidR="00F64E4F">
        <w:rPr>
          <w:noProof/>
        </w:rPr>
        <w:t>6</w:t>
      </w:r>
      <w:r w:rsidR="00F64E4F">
        <w:t>.</w:t>
      </w:r>
      <w:r w:rsidR="00F64E4F">
        <w:rPr>
          <w:noProof/>
        </w:rPr>
        <w:t>1</w:t>
      </w:r>
      <w:r>
        <w:fldChar w:fldCharType="end"/>
      </w:r>
      <w:r>
        <w:t xml:space="preserve"> </w:t>
      </w:r>
      <w:r w:rsidRPr="00DE0603">
        <w:t xml:space="preserve">and </w:t>
      </w:r>
      <w:r>
        <w:fldChar w:fldCharType="begin"/>
      </w:r>
      <w:r>
        <w:instrText xml:space="preserve"> REF _Ref372804831 \h </w:instrText>
      </w:r>
      <w:r>
        <w:fldChar w:fldCharType="separate"/>
      </w:r>
      <w:r w:rsidR="00F64E4F">
        <w:t xml:space="preserve">Figure </w:t>
      </w:r>
      <w:r w:rsidR="00F64E4F">
        <w:rPr>
          <w:noProof/>
        </w:rPr>
        <w:t>6</w:t>
      </w:r>
      <w:r w:rsidR="00F64E4F">
        <w:t>.</w:t>
      </w:r>
      <w:r w:rsidR="00F64E4F">
        <w:rPr>
          <w:noProof/>
        </w:rPr>
        <w:t>11</w:t>
      </w:r>
      <w:r>
        <w:fldChar w:fldCharType="end"/>
      </w:r>
      <w:r w:rsidRPr="00DE0603">
        <w:t xml:space="preserve">). The sandstone represents a transition from a lower </w:t>
      </w:r>
      <w:proofErr w:type="spellStart"/>
      <w:r w:rsidRPr="00DE0603">
        <w:t>shoreface</w:t>
      </w:r>
      <w:proofErr w:type="spellEnd"/>
      <w:r w:rsidRPr="00DE0603">
        <w:t xml:space="preserve"> to a shallower middle </w:t>
      </w:r>
      <w:proofErr w:type="spellStart"/>
      <w:r w:rsidRPr="00DE0603">
        <w:t>shoreface</w:t>
      </w:r>
      <w:proofErr w:type="spellEnd"/>
      <w:r w:rsidRPr="00DE0603">
        <w:t xml:space="preserve"> setting with </w:t>
      </w:r>
      <w:proofErr w:type="spellStart"/>
      <w:r w:rsidRPr="00DE0603">
        <w:t>progradational</w:t>
      </w:r>
      <w:proofErr w:type="spellEnd"/>
      <w:r w:rsidRPr="00DE0603">
        <w:t xml:space="preserve"> deposits sourced from the northeast and south.</w:t>
      </w:r>
    </w:p>
    <w:p w:rsidR="00AE0B1A" w:rsidRDefault="00AE0B1A" w:rsidP="00AE0B1A">
      <w:pPr>
        <w:pStyle w:val="BodyText"/>
      </w:pPr>
      <w:r>
        <w:t>Well logs show that the</w:t>
      </w:r>
      <w:r w:rsidRPr="00DE0603">
        <w:t xml:space="preserve"> Sandpiper Sandstone has porosities </w:t>
      </w:r>
      <w:r>
        <w:t>of</w:t>
      </w:r>
      <w:r w:rsidRPr="00DE0603">
        <w:t xml:space="preserve"> 20-30% on the</w:t>
      </w:r>
      <w:r>
        <w:t xml:space="preserve"> shallow</w:t>
      </w:r>
      <w:r w:rsidRPr="00DE0603">
        <w:t xml:space="preserve"> margin of the sub-basin </w:t>
      </w:r>
      <w:r>
        <w:t>and</w:t>
      </w:r>
      <w:r w:rsidRPr="00DE0603">
        <w:t xml:space="preserve"> around 20% in the centr</w:t>
      </w:r>
      <w:r>
        <w:t>e</w:t>
      </w:r>
      <w:r w:rsidRPr="00DE0603">
        <w:t xml:space="preserve"> </w:t>
      </w:r>
      <w:r>
        <w:t>with</w:t>
      </w:r>
      <w:r w:rsidRPr="00DE0603">
        <w:t xml:space="preserve"> </w:t>
      </w:r>
      <w:proofErr w:type="spellStart"/>
      <w:r w:rsidRPr="00DE0603">
        <w:t>permeabilities</w:t>
      </w:r>
      <w:proofErr w:type="spellEnd"/>
      <w:r w:rsidRPr="00DE0603">
        <w:t xml:space="preserve"> ranging from 44 to 1181 </w:t>
      </w:r>
      <w:proofErr w:type="spellStart"/>
      <w:r>
        <w:t>mD</w:t>
      </w:r>
      <w:proofErr w:type="spellEnd"/>
      <w:r>
        <w:t xml:space="preserve"> (</w:t>
      </w:r>
      <w:r w:rsidR="00B30F18">
        <w:fldChar w:fldCharType="begin"/>
      </w:r>
      <w:r w:rsidR="00B30F18">
        <w:instrText xml:space="preserve"> REF _Ref380156553 \h </w:instrText>
      </w:r>
      <w:r w:rsidR="00B30F18">
        <w:fldChar w:fldCharType="separate"/>
      </w:r>
      <w:r w:rsidR="00F64E4F">
        <w:t>Table </w:t>
      </w:r>
      <w:r w:rsidR="00F64E4F">
        <w:rPr>
          <w:noProof/>
        </w:rPr>
        <w:t>6</w:t>
      </w:r>
      <w:r w:rsidR="00F64E4F">
        <w:t>.</w:t>
      </w:r>
      <w:r w:rsidR="00F64E4F">
        <w:rPr>
          <w:noProof/>
        </w:rPr>
        <w:t>2</w:t>
      </w:r>
      <w:r w:rsidR="00B30F18">
        <w:fldChar w:fldCharType="end"/>
      </w:r>
      <w:r>
        <w:t xml:space="preserve">; </w:t>
      </w:r>
      <w:r w:rsidRPr="00DE0603">
        <w:t>Appendix</w:t>
      </w:r>
      <w:r>
        <w:t xml:space="preserve"> B). C</w:t>
      </w:r>
      <w:r w:rsidRPr="00C94C2F">
        <w:t xml:space="preserve">ore measurements are slightly lower than the </w:t>
      </w:r>
      <w:proofErr w:type="spellStart"/>
      <w:r w:rsidRPr="00C94C2F">
        <w:t>petrophysical</w:t>
      </w:r>
      <w:proofErr w:type="spellEnd"/>
      <w:r w:rsidRPr="00C94C2F">
        <w:t xml:space="preserve"> data with measurements from </w:t>
      </w:r>
      <w:r w:rsidRPr="00F75FB9">
        <w:t>Petrel 1</w:t>
      </w:r>
      <w:r w:rsidRPr="00C94C2F">
        <w:t xml:space="preserve"> </w:t>
      </w:r>
      <w:r>
        <w:t xml:space="preserve">indicating </w:t>
      </w:r>
      <w:r w:rsidRPr="00C94C2F">
        <w:t xml:space="preserve">a permeability of 65 </w:t>
      </w:r>
      <w:proofErr w:type="spellStart"/>
      <w:r>
        <w:t>mD</w:t>
      </w:r>
      <w:proofErr w:type="spellEnd"/>
      <w:r w:rsidRPr="00C94C2F">
        <w:t xml:space="preserve"> and porosity of 14.7%, which are comparable </w:t>
      </w:r>
      <w:r>
        <w:t xml:space="preserve">to those recorded </w:t>
      </w:r>
      <w:r w:rsidRPr="00C94C2F">
        <w:t xml:space="preserve">at </w:t>
      </w:r>
      <w:r w:rsidRPr="00F75FB9">
        <w:t>Gull 1</w:t>
      </w:r>
      <w:r>
        <w:t xml:space="preserve"> with measurements of </w:t>
      </w:r>
      <w:r w:rsidRPr="00C94C2F">
        <w:t xml:space="preserve">58 </w:t>
      </w:r>
      <w:proofErr w:type="spellStart"/>
      <w:r>
        <w:t>mD</w:t>
      </w:r>
      <w:proofErr w:type="spellEnd"/>
      <w:r>
        <w:t xml:space="preserve"> and 11.7%, respectively (Appendix G).</w:t>
      </w:r>
    </w:p>
    <w:p w:rsidR="00AE0B1A" w:rsidRDefault="00AE0B1A" w:rsidP="00B95C7A">
      <w:pPr>
        <w:pStyle w:val="Figuresandimagescentred"/>
      </w:pPr>
      <w:r>
        <w:rPr>
          <w:noProof/>
        </w:rPr>
        <w:lastRenderedPageBreak/>
        <w:drawing>
          <wp:inline distT="0" distB="0" distL="0" distR="0" wp14:anchorId="0E4CB560" wp14:editId="2FD6D8C7">
            <wp:extent cx="5760720" cy="2949235"/>
            <wp:effectExtent l="0" t="0" r="0" b="3810"/>
            <wp:docPr id="39" name="Picture 39" descr="Due to the complexity of this document and the niche scientific target audience, no alternative description has been provided. Please email Geoscience Australia at clientservices@ga.gov.au for an alternative description." title="Fig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For Chris Consoli\13-6963-1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2949235"/>
                    </a:xfrm>
                    <a:prstGeom prst="rect">
                      <a:avLst/>
                    </a:prstGeom>
                    <a:noFill/>
                    <a:ln>
                      <a:noFill/>
                    </a:ln>
                  </pic:spPr>
                </pic:pic>
              </a:graphicData>
            </a:graphic>
          </wp:inline>
        </w:drawing>
      </w:r>
    </w:p>
    <w:p w:rsidR="00AE0B1A" w:rsidRDefault="00AE0B1A" w:rsidP="00AE0B1A">
      <w:pPr>
        <w:pStyle w:val="Caption"/>
      </w:pPr>
      <w:bookmarkStart w:id="646" w:name="_Ref372804822"/>
      <w:bookmarkStart w:id="647" w:name="_Toc373095018"/>
      <w:bookmarkStart w:id="648" w:name="_Toc378252748"/>
      <w:bookmarkStart w:id="649" w:name="_Toc378253072"/>
      <w:bookmarkStart w:id="650" w:name="_Toc378253396"/>
      <w:bookmarkStart w:id="651" w:name="_Toc378253720"/>
      <w:bookmarkStart w:id="652" w:name="_Toc378254044"/>
      <w:bookmarkStart w:id="653" w:name="_Toc378254368"/>
      <w:bookmarkStart w:id="654" w:name="_Toc378254692"/>
      <w:bookmarkStart w:id="655" w:name="_Toc378255016"/>
      <w:bookmarkStart w:id="656" w:name="_Toc378255365"/>
      <w:r>
        <w:t xml:space="preserve">Figure </w:t>
      </w:r>
      <w:fldSimple w:instr=" STYLEREF 1 \s ">
        <w:r w:rsidR="00F64E4F">
          <w:rPr>
            <w:noProof/>
          </w:rPr>
          <w:t>6</w:t>
        </w:r>
      </w:fldSimple>
      <w:r w:rsidR="00AE5C2D">
        <w:t>.</w:t>
      </w:r>
      <w:fldSimple w:instr=" SEQ Figure \* ARABIC \s 1 ">
        <w:r w:rsidR="00F64E4F">
          <w:rPr>
            <w:noProof/>
          </w:rPr>
          <w:t>10</w:t>
        </w:r>
      </w:fldSimple>
      <w:bookmarkEnd w:id="646"/>
      <w:r>
        <w:t xml:space="preserve"> </w:t>
      </w:r>
      <w:r w:rsidRPr="005B2D26">
        <w:t>Photomicrograph and mineral and porosity maps for selected core sample of the Sandpiper Sandstone</w:t>
      </w:r>
      <w:r w:rsidRPr="00275039">
        <w:t>.</w:t>
      </w:r>
      <w:r>
        <w:t xml:space="preserve"> (a-c)</w:t>
      </w:r>
      <w:r w:rsidRPr="00CB6B84">
        <w:t xml:space="preserve"> Sandpiper </w:t>
      </w:r>
      <w:r>
        <w:t xml:space="preserve">Sandstone, Petrel 1, </w:t>
      </w:r>
      <w:proofErr w:type="gramStart"/>
      <w:r>
        <w:t>1375.6</w:t>
      </w:r>
      <w:proofErr w:type="gramEnd"/>
      <w:r>
        <w:t xml:space="preserve"> m. (a)</w:t>
      </w:r>
      <w:r w:rsidRPr="00CB6B84">
        <w:t xml:space="preserve"> Thin section photomicrograph illustrating the occurrence of quartz grains surrounded with clay films. It also shows microcrystal</w:t>
      </w:r>
      <w:r>
        <w:t>line rock fragment of quartzite, c</w:t>
      </w:r>
      <w:r w:rsidRPr="00CB6B84">
        <w:t xml:space="preserve">ross </w:t>
      </w:r>
      <w:r>
        <w:t>p</w:t>
      </w:r>
      <w:r w:rsidRPr="00CB6B84">
        <w:t>olarised light.</w:t>
      </w:r>
      <w:r>
        <w:t xml:space="preserve"> (b) </w:t>
      </w:r>
      <w:r w:rsidRPr="00CB6B84">
        <w:t xml:space="preserve">Mineral map. </w:t>
      </w:r>
      <w:r>
        <w:t xml:space="preserve">(c) </w:t>
      </w:r>
      <w:r w:rsidRPr="00CB6B84">
        <w:t>Porosity maps, defined by regions with no minerals</w:t>
      </w:r>
      <w:r>
        <w:t>, blue equates to open pores (</w:t>
      </w:r>
      <w:r w:rsidRPr="006C7A58">
        <w:t>porosity). Mineral legend applies</w:t>
      </w:r>
      <w:r>
        <w:t xml:space="preserve"> to (b).</w:t>
      </w:r>
      <w:r w:rsidRPr="00F219FA">
        <w:t xml:space="preserve"> </w:t>
      </w:r>
      <w:r>
        <w:t>Thin sections taken from Appendix C and mineral maps are taken from Appendix E.</w:t>
      </w:r>
      <w:r w:rsidRPr="001F7460">
        <w:t xml:space="preserve"> </w:t>
      </w:r>
      <w:r>
        <w:t xml:space="preserve">Note: Mineral Maps defining </w:t>
      </w:r>
      <w:r w:rsidRPr="00255748">
        <w:t xml:space="preserve">quartz/kaolinite and unclassified and traces categories may include some </w:t>
      </w:r>
      <w:proofErr w:type="spellStart"/>
      <w:r w:rsidRPr="00255748">
        <w:t>smectitic</w:t>
      </w:r>
      <w:proofErr w:type="spellEnd"/>
      <w:r w:rsidRPr="00255748">
        <w:t xml:space="preserve"> components that are not resolvable.</w:t>
      </w:r>
      <w:bookmarkEnd w:id="647"/>
      <w:bookmarkEnd w:id="648"/>
      <w:bookmarkEnd w:id="649"/>
      <w:bookmarkEnd w:id="650"/>
      <w:bookmarkEnd w:id="651"/>
      <w:bookmarkEnd w:id="652"/>
      <w:bookmarkEnd w:id="653"/>
      <w:bookmarkEnd w:id="654"/>
      <w:bookmarkEnd w:id="655"/>
      <w:bookmarkEnd w:id="656"/>
    </w:p>
    <w:p w:rsidR="00AE0B1A" w:rsidRDefault="00AE0B1A" w:rsidP="00AE0B1A">
      <w:pPr>
        <w:pStyle w:val="Figuresandimagescentred"/>
      </w:pPr>
      <w:r>
        <w:rPr>
          <w:noProof/>
        </w:rPr>
        <w:drawing>
          <wp:inline distT="0" distB="0" distL="0" distR="0" wp14:anchorId="604706E9" wp14:editId="1FE0F076">
            <wp:extent cx="5760720" cy="2998524"/>
            <wp:effectExtent l="0" t="0" r="0" b="0"/>
            <wp:docPr id="55" name="Picture 55" descr="Due to the complexity of this document and the niche scientific target audience, no alternative description has been provided. Please email Geoscience Australia at clientservices@ga.gov.au for an alternative description." title="Fig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6finaldocs\9GA Record Concise Figures Final (GAV approved)\GAV Completed-Review\13-6963-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2998524"/>
                    </a:xfrm>
                    <a:prstGeom prst="rect">
                      <a:avLst/>
                    </a:prstGeom>
                    <a:noFill/>
                    <a:ln>
                      <a:noFill/>
                    </a:ln>
                  </pic:spPr>
                </pic:pic>
              </a:graphicData>
            </a:graphic>
          </wp:inline>
        </w:drawing>
      </w:r>
    </w:p>
    <w:p w:rsidR="00AE5C2D" w:rsidRDefault="00AE0B1A" w:rsidP="00AE0B1A">
      <w:pPr>
        <w:pStyle w:val="Caption"/>
      </w:pPr>
      <w:bookmarkStart w:id="657" w:name="_Ref372804831"/>
      <w:bookmarkStart w:id="658" w:name="_Toc373095019"/>
      <w:bookmarkStart w:id="659" w:name="_Toc378252749"/>
      <w:bookmarkStart w:id="660" w:name="_Toc378253073"/>
      <w:bookmarkStart w:id="661" w:name="_Toc378253397"/>
      <w:bookmarkStart w:id="662" w:name="_Toc378253721"/>
      <w:bookmarkStart w:id="663" w:name="_Toc378254045"/>
      <w:bookmarkStart w:id="664" w:name="_Toc378254369"/>
      <w:bookmarkStart w:id="665" w:name="_Toc378254693"/>
      <w:bookmarkStart w:id="666" w:name="_Toc378255017"/>
      <w:bookmarkStart w:id="667" w:name="_Toc378255366"/>
      <w:r>
        <w:t xml:space="preserve">Figure </w:t>
      </w:r>
      <w:fldSimple w:instr=" STYLEREF 1 \s ">
        <w:r w:rsidR="00F64E4F">
          <w:rPr>
            <w:noProof/>
          </w:rPr>
          <w:t>6</w:t>
        </w:r>
      </w:fldSimple>
      <w:r w:rsidR="00AE5C2D">
        <w:t>.</w:t>
      </w:r>
      <w:fldSimple w:instr=" SEQ Figure \* ARABIC \s 1 ">
        <w:r w:rsidR="00F64E4F">
          <w:rPr>
            <w:noProof/>
          </w:rPr>
          <w:t>11</w:t>
        </w:r>
      </w:fldSimple>
      <w:bookmarkEnd w:id="657"/>
      <w:r>
        <w:t xml:space="preserve"> </w:t>
      </w:r>
      <w:r w:rsidRPr="00585CD7">
        <w:t>Depth (a) and thickness (b) maps of the Sandpiper Sandstone.</w:t>
      </w:r>
      <w:bookmarkEnd w:id="658"/>
      <w:bookmarkEnd w:id="659"/>
      <w:bookmarkEnd w:id="660"/>
      <w:bookmarkEnd w:id="661"/>
      <w:bookmarkEnd w:id="662"/>
      <w:bookmarkEnd w:id="663"/>
      <w:bookmarkEnd w:id="664"/>
      <w:bookmarkEnd w:id="665"/>
      <w:bookmarkEnd w:id="666"/>
      <w:bookmarkEnd w:id="667"/>
      <w:r w:rsidR="00AE5C2D">
        <w:br w:type="page"/>
      </w:r>
    </w:p>
    <w:p w:rsidR="00AE0B1A" w:rsidRPr="00C94C2F" w:rsidRDefault="00AE0B1A" w:rsidP="00AE0B1A">
      <w:pPr>
        <w:pStyle w:val="Head3nonumbers"/>
      </w:pPr>
      <w:bookmarkStart w:id="668" w:name="_Toc378252898"/>
      <w:bookmarkStart w:id="669" w:name="_Toc378253222"/>
      <w:bookmarkStart w:id="670" w:name="_Toc378253546"/>
      <w:bookmarkStart w:id="671" w:name="_Toc378253870"/>
      <w:bookmarkStart w:id="672" w:name="_Toc378254194"/>
      <w:bookmarkStart w:id="673" w:name="_Toc378254518"/>
      <w:bookmarkStart w:id="674" w:name="_Toc378254842"/>
      <w:bookmarkStart w:id="675" w:name="_Toc378255166"/>
      <w:bookmarkStart w:id="676" w:name="_Toc383758224"/>
      <w:r w:rsidRPr="00C94C2F">
        <w:lastRenderedPageBreak/>
        <w:t xml:space="preserve">Regional </w:t>
      </w:r>
      <w:r>
        <w:t xml:space="preserve">Cretaceous </w:t>
      </w:r>
      <w:r w:rsidRPr="00C94C2F">
        <w:t>Seal – Bathurst Island Group</w:t>
      </w:r>
      <w:bookmarkEnd w:id="668"/>
      <w:bookmarkEnd w:id="669"/>
      <w:bookmarkEnd w:id="670"/>
      <w:bookmarkEnd w:id="671"/>
      <w:bookmarkEnd w:id="672"/>
      <w:bookmarkEnd w:id="673"/>
      <w:bookmarkEnd w:id="674"/>
      <w:bookmarkEnd w:id="675"/>
      <w:bookmarkEnd w:id="676"/>
    </w:p>
    <w:p w:rsidR="00AE0B1A" w:rsidRDefault="00AE0B1A" w:rsidP="00AE0B1A">
      <w:pPr>
        <w:pStyle w:val="BodyText"/>
      </w:pPr>
      <w:r>
        <w:t>T</w:t>
      </w:r>
      <w:r w:rsidRPr="00C94C2F">
        <w:t>he Bathurst Island Group (</w:t>
      </w:r>
      <w:proofErr w:type="spellStart"/>
      <w:r w:rsidRPr="00C94C2F">
        <w:t>Valanginian</w:t>
      </w:r>
      <w:proofErr w:type="spellEnd"/>
      <w:r w:rsidRPr="00C94C2F">
        <w:t xml:space="preserve"> to Maastrichtian</w:t>
      </w:r>
      <w:r>
        <w:t>) represents the effective s</w:t>
      </w:r>
      <w:r w:rsidRPr="00C94C2F">
        <w:t xml:space="preserve">eal of the </w:t>
      </w:r>
      <w:r>
        <w:t xml:space="preserve">Sandpiper Sandstone and flanks of the </w:t>
      </w:r>
      <w:proofErr w:type="spellStart"/>
      <w:r>
        <w:t>Elang</w:t>
      </w:r>
      <w:proofErr w:type="spellEnd"/>
      <w:r>
        <w:t xml:space="preserve"> and Plover formations and lower Frigate Shale</w:t>
      </w:r>
      <w:r w:rsidRPr="00C94C2F">
        <w:t>.</w:t>
      </w:r>
      <w:r>
        <w:t xml:space="preserve"> </w:t>
      </w:r>
      <w:r w:rsidRPr="00C94C2F">
        <w:t>It is defined</w:t>
      </w:r>
      <w:r>
        <w:t xml:space="preserve"> in this study</w:t>
      </w:r>
      <w:r w:rsidRPr="00C94C2F">
        <w:t xml:space="preserve"> as a plausible regional, conventional seal with effect</w:t>
      </w:r>
      <w:r>
        <w:t xml:space="preserve">ive sealing capacity. </w:t>
      </w:r>
      <w:r w:rsidRPr="00C94C2F">
        <w:t xml:space="preserve">The </w:t>
      </w:r>
      <w:r>
        <w:t>sedimentology varies from c</w:t>
      </w:r>
      <w:r w:rsidRPr="00C94C2F">
        <w:t xml:space="preserve">ondensed, thin, basal transgressive glauconitic mudstones and siltstones (Echuca Shoals Formation) to </w:t>
      </w:r>
      <w:r>
        <w:t>glauconitic, calcareous mudstones and sandstones with a basal conglomerate</w:t>
      </w:r>
      <w:r w:rsidRPr="00C94C2F">
        <w:t xml:space="preserve"> (Darwin Formation)</w:t>
      </w:r>
      <w:r>
        <w:t xml:space="preserve">. </w:t>
      </w:r>
      <w:proofErr w:type="spellStart"/>
      <w:r>
        <w:t>Palynological</w:t>
      </w:r>
      <w:proofErr w:type="spellEnd"/>
      <w:r>
        <w:t xml:space="preserve"> data from these formations span the </w:t>
      </w:r>
      <w:proofErr w:type="spellStart"/>
      <w:r w:rsidRPr="009D5B2E">
        <w:rPr>
          <w:rStyle w:val="Italic"/>
        </w:rPr>
        <w:t>Systematophora</w:t>
      </w:r>
      <w:proofErr w:type="spellEnd"/>
      <w:r w:rsidRPr="009D5B2E">
        <w:rPr>
          <w:rStyle w:val="Italic"/>
        </w:rPr>
        <w:t xml:space="preserve"> </w:t>
      </w:r>
      <w:proofErr w:type="spellStart"/>
      <w:r w:rsidRPr="009D5B2E">
        <w:rPr>
          <w:rStyle w:val="Italic"/>
        </w:rPr>
        <w:t>areolata</w:t>
      </w:r>
      <w:proofErr w:type="spellEnd"/>
      <w:r w:rsidRPr="009D5B2E">
        <w:rPr>
          <w:rStyle w:val="Italic"/>
        </w:rPr>
        <w:t xml:space="preserve"> </w:t>
      </w:r>
      <w:r w:rsidRPr="00367911">
        <w:t>to</w:t>
      </w:r>
      <w:r w:rsidRPr="009D5B2E">
        <w:rPr>
          <w:rStyle w:val="Italic"/>
        </w:rPr>
        <w:t xml:space="preserve"> </w:t>
      </w:r>
      <w:proofErr w:type="spellStart"/>
      <w:r w:rsidRPr="009D5B2E">
        <w:rPr>
          <w:rStyle w:val="Italic"/>
        </w:rPr>
        <w:t>Dinconodinium</w:t>
      </w:r>
      <w:proofErr w:type="spellEnd"/>
      <w:r w:rsidRPr="009D5B2E">
        <w:rPr>
          <w:rStyle w:val="Italic"/>
        </w:rPr>
        <w:t xml:space="preserve"> </w:t>
      </w:r>
      <w:proofErr w:type="spellStart"/>
      <w:r w:rsidRPr="009D5B2E">
        <w:rPr>
          <w:rStyle w:val="Italic"/>
        </w:rPr>
        <w:t>davidii</w:t>
      </w:r>
      <w:proofErr w:type="spellEnd"/>
      <w:r w:rsidRPr="009D5B2E">
        <w:rPr>
          <w:rStyle w:val="Italic"/>
        </w:rPr>
        <w:t xml:space="preserve"> </w:t>
      </w:r>
      <w:proofErr w:type="spellStart"/>
      <w:r>
        <w:t>dinocyst</w:t>
      </w:r>
      <w:proofErr w:type="spellEnd"/>
      <w:r>
        <w:t xml:space="preserve"> z</w:t>
      </w:r>
      <w:r w:rsidRPr="00D4045D">
        <w:t>one</w:t>
      </w:r>
      <w:r>
        <w:t>s and both were</w:t>
      </w:r>
      <w:r w:rsidRPr="00C94C2F">
        <w:t xml:space="preserve"> deposited on a shallow marine shelf. These formations </w:t>
      </w:r>
      <w:r>
        <w:t>we</w:t>
      </w:r>
      <w:r w:rsidRPr="00C94C2F">
        <w:t xml:space="preserve">re succeeded by </w:t>
      </w:r>
      <w:r>
        <w:t xml:space="preserve">the </w:t>
      </w:r>
      <w:proofErr w:type="spellStart"/>
      <w:r>
        <w:t>Wangarlu</w:t>
      </w:r>
      <w:proofErr w:type="spellEnd"/>
      <w:r>
        <w:t xml:space="preserve"> Formation (</w:t>
      </w:r>
      <w:proofErr w:type="spellStart"/>
      <w:r w:rsidRPr="009D5B2E">
        <w:rPr>
          <w:rStyle w:val="Italic"/>
        </w:rPr>
        <w:t>Muderongia</w:t>
      </w:r>
      <w:proofErr w:type="spellEnd"/>
      <w:r w:rsidRPr="009D5B2E">
        <w:rPr>
          <w:rStyle w:val="Italic"/>
        </w:rPr>
        <w:t xml:space="preserve"> </w:t>
      </w:r>
      <w:proofErr w:type="spellStart"/>
      <w:r w:rsidRPr="009D5B2E">
        <w:rPr>
          <w:rStyle w:val="Italic"/>
        </w:rPr>
        <w:t>tetracantha</w:t>
      </w:r>
      <w:proofErr w:type="spellEnd"/>
      <w:r w:rsidRPr="009D5B2E">
        <w:rPr>
          <w:rStyle w:val="Italic"/>
        </w:rPr>
        <w:t xml:space="preserve"> </w:t>
      </w:r>
      <w:r w:rsidRPr="00367911">
        <w:t xml:space="preserve">to </w:t>
      </w:r>
      <w:proofErr w:type="spellStart"/>
      <w:r w:rsidRPr="009D5B2E">
        <w:rPr>
          <w:rStyle w:val="Italic"/>
        </w:rPr>
        <w:t>Manumiella</w:t>
      </w:r>
      <w:proofErr w:type="spellEnd"/>
      <w:r w:rsidRPr="009D5B2E">
        <w:rPr>
          <w:rStyle w:val="Italic"/>
        </w:rPr>
        <w:t xml:space="preserve"> </w:t>
      </w:r>
      <w:proofErr w:type="spellStart"/>
      <w:r w:rsidRPr="009D5B2E">
        <w:rPr>
          <w:rStyle w:val="Italic"/>
        </w:rPr>
        <w:t>druggii</w:t>
      </w:r>
      <w:proofErr w:type="spellEnd"/>
      <w:r w:rsidRPr="00D4045D">
        <w:t xml:space="preserve"> </w:t>
      </w:r>
      <w:r>
        <w:t>z</w:t>
      </w:r>
      <w:r w:rsidRPr="00D4045D">
        <w:t>one</w:t>
      </w:r>
      <w:r>
        <w:t xml:space="preserve">s), which is a </w:t>
      </w:r>
      <w:r w:rsidRPr="00C94C2F">
        <w:t xml:space="preserve">very thick </w:t>
      </w:r>
      <w:proofErr w:type="spellStart"/>
      <w:r w:rsidRPr="00C94C2F">
        <w:t>micaceous</w:t>
      </w:r>
      <w:proofErr w:type="spellEnd"/>
      <w:r w:rsidRPr="00C94C2F">
        <w:t xml:space="preserve"> mudstone, with minor marl, siltstone, fine sandstone and limestone units deposited in an open marine </w:t>
      </w:r>
      <w:r>
        <w:t>setting</w:t>
      </w:r>
      <w:r w:rsidRPr="00DE0603">
        <w:t xml:space="preserve"> (</w:t>
      </w:r>
      <w:r w:rsidR="00B30F18">
        <w:fldChar w:fldCharType="begin"/>
      </w:r>
      <w:r w:rsidR="00B30F18">
        <w:instrText xml:space="preserve"> REF _Ref380156531 \h </w:instrText>
      </w:r>
      <w:r w:rsidR="00B30F18">
        <w:fldChar w:fldCharType="separate"/>
      </w:r>
      <w:r w:rsidR="00F64E4F">
        <w:t xml:space="preserve">Table </w:t>
      </w:r>
      <w:r w:rsidR="00F64E4F">
        <w:rPr>
          <w:noProof/>
        </w:rPr>
        <w:t>6</w:t>
      </w:r>
      <w:r w:rsidR="00F64E4F">
        <w:t>.</w:t>
      </w:r>
      <w:r w:rsidR="00F64E4F">
        <w:rPr>
          <w:noProof/>
        </w:rPr>
        <w:t>1</w:t>
      </w:r>
      <w:r w:rsidR="00B30F18">
        <w:fldChar w:fldCharType="end"/>
      </w:r>
      <w:r w:rsidRPr="00367911">
        <w:t xml:space="preserve">). According to mineralogical abundances and petrology, </w:t>
      </w:r>
      <w:r w:rsidRPr="00DE0603">
        <w:t xml:space="preserve">the </w:t>
      </w:r>
      <w:proofErr w:type="spellStart"/>
      <w:r w:rsidRPr="00DE0603">
        <w:t>Wangarlu</w:t>
      </w:r>
      <w:proofErr w:type="spellEnd"/>
      <w:r w:rsidRPr="00DE0603">
        <w:t xml:space="preserve"> Formation</w:t>
      </w:r>
      <w:r>
        <w:t xml:space="preserve"> is typically a</w:t>
      </w:r>
      <w:r w:rsidRPr="00DE0603">
        <w:t xml:space="preserve"> mudstone (</w:t>
      </w:r>
      <w:r>
        <w:fldChar w:fldCharType="begin"/>
      </w:r>
      <w:r>
        <w:instrText xml:space="preserve"> REF _Ref372804889 \h </w:instrText>
      </w:r>
      <w:r>
        <w:fldChar w:fldCharType="separate"/>
      </w:r>
      <w:r w:rsidR="00F64E4F">
        <w:t xml:space="preserve">Figure </w:t>
      </w:r>
      <w:r w:rsidR="00F64E4F">
        <w:rPr>
          <w:noProof/>
        </w:rPr>
        <w:t>6</w:t>
      </w:r>
      <w:r w:rsidR="00F64E4F">
        <w:t>.</w:t>
      </w:r>
      <w:r w:rsidR="00F64E4F">
        <w:rPr>
          <w:noProof/>
        </w:rPr>
        <w:t>12</w:t>
      </w:r>
      <w:r>
        <w:fldChar w:fldCharType="end"/>
      </w:r>
      <w:r w:rsidRPr="00DE0603">
        <w:t xml:space="preserve">). </w:t>
      </w:r>
      <w:proofErr w:type="spellStart"/>
      <w:r>
        <w:t>H</w:t>
      </w:r>
      <w:r w:rsidRPr="00DE0603">
        <w:t>yperspectral</w:t>
      </w:r>
      <w:proofErr w:type="spellEnd"/>
      <w:r w:rsidRPr="00DE0603">
        <w:t xml:space="preserve"> </w:t>
      </w:r>
      <w:proofErr w:type="spellStart"/>
      <w:r w:rsidRPr="00DE0603">
        <w:t>spectroradiometer</w:t>
      </w:r>
      <w:proofErr w:type="spellEnd"/>
      <w:r w:rsidRPr="00DE0603">
        <w:t xml:space="preserve"> analysis</w:t>
      </w:r>
      <w:r>
        <w:t xml:space="preserve"> indicates that</w:t>
      </w:r>
      <w:r w:rsidRPr="00DE0603">
        <w:t xml:space="preserve"> the mudstones are dominated by </w:t>
      </w:r>
      <w:proofErr w:type="spellStart"/>
      <w:r w:rsidRPr="00DE0603">
        <w:t>smectitic</w:t>
      </w:r>
      <w:proofErr w:type="spellEnd"/>
      <w:r w:rsidRPr="00DE0603">
        <w:t xml:space="preserve"> clays (</w:t>
      </w:r>
      <w:r>
        <w:t>Appendix F</w:t>
      </w:r>
      <w:r w:rsidRPr="00DE0603">
        <w:t>). Seismic interpretation</w:t>
      </w:r>
      <w:r>
        <w:t>, as described in Section 4,</w:t>
      </w:r>
      <w:r w:rsidRPr="00DE0603">
        <w:t xml:space="preserve"> </w:t>
      </w:r>
      <w:r>
        <w:t>indicates</w:t>
      </w:r>
      <w:r w:rsidRPr="00DE0603">
        <w:t xml:space="preserve"> that the Bathurst Island Group is distributed ubiquitously across the </w:t>
      </w:r>
      <w:r>
        <w:t>Petrel S</w:t>
      </w:r>
      <w:r w:rsidRPr="00DE0603">
        <w:t xml:space="preserve">ub-basin with thicknesses ranging from 100 m on the flanks (e.g. </w:t>
      </w:r>
      <w:r w:rsidRPr="00F75FB9">
        <w:t>Bougainville 1)</w:t>
      </w:r>
      <w:r>
        <w:t xml:space="preserve"> to </w:t>
      </w:r>
      <w:r w:rsidRPr="00DE0603">
        <w:t>over 1000 m in the centr</w:t>
      </w:r>
      <w:r>
        <w:t>e and northern flanks</w:t>
      </w:r>
      <w:r w:rsidRPr="00DE0603">
        <w:t xml:space="preserve"> (</w:t>
      </w:r>
      <w:r>
        <w:fldChar w:fldCharType="begin"/>
      </w:r>
      <w:r>
        <w:instrText xml:space="preserve"> REF _Ref372804897 \h </w:instrText>
      </w:r>
      <w:r>
        <w:fldChar w:fldCharType="separate"/>
      </w:r>
      <w:r w:rsidR="00F64E4F">
        <w:t>Figure </w:t>
      </w:r>
      <w:r w:rsidR="00F64E4F">
        <w:rPr>
          <w:noProof/>
        </w:rPr>
        <w:t>6</w:t>
      </w:r>
      <w:r w:rsidR="00F64E4F">
        <w:t>.</w:t>
      </w:r>
      <w:r w:rsidR="00F64E4F">
        <w:rPr>
          <w:noProof/>
        </w:rPr>
        <w:t>13</w:t>
      </w:r>
      <w:r>
        <w:fldChar w:fldCharType="end"/>
      </w:r>
      <w:r w:rsidRPr="00DE0603">
        <w:t>).</w:t>
      </w:r>
    </w:p>
    <w:p w:rsidR="00AE0B1A" w:rsidRPr="00C94C2F" w:rsidRDefault="00AE0B1A" w:rsidP="00AE0B1A">
      <w:pPr>
        <w:pStyle w:val="BodyText"/>
      </w:pPr>
      <w:r>
        <w:t>T</w:t>
      </w:r>
      <w:r w:rsidRPr="00367911">
        <w:t xml:space="preserve">hreshold pressure measurements obtained from limited core data in the </w:t>
      </w:r>
      <w:r w:rsidRPr="00DE0603">
        <w:t>Echuca Shoal</w:t>
      </w:r>
      <w:r>
        <w:t xml:space="preserve">s, Darwin and </w:t>
      </w:r>
      <w:proofErr w:type="spellStart"/>
      <w:r>
        <w:t>Wangarlu</w:t>
      </w:r>
      <w:proofErr w:type="spellEnd"/>
      <w:r>
        <w:t xml:space="preserve"> formations vary widely, depending on the techniques used; the threshold pressure from saline water-</w:t>
      </w:r>
      <w:r w:rsidRPr="003E7003">
        <w:t>CO</w:t>
      </w:r>
      <w:r w:rsidRPr="009D5B2E">
        <w:rPr>
          <w:rStyle w:val="Subscript"/>
        </w:rPr>
        <w:t>2</w:t>
      </w:r>
      <w:r>
        <w:t xml:space="preserve"> injection giving lower values than MICP</w:t>
      </w:r>
      <w:r w:rsidRPr="00C93281">
        <w:t xml:space="preserve"> </w:t>
      </w:r>
      <w:r>
        <w:t>(</w:t>
      </w:r>
      <w:r>
        <w:fldChar w:fldCharType="begin"/>
      </w:r>
      <w:r>
        <w:instrText xml:space="preserve"> REF _Ref372804805 \h </w:instrText>
      </w:r>
      <w:r>
        <w:fldChar w:fldCharType="separate"/>
      </w:r>
      <w:r w:rsidR="00F64E4F">
        <w:t xml:space="preserve">Figure </w:t>
      </w:r>
      <w:r w:rsidR="00F64E4F">
        <w:rPr>
          <w:noProof/>
        </w:rPr>
        <w:t>6</w:t>
      </w:r>
      <w:r w:rsidR="00F64E4F">
        <w:t>.</w:t>
      </w:r>
      <w:r w:rsidR="00F64E4F">
        <w:rPr>
          <w:noProof/>
        </w:rPr>
        <w:t>9</w:t>
      </w:r>
      <w:r>
        <w:fldChar w:fldCharType="end"/>
      </w:r>
      <w:r>
        <w:t xml:space="preserve"> and </w:t>
      </w:r>
      <w:r w:rsidR="00B30F18">
        <w:fldChar w:fldCharType="begin"/>
      </w:r>
      <w:r w:rsidR="00B30F18">
        <w:instrText xml:space="preserve"> REF _Ref380156668 \h </w:instrText>
      </w:r>
      <w:r w:rsidR="00B30F18">
        <w:fldChar w:fldCharType="separate"/>
      </w:r>
      <w:r w:rsidR="00F64E4F">
        <w:t xml:space="preserve">Table </w:t>
      </w:r>
      <w:r w:rsidR="00F64E4F">
        <w:rPr>
          <w:noProof/>
        </w:rPr>
        <w:t>6</w:t>
      </w:r>
      <w:r w:rsidR="00F64E4F">
        <w:t>.</w:t>
      </w:r>
      <w:r w:rsidR="00F64E4F">
        <w:rPr>
          <w:noProof/>
        </w:rPr>
        <w:t>3</w:t>
      </w:r>
      <w:r w:rsidR="00B30F18">
        <w:fldChar w:fldCharType="end"/>
      </w:r>
      <w:r>
        <w:t xml:space="preserve">). However, the mudstones in the Bathurst Island Group were calculated to retain a </w:t>
      </w:r>
      <w:r w:rsidRPr="003E7003">
        <w:t>CO</w:t>
      </w:r>
      <w:r w:rsidRPr="009D5B2E">
        <w:rPr>
          <w:rStyle w:val="Subscript"/>
        </w:rPr>
        <w:t>2</w:t>
      </w:r>
      <w:r>
        <w:t xml:space="preserve"> column height </w:t>
      </w:r>
      <w:r w:rsidRPr="00C94C2F">
        <w:t xml:space="preserve">of </w:t>
      </w:r>
      <w:r>
        <w:t xml:space="preserve">around 137-365 m, averaging 225.8 m (Appendix G). Due to a lack of structural closure over the majority of the Petrel Sub-basin, it is unlikely that a </w:t>
      </w:r>
      <w:r w:rsidRPr="003E7003">
        <w:t>CO</w:t>
      </w:r>
      <w:r w:rsidRPr="009D5B2E">
        <w:rPr>
          <w:rStyle w:val="Subscript"/>
        </w:rPr>
        <w:t>2</w:t>
      </w:r>
      <w:r>
        <w:t xml:space="preserve"> column height greater than the estimated threshold pressures measured would be reached in the reservoirs below. </w:t>
      </w:r>
      <w:r w:rsidRPr="00C94C2F">
        <w:t>Finall</w:t>
      </w:r>
      <w:r>
        <w:t xml:space="preserve">y, FIS analysis of </w:t>
      </w:r>
      <w:r w:rsidRPr="00F75FB9">
        <w:t>Bougainville 1</w:t>
      </w:r>
      <w:r w:rsidRPr="00C94C2F">
        <w:t xml:space="preserve">, </w:t>
      </w:r>
      <w:r w:rsidRPr="00F75FB9">
        <w:t>Flat Top 1</w:t>
      </w:r>
      <w:r w:rsidRPr="00C94C2F">
        <w:t xml:space="preserve">, </w:t>
      </w:r>
      <w:r w:rsidRPr="00F75FB9">
        <w:t>Newby</w:t>
      </w:r>
      <w:r>
        <w:t xml:space="preserve"> </w:t>
      </w:r>
      <w:r w:rsidRPr="00F75FB9">
        <w:t>1</w:t>
      </w:r>
      <w:r w:rsidRPr="00C94C2F">
        <w:t xml:space="preserve">, and </w:t>
      </w:r>
      <w:r w:rsidRPr="00F75FB9">
        <w:t>Penguin</w:t>
      </w:r>
      <w:r>
        <w:t xml:space="preserve"> </w:t>
      </w:r>
      <w:r w:rsidRPr="00F75FB9">
        <w:t>1</w:t>
      </w:r>
      <w:r w:rsidRPr="00C94C2F">
        <w:t xml:space="preserve"> </w:t>
      </w:r>
      <w:r>
        <w:t>show</w:t>
      </w:r>
      <w:r w:rsidRPr="00C94C2F">
        <w:t xml:space="preserve"> that the </w:t>
      </w:r>
      <w:proofErr w:type="spellStart"/>
      <w:r w:rsidRPr="00C94C2F">
        <w:t>Wangarlu</w:t>
      </w:r>
      <w:proofErr w:type="spellEnd"/>
      <w:r w:rsidRPr="00C94C2F">
        <w:t xml:space="preserve"> Formation </w:t>
      </w:r>
      <w:r>
        <w:t>is</w:t>
      </w:r>
      <w:r w:rsidRPr="00C94C2F">
        <w:t xml:space="preserve"> an effective seal</w:t>
      </w:r>
      <w:r>
        <w:t xml:space="preserve"> (Appendix</w:t>
      </w:r>
      <w:r w:rsidR="00AE5C2D">
        <w:t> </w:t>
      </w:r>
      <w:r>
        <w:t>D)</w:t>
      </w:r>
      <w:r w:rsidRPr="00C94C2F">
        <w:t>.</w:t>
      </w:r>
    </w:p>
    <w:p w:rsidR="00AE0B1A" w:rsidRPr="00C94C2F" w:rsidRDefault="00AE0B1A" w:rsidP="00AE0B1A">
      <w:pPr>
        <w:pStyle w:val="Heading2"/>
      </w:pPr>
      <w:bookmarkStart w:id="677" w:name="_Toc372790312"/>
      <w:bookmarkStart w:id="678" w:name="_Toc378252899"/>
      <w:bookmarkStart w:id="679" w:name="_Toc378253223"/>
      <w:bookmarkStart w:id="680" w:name="_Toc378253547"/>
      <w:bookmarkStart w:id="681" w:name="_Toc378253871"/>
      <w:bookmarkStart w:id="682" w:name="_Toc378254195"/>
      <w:bookmarkStart w:id="683" w:name="_Toc378254519"/>
      <w:bookmarkStart w:id="684" w:name="_Toc378254843"/>
      <w:bookmarkStart w:id="685" w:name="_Toc378255167"/>
      <w:bookmarkStart w:id="686" w:name="_Toc383758225"/>
      <w:proofErr w:type="spellStart"/>
      <w:r w:rsidRPr="00C94C2F">
        <w:t>Geomechanics</w:t>
      </w:r>
      <w:proofErr w:type="spellEnd"/>
      <w:r w:rsidRPr="00C94C2F">
        <w:t xml:space="preserve"> </w:t>
      </w:r>
      <w:r w:rsidRPr="006B5A62">
        <w:t>and</w:t>
      </w:r>
      <w:r w:rsidRPr="00C94C2F">
        <w:t xml:space="preserve"> Fault Characterisation</w:t>
      </w:r>
      <w:bookmarkEnd w:id="677"/>
      <w:bookmarkEnd w:id="678"/>
      <w:bookmarkEnd w:id="679"/>
      <w:bookmarkEnd w:id="680"/>
      <w:bookmarkEnd w:id="681"/>
      <w:bookmarkEnd w:id="682"/>
      <w:bookmarkEnd w:id="683"/>
      <w:bookmarkEnd w:id="684"/>
      <w:bookmarkEnd w:id="685"/>
      <w:bookmarkEnd w:id="686"/>
    </w:p>
    <w:p w:rsidR="00AE0B1A" w:rsidRDefault="00AE0B1A" w:rsidP="00AE0B1A">
      <w:pPr>
        <w:pStyle w:val="BodyText"/>
      </w:pPr>
      <w:r>
        <w:t>A comprehensive assessment of the CO</w:t>
      </w:r>
      <w:r w:rsidRPr="009D5B2E">
        <w:rPr>
          <w:rStyle w:val="Subscript"/>
        </w:rPr>
        <w:t>2</w:t>
      </w:r>
      <w:r>
        <w:t xml:space="preserve"> geological storage potential requires an assessment of the fault-seal potential of the Petrel Sub-basin. </w:t>
      </w:r>
      <w:r w:rsidRPr="00A07D42">
        <w:t>A comprehensive report containing the methodology and a description of the faults in the Petrel Sub-bas</w:t>
      </w:r>
      <w:r>
        <w:t xml:space="preserve">in are detailed in Appendix H. This was achieved through a </w:t>
      </w:r>
      <w:proofErr w:type="spellStart"/>
      <w:r>
        <w:t>geomechanical</w:t>
      </w:r>
      <w:proofErr w:type="spellEnd"/>
      <w:r>
        <w:t xml:space="preserve"> study and characterisation of polygonal faulting, which is a widespread feature of the Petrel Sub-basin. </w:t>
      </w:r>
      <w:r w:rsidRPr="00A07D42">
        <w:t xml:space="preserve">The findings of this report are supported by the results of the fault </w:t>
      </w:r>
      <w:proofErr w:type="spellStart"/>
      <w:r w:rsidRPr="00A07D42">
        <w:t>geomechanics</w:t>
      </w:r>
      <w:proofErr w:type="spellEnd"/>
      <w:r w:rsidRPr="00A07D42">
        <w:t xml:space="preserve"> (Appendix I) and polygonal fault (Appendix N) studies. The </w:t>
      </w:r>
      <w:proofErr w:type="spellStart"/>
      <w:r w:rsidRPr="00A07D42">
        <w:t>geomechanical</w:t>
      </w:r>
      <w:proofErr w:type="spellEnd"/>
      <w:r w:rsidRPr="00A07D42">
        <w:t xml:space="preserve"> analysis did not include the polygonal faulting due to their spatial complexity. These studies are summarised below</w:t>
      </w:r>
      <w:r>
        <w:t>.</w:t>
      </w:r>
    </w:p>
    <w:p w:rsidR="00AE0B1A" w:rsidRPr="00C94C2F" w:rsidRDefault="00AE0B1A" w:rsidP="00AE5C2D">
      <w:pPr>
        <w:pStyle w:val="BodyText-01"/>
      </w:pPr>
      <w:r>
        <w:t xml:space="preserve">The </w:t>
      </w:r>
      <w:proofErr w:type="spellStart"/>
      <w:r>
        <w:t>Neotectonic</w:t>
      </w:r>
      <w:proofErr w:type="spellEnd"/>
      <w:r>
        <w:t xml:space="preserve"> record of the Petrel Sub-basin has not been studied specifically and seismicity risk or hazard maps have not been extended to offshore northern Australia. Historical earthquake data indicate that the southern Timor Sea and Joseph Bonaparte Gulf have recorded only rare instances of seismicity (magnitudes &lt;3), but there are Neogene faults present in the sub-basin indicating recent tectonic movement (Clark et al., 2011; Burbidge, 2012). Moreover, Quaternary fault movement was identified by the offset of strata in the shallow subsurface sediments imaged in the SBP data (</w:t>
      </w:r>
      <w:r>
        <w:fldChar w:fldCharType="begin"/>
      </w:r>
      <w:r>
        <w:instrText xml:space="preserve"> REF _Ref372289441 \h </w:instrText>
      </w:r>
      <w:r>
        <w:fldChar w:fldCharType="separate"/>
      </w:r>
      <w:r w:rsidR="00F64E4F">
        <w:t xml:space="preserve">Figure </w:t>
      </w:r>
      <w:r w:rsidR="00F64E4F">
        <w:rPr>
          <w:noProof/>
        </w:rPr>
        <w:t>5</w:t>
      </w:r>
      <w:r w:rsidR="00F64E4F">
        <w:t>.</w:t>
      </w:r>
      <w:r w:rsidR="00F64E4F">
        <w:rPr>
          <w:noProof/>
        </w:rPr>
        <w:t>4</w:t>
      </w:r>
      <w:r>
        <w:fldChar w:fldCharType="end"/>
      </w:r>
      <w:r>
        <w:t xml:space="preserve">a). These Quaternary faults have not been linked to any known </w:t>
      </w:r>
      <w:proofErr w:type="spellStart"/>
      <w:r>
        <w:t>tectonism</w:t>
      </w:r>
      <w:proofErr w:type="spellEnd"/>
      <w:r>
        <w:t xml:space="preserve">. Overall, the impact of </w:t>
      </w:r>
      <w:proofErr w:type="spellStart"/>
      <w:r>
        <w:t>neotectonism</w:t>
      </w:r>
      <w:proofErr w:type="spellEnd"/>
      <w:r>
        <w:t xml:space="preserve"> on the </w:t>
      </w:r>
      <w:proofErr w:type="spellStart"/>
      <w:r>
        <w:t>prospectivity</w:t>
      </w:r>
      <w:proofErr w:type="spellEnd"/>
      <w:r>
        <w:t xml:space="preserve"> of the basin for </w:t>
      </w:r>
      <w:r w:rsidRPr="003E7003">
        <w:t>CO</w:t>
      </w:r>
      <w:r w:rsidRPr="009D5B2E">
        <w:rPr>
          <w:rStyle w:val="Subscript"/>
        </w:rPr>
        <w:t>2</w:t>
      </w:r>
      <w:r>
        <w:t xml:space="preserve"> storage is unknown, but seismic activity is very rare in this region and therefore the impact is assumed to be low. Recent </w:t>
      </w:r>
      <w:proofErr w:type="spellStart"/>
      <w:r>
        <w:t>tectonism</w:t>
      </w:r>
      <w:proofErr w:type="spellEnd"/>
      <w:r>
        <w:t xml:space="preserve"> aside, the Petrel Sub-basin does have a long history of </w:t>
      </w:r>
      <w:proofErr w:type="spellStart"/>
      <w:r>
        <w:t>tectonism</w:t>
      </w:r>
      <w:proofErr w:type="spellEnd"/>
      <w:r>
        <w:t xml:space="preserve"> with major structural features throughout the sub-basin.</w:t>
      </w:r>
    </w:p>
    <w:p w:rsidR="00AE0B1A" w:rsidRDefault="00AE0B1A" w:rsidP="00AE0B1A">
      <w:pPr>
        <w:pStyle w:val="Figuresandimagescentred"/>
      </w:pPr>
      <w:r>
        <w:rPr>
          <w:noProof/>
        </w:rPr>
        <w:lastRenderedPageBreak/>
        <w:drawing>
          <wp:inline distT="0" distB="0" distL="0" distR="0" wp14:anchorId="1375B437" wp14:editId="258F5130">
            <wp:extent cx="4788000" cy="6593986"/>
            <wp:effectExtent l="0" t="0" r="0" b="0"/>
            <wp:docPr id="44" name="Picture 44" descr="Due to the complexity of this document and the niche scientific target audience, no alternative description has been provided. Please email Geoscience Australia at clientservices@ga.gov.au for an alternative description." title="Fig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For Chris Consoli\13-6963-1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88000" cy="6593986"/>
                    </a:xfrm>
                    <a:prstGeom prst="rect">
                      <a:avLst/>
                    </a:prstGeom>
                    <a:noFill/>
                    <a:ln>
                      <a:noFill/>
                    </a:ln>
                  </pic:spPr>
                </pic:pic>
              </a:graphicData>
            </a:graphic>
          </wp:inline>
        </w:drawing>
      </w:r>
    </w:p>
    <w:p w:rsidR="00AE0B1A" w:rsidRDefault="00AE0B1A" w:rsidP="00AE0B1A">
      <w:pPr>
        <w:pStyle w:val="Caption"/>
      </w:pPr>
      <w:bookmarkStart w:id="687" w:name="_Ref372804889"/>
      <w:bookmarkStart w:id="688" w:name="_Toc373095020"/>
      <w:bookmarkStart w:id="689" w:name="_Toc378252750"/>
      <w:bookmarkStart w:id="690" w:name="_Toc378253074"/>
      <w:bookmarkStart w:id="691" w:name="_Toc378253398"/>
      <w:bookmarkStart w:id="692" w:name="_Toc378253722"/>
      <w:bookmarkStart w:id="693" w:name="_Toc378254046"/>
      <w:bookmarkStart w:id="694" w:name="_Toc378254370"/>
      <w:bookmarkStart w:id="695" w:name="_Toc378254694"/>
      <w:bookmarkStart w:id="696" w:name="_Toc378255018"/>
      <w:bookmarkStart w:id="697" w:name="_Toc378255367"/>
      <w:r>
        <w:t xml:space="preserve">Figure </w:t>
      </w:r>
      <w:fldSimple w:instr=" STYLEREF 1 \s ">
        <w:r w:rsidR="00F64E4F">
          <w:rPr>
            <w:noProof/>
          </w:rPr>
          <w:t>6</w:t>
        </w:r>
      </w:fldSimple>
      <w:r w:rsidR="00AE5C2D">
        <w:t>.</w:t>
      </w:r>
      <w:fldSimple w:instr=" SEQ Figure \* ARABIC \s 1 ">
        <w:r w:rsidR="00F64E4F">
          <w:rPr>
            <w:noProof/>
          </w:rPr>
          <w:t>12</w:t>
        </w:r>
      </w:fldSimple>
      <w:bookmarkEnd w:id="687"/>
      <w:r>
        <w:t xml:space="preserve"> </w:t>
      </w:r>
      <w:r w:rsidRPr="00A23E67">
        <w:t>Photomicrographs and mineral and porosity maps for selected core samples of the Bathurst Island Group.</w:t>
      </w:r>
      <w:r w:rsidRPr="00594428">
        <w:t xml:space="preserve"> </w:t>
      </w:r>
      <w:r>
        <w:t>(a-b)</w:t>
      </w:r>
      <w:r w:rsidRPr="00CB6B84">
        <w:t xml:space="preserve"> </w:t>
      </w:r>
      <w:proofErr w:type="spellStart"/>
      <w:r w:rsidRPr="00CB6B84">
        <w:t>Wangarl</w:t>
      </w:r>
      <w:r>
        <w:t>u</w:t>
      </w:r>
      <w:proofErr w:type="spellEnd"/>
      <w:r>
        <w:t xml:space="preserve"> Formation, Petrel 1, 1603 m. (a) Mineral map.</w:t>
      </w:r>
      <w:r w:rsidRPr="00CB6B84">
        <w:t xml:space="preserve"> </w:t>
      </w:r>
      <w:r>
        <w:t>(b)</w:t>
      </w:r>
      <w:r w:rsidRPr="00CB6B84">
        <w:t xml:space="preserve"> Porosity maps, defined by regions with no minerals</w:t>
      </w:r>
      <w:r>
        <w:t>, blue equates to open pores (porosity)</w:t>
      </w:r>
      <w:r w:rsidRPr="00CB6B84">
        <w:t>.</w:t>
      </w:r>
      <w:r>
        <w:t xml:space="preserve"> Mineral legend applies to (a). (c-d)</w:t>
      </w:r>
      <w:r w:rsidRPr="00CB6B84">
        <w:t xml:space="preserve"> </w:t>
      </w:r>
      <w:proofErr w:type="spellStart"/>
      <w:r w:rsidRPr="00CB6B84">
        <w:t>Wangarlu</w:t>
      </w:r>
      <w:proofErr w:type="spellEnd"/>
      <w:r w:rsidRPr="00CB6B84">
        <w:t xml:space="preserve"> Formation</w:t>
      </w:r>
      <w:r>
        <w:t>,</w:t>
      </w:r>
      <w:r w:rsidRPr="00CB6B84">
        <w:t xml:space="preserve"> </w:t>
      </w:r>
      <w:r>
        <w:t>Gull 1</w:t>
      </w:r>
      <w:r w:rsidRPr="00CB6B84">
        <w:t xml:space="preserve">, 1536 m. </w:t>
      </w:r>
      <w:r>
        <w:t>(c) Mineral m</w:t>
      </w:r>
      <w:r w:rsidRPr="00CB6B84">
        <w:t xml:space="preserve">ap. </w:t>
      </w:r>
      <w:r>
        <w:t>(d)</w:t>
      </w:r>
      <w:r w:rsidRPr="00CB6B84">
        <w:t xml:space="preserve"> Porosity map, defined by regions with no minerals</w:t>
      </w:r>
      <w:r>
        <w:t>, blue equates to open pores (porosity)</w:t>
      </w:r>
      <w:r w:rsidRPr="00CB6B84">
        <w:t>.</w:t>
      </w:r>
      <w:r w:rsidRPr="009C7F7C">
        <w:t xml:space="preserve"> </w:t>
      </w:r>
      <w:r>
        <w:t>Mineral legend applies to (c). (e-g)</w:t>
      </w:r>
      <w:r w:rsidRPr="00CB6B84">
        <w:t xml:space="preserve">. Darwin Formation, </w:t>
      </w:r>
      <w:r>
        <w:t>Jacaranda 1</w:t>
      </w:r>
      <w:r w:rsidRPr="00CB6B84">
        <w:t xml:space="preserve">, 2868.6 m. </w:t>
      </w:r>
      <w:r>
        <w:t xml:space="preserve">(e) </w:t>
      </w:r>
      <w:r w:rsidRPr="00CB6B84">
        <w:t xml:space="preserve">Thin section photomicrograph illustrating the occurrence of quartz and </w:t>
      </w:r>
      <w:proofErr w:type="spellStart"/>
      <w:r w:rsidRPr="00CB6B84">
        <w:t>glauconite</w:t>
      </w:r>
      <w:proofErr w:type="spellEnd"/>
      <w:r w:rsidRPr="00CB6B84">
        <w:t xml:space="preserve"> grains within carbonate cement and carbona</w:t>
      </w:r>
      <w:r>
        <w:t>te replacement of these grains, c</w:t>
      </w:r>
      <w:r w:rsidRPr="00CB6B84">
        <w:t xml:space="preserve">ross polarized light. </w:t>
      </w:r>
      <w:r>
        <w:t>(f)</w:t>
      </w:r>
      <w:r w:rsidRPr="00CB6B84">
        <w:t xml:space="preserve"> Mineral map. </w:t>
      </w:r>
      <w:r>
        <w:t>(g)</w:t>
      </w:r>
      <w:r w:rsidRPr="00CB6B84">
        <w:t xml:space="preserve"> Porosity maps, defined by regions with no minerals</w:t>
      </w:r>
      <w:r>
        <w:t>, blue equates to open pores (porosity)</w:t>
      </w:r>
      <w:r w:rsidRPr="00CB6B84">
        <w:t>.</w:t>
      </w:r>
      <w:r>
        <w:t xml:space="preserve"> Mineral legend applies to (f). (h-j)</w:t>
      </w:r>
      <w:r w:rsidRPr="00CB6B84">
        <w:t xml:space="preserve"> Echuca Shoals Form</w:t>
      </w:r>
      <w:r>
        <w:t>ation, Jacaranda 1, 2871.7 m. (h)</w:t>
      </w:r>
      <w:r w:rsidRPr="00CB6B84">
        <w:t xml:space="preserve"> Thin section photomicrograph illustrating the occurrence of quartz grains wi</w:t>
      </w:r>
      <w:r>
        <w:t>thin clay and silt rich matrix, cross polarised light. (</w:t>
      </w:r>
      <w:proofErr w:type="spellStart"/>
      <w:r>
        <w:t>i</w:t>
      </w:r>
      <w:proofErr w:type="spellEnd"/>
      <w:r>
        <w:t>)</w:t>
      </w:r>
      <w:r w:rsidRPr="00CB6B84">
        <w:t xml:space="preserve"> Mineral map. </w:t>
      </w:r>
      <w:r>
        <w:t xml:space="preserve">(j) </w:t>
      </w:r>
      <w:r w:rsidRPr="00CB6B84">
        <w:t>Porosity maps, defined by regions with no minerals</w:t>
      </w:r>
      <w:r>
        <w:t>, blue equates to open pores (porosity)</w:t>
      </w:r>
      <w:r w:rsidRPr="00CB6B84">
        <w:t>.</w:t>
      </w:r>
      <w:r w:rsidRPr="009C7F7C">
        <w:t xml:space="preserve"> </w:t>
      </w:r>
      <w:r>
        <w:t>Mineral legend applies to (</w:t>
      </w:r>
      <w:proofErr w:type="spellStart"/>
      <w:r>
        <w:t>i</w:t>
      </w:r>
      <w:proofErr w:type="spellEnd"/>
      <w:r>
        <w:t xml:space="preserve">). Note: scales in a, c, f and </w:t>
      </w:r>
      <w:proofErr w:type="spellStart"/>
      <w:r>
        <w:t>i</w:t>
      </w:r>
      <w:proofErr w:type="spellEnd"/>
      <w:r>
        <w:t>, refer to images in b, d, g, and j, respectively. Thin sections taken from Appendix C and mineral maps are taken from Appendix E.</w:t>
      </w:r>
      <w:r w:rsidRPr="001F7460">
        <w:t xml:space="preserve"> </w:t>
      </w:r>
      <w:r>
        <w:t xml:space="preserve">Note: Mineral Maps defining </w:t>
      </w:r>
      <w:r w:rsidRPr="00255748">
        <w:t xml:space="preserve">quartz/kaolinite and unclassified and traces categories may include some </w:t>
      </w:r>
      <w:proofErr w:type="spellStart"/>
      <w:r w:rsidRPr="00255748">
        <w:t>smectitic</w:t>
      </w:r>
      <w:proofErr w:type="spellEnd"/>
      <w:r w:rsidRPr="00255748">
        <w:t xml:space="preserve"> components that are not resolvable.</w:t>
      </w:r>
      <w:bookmarkEnd w:id="688"/>
      <w:bookmarkEnd w:id="689"/>
      <w:bookmarkEnd w:id="690"/>
      <w:bookmarkEnd w:id="691"/>
      <w:bookmarkEnd w:id="692"/>
      <w:bookmarkEnd w:id="693"/>
      <w:bookmarkEnd w:id="694"/>
      <w:bookmarkEnd w:id="695"/>
      <w:bookmarkEnd w:id="696"/>
      <w:bookmarkEnd w:id="697"/>
    </w:p>
    <w:p w:rsidR="00AE0B1A" w:rsidRDefault="00AE0B1A" w:rsidP="00AE0B1A">
      <w:pPr>
        <w:pStyle w:val="Figuresandimagescentred"/>
      </w:pPr>
      <w:r>
        <w:rPr>
          <w:noProof/>
        </w:rPr>
        <w:lastRenderedPageBreak/>
        <w:drawing>
          <wp:inline distT="0" distB="0" distL="0" distR="0" wp14:anchorId="062A628D" wp14:editId="231372F9">
            <wp:extent cx="5760720" cy="3017909"/>
            <wp:effectExtent l="0" t="0" r="0" b="0"/>
            <wp:docPr id="56" name="Picture 56" descr="Due to the complexity of this document and the niche scientific target audience, no alternative description has been provided. Please email Geoscience Australia at clientservices@ga.gov.au for an alternative description." title="Fig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6finaldocs\9GA Record Concise Figures Final (GAV approved)\GAV Completed-Review\13-6963-5.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0720" cy="3017909"/>
                    </a:xfrm>
                    <a:prstGeom prst="rect">
                      <a:avLst/>
                    </a:prstGeom>
                    <a:noFill/>
                    <a:ln>
                      <a:noFill/>
                    </a:ln>
                  </pic:spPr>
                </pic:pic>
              </a:graphicData>
            </a:graphic>
          </wp:inline>
        </w:drawing>
      </w:r>
    </w:p>
    <w:p w:rsidR="00AE0B1A" w:rsidRDefault="00AE0B1A" w:rsidP="00AE0B1A">
      <w:pPr>
        <w:pStyle w:val="Caption"/>
      </w:pPr>
      <w:bookmarkStart w:id="698" w:name="_Ref372804897"/>
      <w:bookmarkStart w:id="699" w:name="_Toc373095021"/>
      <w:bookmarkStart w:id="700" w:name="_Toc378252751"/>
      <w:bookmarkStart w:id="701" w:name="_Toc378253075"/>
      <w:bookmarkStart w:id="702" w:name="_Toc378253399"/>
      <w:bookmarkStart w:id="703" w:name="_Toc378253723"/>
      <w:bookmarkStart w:id="704" w:name="_Toc378254047"/>
      <w:bookmarkStart w:id="705" w:name="_Toc378254371"/>
      <w:bookmarkStart w:id="706" w:name="_Toc378254695"/>
      <w:bookmarkStart w:id="707" w:name="_Toc378255019"/>
      <w:bookmarkStart w:id="708" w:name="_Toc378255368"/>
      <w:r>
        <w:t>Figure</w:t>
      </w:r>
      <w:r w:rsidR="00AE5C2D">
        <w:t> </w:t>
      </w:r>
      <w:fldSimple w:instr=" STYLEREF 1 \s ">
        <w:r w:rsidR="00F64E4F">
          <w:rPr>
            <w:noProof/>
          </w:rPr>
          <w:t>6</w:t>
        </w:r>
      </w:fldSimple>
      <w:r w:rsidR="00AE5C2D">
        <w:t>.</w:t>
      </w:r>
      <w:fldSimple w:instr=" SEQ Figure \* ARABIC \s 1 ">
        <w:r w:rsidR="00F64E4F">
          <w:rPr>
            <w:noProof/>
          </w:rPr>
          <w:t>13</w:t>
        </w:r>
      </w:fldSimple>
      <w:bookmarkEnd w:id="698"/>
      <w:r>
        <w:t xml:space="preserve"> </w:t>
      </w:r>
      <w:r w:rsidRPr="00DA6EB0">
        <w:t>Depth (a) and thickness (b) maps of the Bathurst Island Group</w:t>
      </w:r>
      <w:r>
        <w:t>.</w:t>
      </w:r>
      <w:bookmarkEnd w:id="699"/>
      <w:bookmarkEnd w:id="700"/>
      <w:bookmarkEnd w:id="701"/>
      <w:bookmarkEnd w:id="702"/>
      <w:bookmarkEnd w:id="703"/>
      <w:bookmarkEnd w:id="704"/>
      <w:bookmarkEnd w:id="705"/>
      <w:bookmarkEnd w:id="706"/>
      <w:bookmarkEnd w:id="707"/>
      <w:bookmarkEnd w:id="708"/>
    </w:p>
    <w:p w:rsidR="00AE0B1A" w:rsidRPr="009D5B2E" w:rsidRDefault="00AE0B1A" w:rsidP="00AE0B1A">
      <w:pPr>
        <w:pStyle w:val="BodyText"/>
      </w:pPr>
      <w:bookmarkStart w:id="709" w:name="_Toc364233497"/>
      <w:bookmarkEnd w:id="709"/>
      <w:r w:rsidRPr="00C94C2F">
        <w:t>In total, 42 major faults that cut the Mesozoic</w:t>
      </w:r>
      <w:r>
        <w:t>–</w:t>
      </w:r>
      <w:proofErr w:type="spellStart"/>
      <w:r>
        <w:t>Cenozoic</w:t>
      </w:r>
      <w:proofErr w:type="spellEnd"/>
      <w:r w:rsidRPr="00C94C2F">
        <w:t xml:space="preserve"> formations </w:t>
      </w:r>
      <w:r>
        <w:t>are</w:t>
      </w:r>
      <w:r w:rsidRPr="00C94C2F">
        <w:t xml:space="preserve"> mapped across the central and eastern flank of </w:t>
      </w:r>
      <w:r w:rsidRPr="00DE0603">
        <w:t>the sub-basin (</w:t>
      </w:r>
      <w:r>
        <w:fldChar w:fldCharType="begin"/>
      </w:r>
      <w:r>
        <w:instrText xml:space="preserve"> REF _Ref372289106 \h </w:instrText>
      </w:r>
      <w:r>
        <w:fldChar w:fldCharType="separate"/>
      </w:r>
      <w:r w:rsidR="00F64E4F">
        <w:t xml:space="preserve">Figure </w:t>
      </w:r>
      <w:r w:rsidR="00F64E4F">
        <w:rPr>
          <w:noProof/>
        </w:rPr>
        <w:t>2</w:t>
      </w:r>
      <w:r w:rsidR="00F64E4F">
        <w:t>.</w:t>
      </w:r>
      <w:r w:rsidR="00F64E4F">
        <w:rPr>
          <w:noProof/>
        </w:rPr>
        <w:t>4</w:t>
      </w:r>
      <w:r>
        <w:fldChar w:fldCharType="end"/>
      </w:r>
      <w:r w:rsidRPr="00DE0603">
        <w:t xml:space="preserve">). These faults are grouped into five provinces based on </w:t>
      </w:r>
      <w:r w:rsidRPr="00DE0603">
        <w:rPr>
          <w:bCs/>
        </w:rPr>
        <w:t>comparable genesis, orientation and geographical location (</w:t>
      </w:r>
      <w:r>
        <w:rPr>
          <w:bCs/>
        </w:rPr>
        <w:fldChar w:fldCharType="begin"/>
      </w:r>
      <w:r>
        <w:rPr>
          <w:bCs/>
        </w:rPr>
        <w:instrText xml:space="preserve"> REF _Ref372804946 \h </w:instrText>
      </w:r>
      <w:r>
        <w:rPr>
          <w:bCs/>
        </w:rPr>
      </w:r>
      <w:r>
        <w:rPr>
          <w:bCs/>
        </w:rPr>
        <w:fldChar w:fldCharType="separate"/>
      </w:r>
      <w:r w:rsidR="00F64E4F">
        <w:t>Figure </w:t>
      </w:r>
      <w:r w:rsidR="00F64E4F">
        <w:rPr>
          <w:noProof/>
        </w:rPr>
        <w:t>6</w:t>
      </w:r>
      <w:r w:rsidR="00F64E4F">
        <w:t>.</w:t>
      </w:r>
      <w:r w:rsidR="00F64E4F">
        <w:rPr>
          <w:noProof/>
        </w:rPr>
        <w:t>14</w:t>
      </w:r>
      <w:r>
        <w:rPr>
          <w:bCs/>
        </w:rPr>
        <w:fldChar w:fldCharType="end"/>
      </w:r>
      <w:r>
        <w:t>;</w:t>
      </w:r>
      <w:r w:rsidRPr="00367911">
        <w:t xml:space="preserve"> </w:t>
      </w:r>
      <w:r w:rsidR="00B30F18">
        <w:rPr>
          <w:bCs/>
        </w:rPr>
        <w:fldChar w:fldCharType="begin"/>
      </w:r>
      <w:r w:rsidR="00B30F18">
        <w:instrText xml:space="preserve"> REF _Ref380156614 \h </w:instrText>
      </w:r>
      <w:r w:rsidR="00B30F18">
        <w:rPr>
          <w:bCs/>
        </w:rPr>
      </w:r>
      <w:r w:rsidR="00B30F18">
        <w:rPr>
          <w:bCs/>
        </w:rPr>
        <w:fldChar w:fldCharType="separate"/>
      </w:r>
      <w:r w:rsidR="00F64E4F">
        <w:t xml:space="preserve">Table </w:t>
      </w:r>
      <w:r w:rsidR="00F64E4F">
        <w:rPr>
          <w:noProof/>
        </w:rPr>
        <w:t>6</w:t>
      </w:r>
      <w:r w:rsidR="00F64E4F">
        <w:t>.</w:t>
      </w:r>
      <w:r w:rsidR="00F64E4F">
        <w:rPr>
          <w:noProof/>
        </w:rPr>
        <w:t>4</w:t>
      </w:r>
      <w:r w:rsidR="00B30F18">
        <w:rPr>
          <w:bCs/>
        </w:rPr>
        <w:fldChar w:fldCharType="end"/>
      </w:r>
      <w:r w:rsidRPr="00367911">
        <w:rPr>
          <w:bCs/>
        </w:rPr>
        <w:t>)</w:t>
      </w:r>
      <w:r>
        <w:rPr>
          <w:bCs/>
        </w:rPr>
        <w:t>, as follows:</w:t>
      </w:r>
    </w:p>
    <w:p w:rsidR="00AE0B1A" w:rsidRPr="00C94C2F" w:rsidRDefault="00AE0B1A" w:rsidP="00AE0B1A">
      <w:pPr>
        <w:pStyle w:val="Listbulletlevel1numbered"/>
        <w:numPr>
          <w:ilvl w:val="0"/>
          <w:numId w:val="28"/>
        </w:numPr>
      </w:pPr>
      <w:r>
        <w:t>Northwest-southeast</w:t>
      </w:r>
      <w:r w:rsidRPr="00C94C2F">
        <w:t xml:space="preserve"> </w:t>
      </w:r>
      <w:r>
        <w:t xml:space="preserve">trending </w:t>
      </w:r>
      <w:r w:rsidRPr="00C94C2F">
        <w:t xml:space="preserve">normal conjugate faults (Province </w:t>
      </w:r>
      <w:r>
        <w:t>I</w:t>
      </w:r>
      <w:r w:rsidRPr="00C94C2F">
        <w:t>).</w:t>
      </w:r>
    </w:p>
    <w:p w:rsidR="00AE0B1A" w:rsidRPr="00C94C2F" w:rsidRDefault="00AE0B1A" w:rsidP="00AE0B1A">
      <w:pPr>
        <w:pStyle w:val="Listbulletlevel1numbered"/>
        <w:numPr>
          <w:ilvl w:val="0"/>
          <w:numId w:val="28"/>
        </w:numPr>
      </w:pPr>
      <w:r w:rsidRPr="00C94C2F">
        <w:t xml:space="preserve">South-eastern margin basin-bounding faults </w:t>
      </w:r>
      <w:r w:rsidRPr="00F27064">
        <w:rPr>
          <w:bCs/>
        </w:rPr>
        <w:t>(Province II).</w:t>
      </w:r>
    </w:p>
    <w:p w:rsidR="00AE0B1A" w:rsidRPr="00C94C2F" w:rsidRDefault="00AE0B1A" w:rsidP="00AE0B1A">
      <w:pPr>
        <w:pStyle w:val="Listbulletlevel1numbered"/>
        <w:numPr>
          <w:ilvl w:val="0"/>
          <w:numId w:val="28"/>
        </w:numPr>
      </w:pPr>
      <w:r w:rsidRPr="00F27064">
        <w:rPr>
          <w:bCs/>
        </w:rPr>
        <w:t>Eastern margin basin-bounding faults (Province III).</w:t>
      </w:r>
    </w:p>
    <w:p w:rsidR="00AE0B1A" w:rsidRPr="00C94C2F" w:rsidRDefault="00AE0B1A" w:rsidP="00AE0B1A">
      <w:pPr>
        <w:pStyle w:val="Listbulletlevel1numbered"/>
        <w:numPr>
          <w:ilvl w:val="0"/>
          <w:numId w:val="28"/>
        </w:numPr>
      </w:pPr>
      <w:r w:rsidRPr="00F27064">
        <w:rPr>
          <w:bCs/>
        </w:rPr>
        <w:t>East-west trending normal conjugate faults (Province IV).</w:t>
      </w:r>
    </w:p>
    <w:p w:rsidR="00AE0B1A" w:rsidRDefault="00AE0B1A" w:rsidP="00AE0B1A">
      <w:pPr>
        <w:pStyle w:val="Listbulletlevel1numbered"/>
        <w:numPr>
          <w:ilvl w:val="0"/>
          <w:numId w:val="28"/>
        </w:numPr>
        <w:rPr>
          <w:bCs/>
        </w:rPr>
      </w:pPr>
      <w:r w:rsidRPr="00F27064">
        <w:rPr>
          <w:bCs/>
        </w:rPr>
        <w:t xml:space="preserve">Salt </w:t>
      </w:r>
      <w:proofErr w:type="spellStart"/>
      <w:r w:rsidRPr="00F27064">
        <w:rPr>
          <w:bCs/>
        </w:rPr>
        <w:t>diapir</w:t>
      </w:r>
      <w:proofErr w:type="spellEnd"/>
      <w:r w:rsidRPr="00F27064">
        <w:rPr>
          <w:bCs/>
        </w:rPr>
        <w:t>-related faults (Province V).</w:t>
      </w:r>
    </w:p>
    <w:p w:rsidR="00AE0B1A" w:rsidRPr="008442DF" w:rsidRDefault="00AE0B1A" w:rsidP="00AE0B1A">
      <w:pPr>
        <w:pStyle w:val="Head3nonumbers"/>
      </w:pPr>
      <w:bookmarkStart w:id="710" w:name="_Toc378252900"/>
      <w:bookmarkStart w:id="711" w:name="_Toc378253224"/>
      <w:bookmarkStart w:id="712" w:name="_Toc378253548"/>
      <w:bookmarkStart w:id="713" w:name="_Toc378253872"/>
      <w:bookmarkStart w:id="714" w:name="_Toc378254196"/>
      <w:bookmarkStart w:id="715" w:name="_Toc378254520"/>
      <w:bookmarkStart w:id="716" w:name="_Toc378254844"/>
      <w:bookmarkStart w:id="717" w:name="_Toc378255168"/>
      <w:bookmarkStart w:id="718" w:name="_Toc383758226"/>
      <w:proofErr w:type="spellStart"/>
      <w:r w:rsidRPr="008442DF">
        <w:t>Geomechanical</w:t>
      </w:r>
      <w:proofErr w:type="spellEnd"/>
      <w:r w:rsidRPr="008442DF">
        <w:t xml:space="preserve"> Analysis</w:t>
      </w:r>
      <w:bookmarkEnd w:id="710"/>
      <w:bookmarkEnd w:id="711"/>
      <w:bookmarkEnd w:id="712"/>
      <w:bookmarkEnd w:id="713"/>
      <w:bookmarkEnd w:id="714"/>
      <w:bookmarkEnd w:id="715"/>
      <w:bookmarkEnd w:id="716"/>
      <w:bookmarkEnd w:id="717"/>
      <w:bookmarkEnd w:id="718"/>
    </w:p>
    <w:p w:rsidR="00AE0B1A" w:rsidRDefault="00AE0B1A" w:rsidP="00AE0B1A">
      <w:pPr>
        <w:pStyle w:val="BodyText"/>
      </w:pPr>
      <w:r w:rsidRPr="00C94C2F">
        <w:t xml:space="preserve">The </w:t>
      </w:r>
      <w:proofErr w:type="spellStart"/>
      <w:r w:rsidRPr="00C94C2F">
        <w:t>geomechanical</w:t>
      </w:r>
      <w:proofErr w:type="spellEnd"/>
      <w:r w:rsidRPr="00C94C2F">
        <w:t xml:space="preserve"> analysis of the</w:t>
      </w:r>
      <w:r>
        <w:t>se fault provinces</w:t>
      </w:r>
      <w:r w:rsidRPr="00C94C2F">
        <w:t xml:space="preserve"> aimed to constrain the in-situ stresses and rock strength and</w:t>
      </w:r>
      <w:r>
        <w:t xml:space="preserve"> to</w:t>
      </w:r>
      <w:r w:rsidRPr="00C94C2F">
        <w:t xml:space="preserve"> evaluate the risk of fault reactivation and leakage. The stress regime of the Petrel Sub</w:t>
      </w:r>
      <w:r>
        <w:t>-</w:t>
      </w:r>
      <w:r w:rsidRPr="00C94C2F">
        <w:t xml:space="preserve">basin is strike-slip </w:t>
      </w:r>
      <w:r>
        <w:t>based on</w:t>
      </w:r>
      <w:r w:rsidRPr="00C94C2F">
        <w:t xml:space="preserve"> well and earthquake data</w:t>
      </w:r>
      <w:r>
        <w:t xml:space="preserve"> (Appendix I)</w:t>
      </w:r>
      <w:r w:rsidRPr="00C94C2F">
        <w:t>. The</w:t>
      </w:r>
      <w:r>
        <w:t xml:space="preserve"> current</w:t>
      </w:r>
      <w:r w:rsidRPr="00C94C2F">
        <w:t xml:space="preserve"> regional maximum horizontal stress orientation is approximately in the </w:t>
      </w:r>
      <w:r>
        <w:t xml:space="preserve">northeast direction (54ºN; </w:t>
      </w:r>
      <w:r w:rsidRPr="009D5B2E">
        <w:rPr>
          <w:rStyle w:val="Italic"/>
        </w:rPr>
        <w:t>S</w:t>
      </w:r>
      <w:proofErr w:type="spellStart"/>
      <w:r w:rsidRPr="009D5B2E">
        <w:rPr>
          <w:rStyle w:val="Subscriptitalic"/>
        </w:rPr>
        <w:t>hmin</w:t>
      </w:r>
      <w:proofErr w:type="spellEnd"/>
      <w:r w:rsidRPr="00C94C2F">
        <w:t>&lt;</w:t>
      </w:r>
      <w:proofErr w:type="spellStart"/>
      <w:r w:rsidRPr="009D5B2E">
        <w:rPr>
          <w:rStyle w:val="Italic"/>
        </w:rPr>
        <w:t>Sv</w:t>
      </w:r>
      <w:proofErr w:type="spellEnd"/>
      <w:r w:rsidRPr="00C94C2F">
        <w:t>&lt;</w:t>
      </w:r>
      <w:r w:rsidRPr="009D5B2E">
        <w:rPr>
          <w:rStyle w:val="Italic"/>
        </w:rPr>
        <w:t>S</w:t>
      </w:r>
      <w:proofErr w:type="spellStart"/>
      <w:r w:rsidRPr="009D5B2E">
        <w:rPr>
          <w:rStyle w:val="Subscriptitalic"/>
        </w:rPr>
        <w:t>Hmax</w:t>
      </w:r>
      <w:proofErr w:type="spellEnd"/>
      <w:r w:rsidRPr="00DE0603">
        <w:t xml:space="preserve">; </w:t>
      </w:r>
      <w:r>
        <w:fldChar w:fldCharType="begin"/>
      </w:r>
      <w:r>
        <w:instrText xml:space="preserve"> REF _Ref372804975 \h </w:instrText>
      </w:r>
      <w:r>
        <w:fldChar w:fldCharType="separate"/>
      </w:r>
      <w:r w:rsidR="00F64E4F">
        <w:t>Figure </w:t>
      </w:r>
      <w:r w:rsidR="00F64E4F">
        <w:rPr>
          <w:noProof/>
        </w:rPr>
        <w:t>6</w:t>
      </w:r>
      <w:r w:rsidR="00F64E4F">
        <w:t>.</w:t>
      </w:r>
      <w:r w:rsidR="00F64E4F">
        <w:rPr>
          <w:noProof/>
        </w:rPr>
        <w:t>15</w:t>
      </w:r>
      <w:r>
        <w:fldChar w:fldCharType="end"/>
      </w:r>
      <w:r w:rsidRPr="00DE0603">
        <w:t>). In this stress regime, the fault reactivation risk was calculated using four scenarios with variable parameters. The four scenarios have variable</w:t>
      </w:r>
      <w:r w:rsidRPr="009D5B2E">
        <w:rPr>
          <w:rStyle w:val="Italic"/>
        </w:rPr>
        <w:t xml:space="preserve"> S</w:t>
      </w:r>
      <w:proofErr w:type="spellStart"/>
      <w:r w:rsidRPr="009D5B2E">
        <w:rPr>
          <w:rStyle w:val="Subscriptitalic"/>
        </w:rPr>
        <w:t>hmin</w:t>
      </w:r>
      <w:proofErr w:type="spellEnd"/>
      <w:r w:rsidRPr="00DE0603">
        <w:t xml:space="preserve"> and </w:t>
      </w:r>
      <w:r w:rsidRPr="009D5B2E">
        <w:rPr>
          <w:rStyle w:val="Italic"/>
        </w:rPr>
        <w:t>S</w:t>
      </w:r>
      <w:proofErr w:type="spellStart"/>
      <w:r w:rsidRPr="009D5B2E">
        <w:rPr>
          <w:rStyle w:val="Subscriptitalic"/>
        </w:rPr>
        <w:t>Hmax</w:t>
      </w:r>
      <w:proofErr w:type="spellEnd"/>
      <w:r w:rsidRPr="009D5B2E">
        <w:rPr>
          <w:rStyle w:val="Subscript"/>
        </w:rPr>
        <w:t xml:space="preserve"> </w:t>
      </w:r>
      <w:r w:rsidRPr="00DE0603">
        <w:t xml:space="preserve">ranging from minimal to maximum </w:t>
      </w:r>
      <w:r w:rsidRPr="009D5B2E">
        <w:rPr>
          <w:rStyle w:val="Italic"/>
        </w:rPr>
        <w:t>S</w:t>
      </w:r>
      <w:proofErr w:type="spellStart"/>
      <w:r w:rsidRPr="009D5B2E">
        <w:rPr>
          <w:rStyle w:val="Subscriptitalic"/>
        </w:rPr>
        <w:t>Hmax</w:t>
      </w:r>
      <w:proofErr w:type="spellEnd"/>
      <w:r w:rsidRPr="009D5B2E">
        <w:rPr>
          <w:rStyle w:val="Italic"/>
        </w:rPr>
        <w:t xml:space="preserve"> </w:t>
      </w:r>
      <w:r w:rsidRPr="00DE0603">
        <w:t>versus either lower bound or best-fit S</w:t>
      </w:r>
      <w:proofErr w:type="spellStart"/>
      <w:r w:rsidRPr="009D5B2E">
        <w:rPr>
          <w:rStyle w:val="Subscriptitalic"/>
        </w:rPr>
        <w:t>hmin</w:t>
      </w:r>
      <w:proofErr w:type="spellEnd"/>
      <w:r w:rsidRPr="00DE0603">
        <w:t xml:space="preserve">. These broad ranges of scenarios would therefore probably incorporate the actual in-situ stress </w:t>
      </w:r>
      <w:r>
        <w:t>currently in</w:t>
      </w:r>
      <w:r w:rsidRPr="00DE0603">
        <w:t xml:space="preserve"> the sub-basin (</w:t>
      </w:r>
      <w:r>
        <w:fldChar w:fldCharType="begin"/>
      </w:r>
      <w:r>
        <w:instrText xml:space="preserve"> REF _Ref372804984 \h </w:instrText>
      </w:r>
      <w:r>
        <w:fldChar w:fldCharType="separate"/>
      </w:r>
      <w:r w:rsidR="00F64E4F">
        <w:t xml:space="preserve">Figure </w:t>
      </w:r>
      <w:r w:rsidR="00F64E4F">
        <w:rPr>
          <w:noProof/>
        </w:rPr>
        <w:t>6</w:t>
      </w:r>
      <w:r w:rsidR="00F64E4F">
        <w:t>.</w:t>
      </w:r>
      <w:r w:rsidR="00F64E4F">
        <w:rPr>
          <w:noProof/>
        </w:rPr>
        <w:t>16</w:t>
      </w:r>
      <w:r>
        <w:fldChar w:fldCharType="end"/>
      </w:r>
      <w:r>
        <w:t>;</w:t>
      </w:r>
      <w:r w:rsidRPr="00DE0603">
        <w:t xml:space="preserve"> </w:t>
      </w:r>
      <w:r w:rsidR="00B30F18">
        <w:fldChar w:fldCharType="begin"/>
      </w:r>
      <w:r w:rsidR="00B30F18">
        <w:instrText xml:space="preserve"> REF _Ref380156852 \h </w:instrText>
      </w:r>
      <w:r w:rsidR="00B30F18">
        <w:fldChar w:fldCharType="separate"/>
      </w:r>
      <w:r w:rsidR="00F64E4F">
        <w:t>Table </w:t>
      </w:r>
      <w:r w:rsidR="00F64E4F">
        <w:rPr>
          <w:noProof/>
        </w:rPr>
        <w:t>6</w:t>
      </w:r>
      <w:r w:rsidR="00F64E4F">
        <w:t>.</w:t>
      </w:r>
      <w:r w:rsidR="00F64E4F">
        <w:rPr>
          <w:noProof/>
        </w:rPr>
        <w:t>5</w:t>
      </w:r>
      <w:r w:rsidR="00B30F18">
        <w:fldChar w:fldCharType="end"/>
      </w:r>
      <w:r w:rsidRPr="00DE0603">
        <w:t>). Scenario one is viewed as the base case scenario and the results from that scenario will only be referenced</w:t>
      </w:r>
      <w:r>
        <w:t>.</w:t>
      </w:r>
    </w:p>
    <w:p w:rsidR="00AE0B1A" w:rsidRDefault="00AE0B1A" w:rsidP="00AE0B1A">
      <w:pPr>
        <w:pStyle w:val="Figuresandimagescentred"/>
      </w:pPr>
      <w:r>
        <w:rPr>
          <w:noProof/>
        </w:rPr>
        <w:lastRenderedPageBreak/>
        <w:drawing>
          <wp:inline distT="0" distB="0" distL="0" distR="0" wp14:anchorId="3C2E7354" wp14:editId="5D0B322F">
            <wp:extent cx="5345401" cy="7829419"/>
            <wp:effectExtent l="0" t="0" r="8255" b="635"/>
            <wp:docPr id="58" name="Picture 58" descr="Due to the complexity of this document and the niche scientific target audience, no alternative description has been provided. Please email Geoscience Australia at clientservices@ga.gov.au for an alternative description." title="Fig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6finaldocs\9GA Record Concise Figures Final (GAV approved)\GAV Completed-Review\13-6963-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345401" cy="7829419"/>
                    </a:xfrm>
                    <a:prstGeom prst="rect">
                      <a:avLst/>
                    </a:prstGeom>
                    <a:noFill/>
                    <a:ln>
                      <a:noFill/>
                    </a:ln>
                  </pic:spPr>
                </pic:pic>
              </a:graphicData>
            </a:graphic>
          </wp:inline>
        </w:drawing>
      </w:r>
    </w:p>
    <w:p w:rsidR="00AE0B1A" w:rsidRPr="00BE1E47" w:rsidRDefault="00AE0B1A" w:rsidP="00AE0B1A">
      <w:pPr>
        <w:pStyle w:val="Caption"/>
      </w:pPr>
      <w:bookmarkStart w:id="719" w:name="_Ref372804946"/>
      <w:bookmarkStart w:id="720" w:name="_Toc373095022"/>
      <w:bookmarkStart w:id="721" w:name="_Toc378252752"/>
      <w:bookmarkStart w:id="722" w:name="_Toc378253076"/>
      <w:bookmarkStart w:id="723" w:name="_Toc378253400"/>
      <w:bookmarkStart w:id="724" w:name="_Toc378253724"/>
      <w:bookmarkStart w:id="725" w:name="_Toc378254048"/>
      <w:bookmarkStart w:id="726" w:name="_Toc378254372"/>
      <w:bookmarkStart w:id="727" w:name="_Toc378254696"/>
      <w:bookmarkStart w:id="728" w:name="_Toc378255020"/>
      <w:bookmarkStart w:id="729" w:name="_Toc378255369"/>
      <w:r>
        <w:t>Figure</w:t>
      </w:r>
      <w:r w:rsidR="00AE5C2D">
        <w:t> </w:t>
      </w:r>
      <w:fldSimple w:instr=" STYLEREF 1 \s ">
        <w:r w:rsidR="00F64E4F">
          <w:rPr>
            <w:noProof/>
          </w:rPr>
          <w:t>6</w:t>
        </w:r>
      </w:fldSimple>
      <w:r w:rsidR="00AE5C2D">
        <w:t>.</w:t>
      </w:r>
      <w:fldSimple w:instr=" SEQ Figure \* ARABIC \s 1 ">
        <w:r w:rsidR="00F64E4F">
          <w:rPr>
            <w:noProof/>
          </w:rPr>
          <w:t>14</w:t>
        </w:r>
      </w:fldSimple>
      <w:bookmarkEnd w:id="719"/>
      <w:r>
        <w:t xml:space="preserve"> </w:t>
      </w:r>
      <w:r w:rsidRPr="00202174">
        <w:t>Structural provinces of this study. Province I, north trending conjugate, normal faults; Provinces II and III, basin-bounding faults on the eastern margin of the study area, Province IV, east trending conjugate, normal faults; Province</w:t>
      </w:r>
      <w:r>
        <w:t xml:space="preserve"> V, salt-related faults.</w:t>
      </w:r>
      <w:bookmarkEnd w:id="720"/>
      <w:bookmarkEnd w:id="721"/>
      <w:bookmarkEnd w:id="722"/>
      <w:bookmarkEnd w:id="723"/>
      <w:bookmarkEnd w:id="724"/>
      <w:bookmarkEnd w:id="725"/>
      <w:bookmarkEnd w:id="726"/>
      <w:bookmarkEnd w:id="727"/>
      <w:bookmarkEnd w:id="728"/>
      <w:bookmarkEnd w:id="729"/>
    </w:p>
    <w:p w:rsidR="00AE0B1A" w:rsidRDefault="00AE0B1A" w:rsidP="00AE0B1A">
      <w:pPr>
        <w:pStyle w:val="Tabletitle"/>
      </w:pPr>
      <w:bookmarkStart w:id="730" w:name="_Ref380156614"/>
      <w:bookmarkStart w:id="731" w:name="_Toc372790380"/>
      <w:bookmarkStart w:id="732" w:name="_Toc378252834"/>
      <w:bookmarkStart w:id="733" w:name="_Toc378253158"/>
      <w:bookmarkStart w:id="734" w:name="_Toc378253482"/>
      <w:bookmarkStart w:id="735" w:name="_Toc378253806"/>
      <w:bookmarkStart w:id="736" w:name="_Toc378254130"/>
      <w:bookmarkStart w:id="737" w:name="_Toc378254454"/>
      <w:bookmarkStart w:id="738" w:name="_Toc378254778"/>
      <w:bookmarkStart w:id="739" w:name="_Toc378255102"/>
      <w:bookmarkStart w:id="740" w:name="_Toc378255451"/>
      <w:r>
        <w:lastRenderedPageBreak/>
        <w:t xml:space="preserve">Table </w:t>
      </w:r>
      <w:fldSimple w:instr=" STYLEREF 1 \s ">
        <w:r w:rsidR="00F64E4F">
          <w:rPr>
            <w:noProof/>
          </w:rPr>
          <w:t>6</w:t>
        </w:r>
      </w:fldSimple>
      <w:r>
        <w:t>.</w:t>
      </w:r>
      <w:fldSimple w:instr=" SEQ Table \* ARABIC \s 1 ">
        <w:r w:rsidR="00F64E4F">
          <w:rPr>
            <w:noProof/>
          </w:rPr>
          <w:t>4</w:t>
        </w:r>
      </w:fldSimple>
      <w:bookmarkEnd w:id="730"/>
      <w:r>
        <w:t xml:space="preserve"> </w:t>
      </w:r>
      <w:r w:rsidRPr="001A70E7">
        <w:t>Fault summary for the Petrel Sub-basin.</w:t>
      </w:r>
      <w:bookmarkEnd w:id="731"/>
      <w:bookmarkEnd w:id="732"/>
      <w:bookmarkEnd w:id="733"/>
      <w:bookmarkEnd w:id="734"/>
      <w:bookmarkEnd w:id="735"/>
      <w:bookmarkEnd w:id="736"/>
      <w:bookmarkEnd w:id="737"/>
      <w:bookmarkEnd w:id="738"/>
      <w:bookmarkEnd w:id="739"/>
      <w:bookmarkEnd w:id="740"/>
    </w:p>
    <w:tbl>
      <w:tblPr>
        <w:tblStyle w:val="TableGAHeaderRow"/>
        <w:tblW w:w="9498" w:type="dxa"/>
        <w:tblLayout w:type="fixed"/>
        <w:tblLook w:val="04A0" w:firstRow="1" w:lastRow="0" w:firstColumn="1" w:lastColumn="0" w:noHBand="0" w:noVBand="1"/>
        <w:tblCaption w:val="Table 6.4"/>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993"/>
        <w:gridCol w:w="992"/>
        <w:gridCol w:w="1134"/>
        <w:gridCol w:w="709"/>
        <w:gridCol w:w="850"/>
        <w:gridCol w:w="1134"/>
        <w:gridCol w:w="1701"/>
        <w:gridCol w:w="851"/>
        <w:gridCol w:w="1134"/>
      </w:tblGrid>
      <w:tr w:rsidR="00AE0B1A" w:rsidRPr="0023576B" w:rsidTr="00016FA4">
        <w:trPr>
          <w:cnfStyle w:val="100000000000" w:firstRow="1" w:lastRow="0" w:firstColumn="0" w:lastColumn="0" w:oddVBand="0" w:evenVBand="0" w:oddHBand="0" w:evenHBand="0" w:firstRowFirstColumn="0" w:firstRowLastColumn="0" w:lastRowFirstColumn="0" w:lastRowLastColumn="0"/>
          <w:trHeight w:val="57"/>
          <w:tblHeader/>
        </w:trPr>
        <w:tc>
          <w:tcPr>
            <w:tcW w:w="993" w:type="dxa"/>
          </w:tcPr>
          <w:p w:rsidR="00AE0B1A" w:rsidRPr="000A4D73" w:rsidRDefault="00AE0B1A" w:rsidP="00FD0A94">
            <w:pPr>
              <w:pStyle w:val="Tabletextleft"/>
            </w:pPr>
            <w:r w:rsidRPr="000A4D73">
              <w:t>Fault Province</w:t>
            </w:r>
          </w:p>
        </w:tc>
        <w:tc>
          <w:tcPr>
            <w:tcW w:w="992" w:type="dxa"/>
          </w:tcPr>
          <w:p w:rsidR="00AE0B1A" w:rsidRPr="000A4D73" w:rsidRDefault="00AE0B1A" w:rsidP="00FD0A94">
            <w:pPr>
              <w:pStyle w:val="Tabletextleft"/>
            </w:pPr>
            <w:r>
              <w:t>Location</w:t>
            </w:r>
          </w:p>
        </w:tc>
        <w:tc>
          <w:tcPr>
            <w:tcW w:w="1134" w:type="dxa"/>
          </w:tcPr>
          <w:p w:rsidR="00AE0B1A" w:rsidRPr="000A4D73" w:rsidRDefault="00AE0B1A" w:rsidP="00FD0A94">
            <w:pPr>
              <w:pStyle w:val="Tabletextleft"/>
            </w:pPr>
            <w:r w:rsidRPr="000A4D73">
              <w:t>Genesis</w:t>
            </w:r>
          </w:p>
        </w:tc>
        <w:tc>
          <w:tcPr>
            <w:tcW w:w="709" w:type="dxa"/>
          </w:tcPr>
          <w:p w:rsidR="00AE0B1A" w:rsidRPr="000A4D73" w:rsidRDefault="00AE0B1A" w:rsidP="00FD0A94">
            <w:pPr>
              <w:pStyle w:val="Tabletextleft"/>
            </w:pPr>
            <w:r w:rsidRPr="000A4D73">
              <w:t>Av. Orien</w:t>
            </w:r>
            <w:r>
              <w:t>t</w:t>
            </w:r>
            <w:r w:rsidRPr="000A4D73">
              <w:t>.</w:t>
            </w:r>
          </w:p>
        </w:tc>
        <w:tc>
          <w:tcPr>
            <w:tcW w:w="850" w:type="dxa"/>
          </w:tcPr>
          <w:p w:rsidR="00AE0B1A" w:rsidRPr="000A4D73" w:rsidRDefault="00AE0B1A" w:rsidP="00FD0A94">
            <w:pPr>
              <w:pStyle w:val="Tabletextleft"/>
            </w:pPr>
            <w:r w:rsidRPr="000A4D73">
              <w:t xml:space="preserve">Dip </w:t>
            </w:r>
            <w:r>
              <w:br/>
            </w:r>
            <w:r w:rsidRPr="000A4D73">
              <w:t>(°)</w:t>
            </w:r>
          </w:p>
        </w:tc>
        <w:tc>
          <w:tcPr>
            <w:tcW w:w="1134" w:type="dxa"/>
          </w:tcPr>
          <w:p w:rsidR="00AE0B1A" w:rsidRPr="000A4D73" w:rsidRDefault="00AE0B1A" w:rsidP="00FD0A94">
            <w:pPr>
              <w:pStyle w:val="Tabletextleft"/>
            </w:pPr>
            <w:r w:rsidRPr="000A4D73">
              <w:t>Max. Length (km)</w:t>
            </w:r>
          </w:p>
        </w:tc>
        <w:tc>
          <w:tcPr>
            <w:tcW w:w="1701" w:type="dxa"/>
          </w:tcPr>
          <w:p w:rsidR="00AE0B1A" w:rsidRPr="000A4D73" w:rsidRDefault="00AE0B1A" w:rsidP="00FD0A94">
            <w:pPr>
              <w:pStyle w:val="Tabletextleft"/>
            </w:pPr>
            <w:r w:rsidRPr="000A4D73">
              <w:t>Formation Age Intersection</w:t>
            </w:r>
          </w:p>
        </w:tc>
        <w:tc>
          <w:tcPr>
            <w:tcW w:w="851" w:type="dxa"/>
          </w:tcPr>
          <w:p w:rsidR="00AE0B1A" w:rsidRPr="000A4D73" w:rsidRDefault="00AE0B1A" w:rsidP="00FD0A94">
            <w:pPr>
              <w:pStyle w:val="Tabletextleft"/>
            </w:pPr>
            <w:proofErr w:type="spellStart"/>
            <w:r w:rsidRPr="000A4D73">
              <w:t>Strat</w:t>
            </w:r>
            <w:proofErr w:type="spellEnd"/>
            <w:r w:rsidRPr="000A4D73">
              <w:t>. growth</w:t>
            </w:r>
          </w:p>
        </w:tc>
        <w:tc>
          <w:tcPr>
            <w:tcW w:w="1134" w:type="dxa"/>
          </w:tcPr>
          <w:p w:rsidR="00AE0B1A" w:rsidRPr="000A4D73" w:rsidRDefault="00AE0B1A" w:rsidP="00FD0A94">
            <w:pPr>
              <w:pStyle w:val="Tabletextleft"/>
            </w:pPr>
            <w:r w:rsidRPr="000A4D73">
              <w:t>Throw Max. (m)</w:t>
            </w:r>
          </w:p>
        </w:tc>
      </w:tr>
      <w:tr w:rsidR="00AE0B1A" w:rsidRPr="0023576B" w:rsidTr="00016FA4">
        <w:trPr>
          <w:cnfStyle w:val="000000100000" w:firstRow="0" w:lastRow="0" w:firstColumn="0" w:lastColumn="0" w:oddVBand="0" w:evenVBand="0" w:oddHBand="1" w:evenHBand="0" w:firstRowFirstColumn="0" w:firstRowLastColumn="0" w:lastRowFirstColumn="0" w:lastRowLastColumn="0"/>
          <w:cantSplit/>
          <w:trHeight w:val="57"/>
        </w:trPr>
        <w:tc>
          <w:tcPr>
            <w:tcW w:w="993" w:type="dxa"/>
          </w:tcPr>
          <w:p w:rsidR="00AE0B1A" w:rsidRPr="000A4D73" w:rsidRDefault="00AE0B1A" w:rsidP="00FD0A94">
            <w:pPr>
              <w:pStyle w:val="Tabletextleft"/>
            </w:pPr>
            <w:r>
              <w:t>I</w:t>
            </w:r>
          </w:p>
        </w:tc>
        <w:tc>
          <w:tcPr>
            <w:tcW w:w="992" w:type="dxa"/>
          </w:tcPr>
          <w:p w:rsidR="00AE0B1A" w:rsidRPr="000A4D73" w:rsidRDefault="00AE0B1A" w:rsidP="00AE0B1A">
            <w:pPr>
              <w:pStyle w:val="Tabletextleft"/>
            </w:pPr>
            <w:r w:rsidRPr="000A4D73">
              <w:t>North and east of Petrel Gas Field</w:t>
            </w:r>
          </w:p>
        </w:tc>
        <w:tc>
          <w:tcPr>
            <w:tcW w:w="1134" w:type="dxa"/>
          </w:tcPr>
          <w:p w:rsidR="00AE0B1A" w:rsidRPr="000A4D73" w:rsidRDefault="00AE0B1A" w:rsidP="00AE0B1A">
            <w:pPr>
              <w:pStyle w:val="Tabletextleft"/>
            </w:pPr>
            <w:r w:rsidRPr="000A4D73">
              <w:t>Normal; reactivated rift related</w:t>
            </w:r>
          </w:p>
        </w:tc>
        <w:tc>
          <w:tcPr>
            <w:tcW w:w="709" w:type="dxa"/>
          </w:tcPr>
          <w:p w:rsidR="00AE0B1A" w:rsidRPr="000A4D73" w:rsidRDefault="00AE0B1A" w:rsidP="00AE0B1A">
            <w:pPr>
              <w:pStyle w:val="Tabletextleft"/>
            </w:pPr>
            <w:r w:rsidRPr="000A4D73">
              <w:t>NW-SE</w:t>
            </w:r>
          </w:p>
        </w:tc>
        <w:tc>
          <w:tcPr>
            <w:tcW w:w="850" w:type="dxa"/>
          </w:tcPr>
          <w:p w:rsidR="00AE0B1A" w:rsidRPr="007831FC" w:rsidRDefault="00AE0B1A" w:rsidP="007831FC">
            <w:pPr>
              <w:pStyle w:val="Tabletextright"/>
            </w:pPr>
            <w:r w:rsidRPr="007831FC">
              <w:t>45-80</w:t>
            </w:r>
          </w:p>
        </w:tc>
        <w:tc>
          <w:tcPr>
            <w:tcW w:w="1134" w:type="dxa"/>
          </w:tcPr>
          <w:p w:rsidR="00AE0B1A" w:rsidRPr="000A4D73" w:rsidRDefault="00AE0B1A" w:rsidP="00FD0A94">
            <w:pPr>
              <w:pStyle w:val="Tabletextright"/>
            </w:pPr>
            <w:r w:rsidRPr="000A4D73">
              <w:t>48</w:t>
            </w:r>
          </w:p>
        </w:tc>
        <w:tc>
          <w:tcPr>
            <w:tcW w:w="1701" w:type="dxa"/>
          </w:tcPr>
          <w:p w:rsidR="00AE0B1A" w:rsidRPr="000A4D73" w:rsidRDefault="00AE0B1A" w:rsidP="00AE0B1A">
            <w:pPr>
              <w:pStyle w:val="Tabletextleft"/>
            </w:pPr>
            <w:r w:rsidRPr="000A4D73">
              <w:t>Triassic to Late Cretaceous</w:t>
            </w:r>
          </w:p>
        </w:tc>
        <w:tc>
          <w:tcPr>
            <w:tcW w:w="851" w:type="dxa"/>
          </w:tcPr>
          <w:p w:rsidR="00AE0B1A" w:rsidRPr="000A4D73" w:rsidRDefault="00AE0B1A" w:rsidP="00AE0B1A">
            <w:pPr>
              <w:pStyle w:val="Tabletextleft"/>
            </w:pPr>
            <w:r w:rsidRPr="000A4D73">
              <w:t>None</w:t>
            </w:r>
          </w:p>
        </w:tc>
        <w:tc>
          <w:tcPr>
            <w:tcW w:w="1134" w:type="dxa"/>
          </w:tcPr>
          <w:p w:rsidR="00AE0B1A" w:rsidRPr="000A4D73" w:rsidRDefault="00AE0B1A" w:rsidP="00FD0A94">
            <w:pPr>
              <w:pStyle w:val="Tabletextright"/>
            </w:pPr>
            <w:r w:rsidRPr="000A4D73">
              <w:t>180</w:t>
            </w:r>
          </w:p>
        </w:tc>
      </w:tr>
      <w:tr w:rsidR="00AE0B1A" w:rsidRPr="0023576B" w:rsidTr="00016FA4">
        <w:trPr>
          <w:cnfStyle w:val="000000010000" w:firstRow="0" w:lastRow="0" w:firstColumn="0" w:lastColumn="0" w:oddVBand="0" w:evenVBand="0" w:oddHBand="0" w:evenHBand="1" w:firstRowFirstColumn="0" w:firstRowLastColumn="0" w:lastRowFirstColumn="0" w:lastRowLastColumn="0"/>
          <w:cantSplit/>
          <w:trHeight w:val="57"/>
        </w:trPr>
        <w:tc>
          <w:tcPr>
            <w:tcW w:w="993" w:type="dxa"/>
          </w:tcPr>
          <w:p w:rsidR="00AE0B1A" w:rsidRPr="000A4D73" w:rsidRDefault="00AE0B1A" w:rsidP="00FD0A94">
            <w:pPr>
              <w:pStyle w:val="Tabletextleft"/>
            </w:pPr>
            <w:r>
              <w:t>II</w:t>
            </w:r>
          </w:p>
        </w:tc>
        <w:tc>
          <w:tcPr>
            <w:tcW w:w="992" w:type="dxa"/>
          </w:tcPr>
          <w:p w:rsidR="00AE0B1A" w:rsidRPr="000A4D73" w:rsidRDefault="00AE0B1A" w:rsidP="00AE0B1A">
            <w:pPr>
              <w:pStyle w:val="Tabletextleft"/>
            </w:pPr>
            <w:r w:rsidRPr="000A4D73">
              <w:t>South-eastern margin</w:t>
            </w:r>
          </w:p>
        </w:tc>
        <w:tc>
          <w:tcPr>
            <w:tcW w:w="1134" w:type="dxa"/>
          </w:tcPr>
          <w:p w:rsidR="00AE0B1A" w:rsidRPr="000A4D73" w:rsidRDefault="00AE0B1A" w:rsidP="00AE0B1A">
            <w:pPr>
              <w:pStyle w:val="Tabletextleft"/>
            </w:pPr>
            <w:r w:rsidRPr="000A4D73">
              <w:t>Normal; reactivated rift-related</w:t>
            </w:r>
          </w:p>
        </w:tc>
        <w:tc>
          <w:tcPr>
            <w:tcW w:w="709" w:type="dxa"/>
          </w:tcPr>
          <w:p w:rsidR="00AE0B1A" w:rsidRPr="000A4D73" w:rsidRDefault="00AE0B1A" w:rsidP="00AE0B1A">
            <w:pPr>
              <w:pStyle w:val="Tabletextleft"/>
            </w:pPr>
            <w:r w:rsidRPr="000A4D73">
              <w:t>NNW-SSE</w:t>
            </w:r>
          </w:p>
        </w:tc>
        <w:tc>
          <w:tcPr>
            <w:tcW w:w="850" w:type="dxa"/>
          </w:tcPr>
          <w:p w:rsidR="00AE0B1A" w:rsidRPr="007831FC" w:rsidRDefault="00AE0B1A" w:rsidP="007831FC">
            <w:pPr>
              <w:pStyle w:val="Tabletextright"/>
            </w:pPr>
            <w:r w:rsidRPr="007831FC">
              <w:t>30, 45, 60</w:t>
            </w:r>
          </w:p>
        </w:tc>
        <w:tc>
          <w:tcPr>
            <w:tcW w:w="1134" w:type="dxa"/>
          </w:tcPr>
          <w:p w:rsidR="00AE0B1A" w:rsidRPr="000A4D73" w:rsidRDefault="00AE0B1A" w:rsidP="00FD0A94">
            <w:pPr>
              <w:pStyle w:val="Tabletextright"/>
            </w:pPr>
            <w:r w:rsidRPr="000A4D73">
              <w:t>45</w:t>
            </w:r>
          </w:p>
        </w:tc>
        <w:tc>
          <w:tcPr>
            <w:tcW w:w="1701" w:type="dxa"/>
          </w:tcPr>
          <w:p w:rsidR="00AE0B1A" w:rsidRPr="000A4D73" w:rsidRDefault="00AE0B1A" w:rsidP="00AE0B1A">
            <w:pPr>
              <w:pStyle w:val="Tabletextleft"/>
            </w:pPr>
            <w:proofErr w:type="spellStart"/>
            <w:r>
              <w:t>Pal</w:t>
            </w:r>
            <w:r w:rsidRPr="000A4D73">
              <w:t>eozoic</w:t>
            </w:r>
            <w:proofErr w:type="spellEnd"/>
            <w:r w:rsidRPr="000A4D73">
              <w:t xml:space="preserve"> to the Mesozoic</w:t>
            </w:r>
          </w:p>
        </w:tc>
        <w:tc>
          <w:tcPr>
            <w:tcW w:w="851" w:type="dxa"/>
          </w:tcPr>
          <w:p w:rsidR="00AE0B1A" w:rsidRPr="000A4D73" w:rsidRDefault="00AE0B1A" w:rsidP="00AE0B1A">
            <w:pPr>
              <w:pStyle w:val="Tabletextleft"/>
            </w:pPr>
            <w:r w:rsidRPr="000A4D73">
              <w:t>None</w:t>
            </w:r>
          </w:p>
        </w:tc>
        <w:tc>
          <w:tcPr>
            <w:tcW w:w="1134" w:type="dxa"/>
          </w:tcPr>
          <w:p w:rsidR="00AE0B1A" w:rsidRPr="000A4D73" w:rsidRDefault="00AE0B1A" w:rsidP="00FD0A94">
            <w:pPr>
              <w:pStyle w:val="Tabletextright"/>
            </w:pPr>
            <w:r w:rsidRPr="000A4D73">
              <w:t>20</w:t>
            </w:r>
          </w:p>
        </w:tc>
      </w:tr>
      <w:tr w:rsidR="00AE0B1A" w:rsidRPr="0023576B" w:rsidTr="00016FA4">
        <w:trPr>
          <w:cnfStyle w:val="000000100000" w:firstRow="0" w:lastRow="0" w:firstColumn="0" w:lastColumn="0" w:oddVBand="0" w:evenVBand="0" w:oddHBand="1" w:evenHBand="0" w:firstRowFirstColumn="0" w:firstRowLastColumn="0" w:lastRowFirstColumn="0" w:lastRowLastColumn="0"/>
          <w:cantSplit/>
          <w:trHeight w:val="57"/>
        </w:trPr>
        <w:tc>
          <w:tcPr>
            <w:tcW w:w="993" w:type="dxa"/>
          </w:tcPr>
          <w:p w:rsidR="00AE0B1A" w:rsidRPr="000A4D73" w:rsidRDefault="00AE0B1A" w:rsidP="00FD0A94">
            <w:pPr>
              <w:pStyle w:val="Tabletextleft"/>
            </w:pPr>
            <w:r>
              <w:t>III</w:t>
            </w:r>
          </w:p>
        </w:tc>
        <w:tc>
          <w:tcPr>
            <w:tcW w:w="992" w:type="dxa"/>
          </w:tcPr>
          <w:p w:rsidR="00AE0B1A" w:rsidRPr="000A4D73" w:rsidRDefault="00AE0B1A" w:rsidP="00AE0B1A">
            <w:pPr>
              <w:pStyle w:val="Tabletextleft"/>
            </w:pPr>
            <w:r w:rsidRPr="000A4D73">
              <w:t>Eastern margin</w:t>
            </w:r>
          </w:p>
        </w:tc>
        <w:tc>
          <w:tcPr>
            <w:tcW w:w="1134" w:type="dxa"/>
          </w:tcPr>
          <w:p w:rsidR="00AE0B1A" w:rsidRPr="000A4D73" w:rsidRDefault="00AE0B1A" w:rsidP="00AE0B1A">
            <w:pPr>
              <w:pStyle w:val="Tabletextleft"/>
            </w:pPr>
            <w:r w:rsidRPr="000A4D73">
              <w:t>Normal; reactivated rift-related</w:t>
            </w:r>
          </w:p>
        </w:tc>
        <w:tc>
          <w:tcPr>
            <w:tcW w:w="709" w:type="dxa"/>
          </w:tcPr>
          <w:p w:rsidR="00AE0B1A" w:rsidRPr="000A4D73" w:rsidRDefault="00AE0B1A" w:rsidP="00AE0B1A">
            <w:pPr>
              <w:pStyle w:val="Tabletextleft"/>
            </w:pPr>
            <w:r w:rsidRPr="000A4D73">
              <w:t>NNW-SSE</w:t>
            </w:r>
          </w:p>
        </w:tc>
        <w:tc>
          <w:tcPr>
            <w:tcW w:w="850" w:type="dxa"/>
          </w:tcPr>
          <w:p w:rsidR="00AE0B1A" w:rsidRPr="007831FC" w:rsidRDefault="00AE0B1A" w:rsidP="007831FC">
            <w:pPr>
              <w:pStyle w:val="Tabletextright"/>
            </w:pPr>
            <w:r w:rsidRPr="007831FC">
              <w:t>45 to 70</w:t>
            </w:r>
          </w:p>
        </w:tc>
        <w:tc>
          <w:tcPr>
            <w:tcW w:w="1134" w:type="dxa"/>
          </w:tcPr>
          <w:p w:rsidR="00AE0B1A" w:rsidRPr="000A4D73" w:rsidRDefault="00AE0B1A" w:rsidP="00FD0A94">
            <w:pPr>
              <w:pStyle w:val="Tabletextright"/>
            </w:pPr>
            <w:r w:rsidRPr="000A4D73">
              <w:t>100</w:t>
            </w:r>
          </w:p>
        </w:tc>
        <w:tc>
          <w:tcPr>
            <w:tcW w:w="1701" w:type="dxa"/>
          </w:tcPr>
          <w:p w:rsidR="00AE0B1A" w:rsidRPr="000A4D73" w:rsidRDefault="00AE0B1A" w:rsidP="00AE0B1A">
            <w:pPr>
              <w:pStyle w:val="Tabletextleft"/>
            </w:pPr>
            <w:proofErr w:type="spellStart"/>
            <w:r w:rsidRPr="000A4D73">
              <w:t>Paleozoic</w:t>
            </w:r>
            <w:proofErr w:type="spellEnd"/>
            <w:r w:rsidRPr="000A4D73">
              <w:t>-Cretaceous</w:t>
            </w:r>
          </w:p>
        </w:tc>
        <w:tc>
          <w:tcPr>
            <w:tcW w:w="851" w:type="dxa"/>
          </w:tcPr>
          <w:p w:rsidR="00AE0B1A" w:rsidRPr="000A4D73" w:rsidRDefault="00AE0B1A" w:rsidP="00AE0B1A">
            <w:pPr>
              <w:pStyle w:val="Tabletextleft"/>
            </w:pPr>
            <w:r w:rsidRPr="000A4D73">
              <w:t>None</w:t>
            </w:r>
          </w:p>
        </w:tc>
        <w:tc>
          <w:tcPr>
            <w:tcW w:w="1134" w:type="dxa"/>
          </w:tcPr>
          <w:p w:rsidR="00AE0B1A" w:rsidRPr="000A4D73" w:rsidRDefault="00AE0B1A" w:rsidP="00FD0A94">
            <w:pPr>
              <w:pStyle w:val="Tabletextright"/>
            </w:pPr>
            <w:r w:rsidRPr="000A4D73">
              <w:t>100</w:t>
            </w:r>
          </w:p>
        </w:tc>
      </w:tr>
      <w:tr w:rsidR="00AE0B1A" w:rsidRPr="0023576B" w:rsidTr="00016FA4">
        <w:trPr>
          <w:cnfStyle w:val="000000010000" w:firstRow="0" w:lastRow="0" w:firstColumn="0" w:lastColumn="0" w:oddVBand="0" w:evenVBand="0" w:oddHBand="0" w:evenHBand="1" w:firstRowFirstColumn="0" w:firstRowLastColumn="0" w:lastRowFirstColumn="0" w:lastRowLastColumn="0"/>
          <w:cantSplit/>
          <w:trHeight w:val="57"/>
        </w:trPr>
        <w:tc>
          <w:tcPr>
            <w:tcW w:w="993" w:type="dxa"/>
          </w:tcPr>
          <w:p w:rsidR="00AE0B1A" w:rsidRPr="000A4D73" w:rsidRDefault="00AE0B1A" w:rsidP="00FD0A94">
            <w:pPr>
              <w:pStyle w:val="Tabletextleft"/>
            </w:pPr>
            <w:r>
              <w:t>IV</w:t>
            </w:r>
          </w:p>
        </w:tc>
        <w:tc>
          <w:tcPr>
            <w:tcW w:w="992" w:type="dxa"/>
          </w:tcPr>
          <w:p w:rsidR="00AE0B1A" w:rsidRPr="000A4D73" w:rsidRDefault="00AE0B1A" w:rsidP="00AE0B1A">
            <w:pPr>
              <w:pStyle w:val="Tabletextleft"/>
            </w:pPr>
            <w:r w:rsidRPr="000A4D73">
              <w:t>Northern Petrel</w:t>
            </w:r>
          </w:p>
        </w:tc>
        <w:tc>
          <w:tcPr>
            <w:tcW w:w="1134" w:type="dxa"/>
          </w:tcPr>
          <w:p w:rsidR="00AE0B1A" w:rsidRPr="000A4D73" w:rsidRDefault="00AE0B1A" w:rsidP="00AE0B1A">
            <w:pPr>
              <w:pStyle w:val="Tabletextleft"/>
            </w:pPr>
            <w:r w:rsidRPr="000A4D73">
              <w:t>Normal, unknown</w:t>
            </w:r>
          </w:p>
        </w:tc>
        <w:tc>
          <w:tcPr>
            <w:tcW w:w="709" w:type="dxa"/>
          </w:tcPr>
          <w:p w:rsidR="00AE0B1A" w:rsidRPr="000A4D73" w:rsidRDefault="00AE0B1A" w:rsidP="00AE0B1A">
            <w:pPr>
              <w:pStyle w:val="Tabletextleft"/>
            </w:pPr>
            <w:r w:rsidRPr="000A4D73">
              <w:t>E-W</w:t>
            </w:r>
          </w:p>
        </w:tc>
        <w:tc>
          <w:tcPr>
            <w:tcW w:w="850" w:type="dxa"/>
          </w:tcPr>
          <w:p w:rsidR="00AE0B1A" w:rsidRPr="007831FC" w:rsidRDefault="00AE0B1A" w:rsidP="007831FC">
            <w:pPr>
              <w:pStyle w:val="Tabletextright"/>
            </w:pPr>
            <w:r w:rsidRPr="007831FC">
              <w:t>50 to 70</w:t>
            </w:r>
          </w:p>
        </w:tc>
        <w:tc>
          <w:tcPr>
            <w:tcW w:w="1134" w:type="dxa"/>
          </w:tcPr>
          <w:p w:rsidR="00AE0B1A" w:rsidRPr="000A4D73" w:rsidRDefault="00AE0B1A" w:rsidP="00FD0A94">
            <w:pPr>
              <w:pStyle w:val="Tabletextright"/>
            </w:pPr>
            <w:r w:rsidRPr="000A4D73">
              <w:t>20</w:t>
            </w:r>
          </w:p>
        </w:tc>
        <w:tc>
          <w:tcPr>
            <w:tcW w:w="1701" w:type="dxa"/>
          </w:tcPr>
          <w:p w:rsidR="00AE0B1A" w:rsidRPr="000A4D73" w:rsidRDefault="00AE0B1A" w:rsidP="00AE0B1A">
            <w:pPr>
              <w:pStyle w:val="Tabletextleft"/>
            </w:pPr>
            <w:r w:rsidRPr="000A4D73">
              <w:t>Triassic to Early Cretaceous</w:t>
            </w:r>
          </w:p>
        </w:tc>
        <w:tc>
          <w:tcPr>
            <w:tcW w:w="851" w:type="dxa"/>
          </w:tcPr>
          <w:p w:rsidR="00AE0B1A" w:rsidRPr="000A4D73" w:rsidRDefault="00AE0B1A" w:rsidP="00AE0B1A">
            <w:pPr>
              <w:pStyle w:val="Tabletextleft"/>
            </w:pPr>
            <w:r w:rsidRPr="000A4D73">
              <w:t>None</w:t>
            </w:r>
          </w:p>
        </w:tc>
        <w:tc>
          <w:tcPr>
            <w:tcW w:w="1134" w:type="dxa"/>
          </w:tcPr>
          <w:p w:rsidR="00AE0B1A" w:rsidRPr="000A4D73" w:rsidRDefault="00AE0B1A" w:rsidP="00FD0A94">
            <w:pPr>
              <w:pStyle w:val="Tabletextright"/>
            </w:pPr>
            <w:r w:rsidRPr="000A4D73">
              <w:t>120</w:t>
            </w:r>
          </w:p>
        </w:tc>
      </w:tr>
      <w:tr w:rsidR="00AE0B1A" w:rsidRPr="0023576B" w:rsidTr="00016FA4">
        <w:trPr>
          <w:cnfStyle w:val="000000100000" w:firstRow="0" w:lastRow="0" w:firstColumn="0" w:lastColumn="0" w:oddVBand="0" w:evenVBand="0" w:oddHBand="1" w:evenHBand="0" w:firstRowFirstColumn="0" w:firstRowLastColumn="0" w:lastRowFirstColumn="0" w:lastRowLastColumn="0"/>
          <w:cantSplit/>
          <w:trHeight w:val="57"/>
        </w:trPr>
        <w:tc>
          <w:tcPr>
            <w:tcW w:w="993" w:type="dxa"/>
          </w:tcPr>
          <w:p w:rsidR="00AE0B1A" w:rsidRPr="000A4D73" w:rsidRDefault="00AE0B1A" w:rsidP="00FD0A94">
            <w:pPr>
              <w:pStyle w:val="Tabletextleft"/>
            </w:pPr>
            <w:r>
              <w:t>V</w:t>
            </w:r>
          </w:p>
        </w:tc>
        <w:tc>
          <w:tcPr>
            <w:tcW w:w="992" w:type="dxa"/>
          </w:tcPr>
          <w:p w:rsidR="00AE0B1A" w:rsidRPr="000A4D73" w:rsidRDefault="0059537E" w:rsidP="00AE0B1A">
            <w:pPr>
              <w:pStyle w:val="Tabletextleft"/>
            </w:pPr>
            <w:r>
              <w:t xml:space="preserve">Salt </w:t>
            </w:r>
            <w:proofErr w:type="spellStart"/>
            <w:r>
              <w:t>diapirs</w:t>
            </w:r>
            <w:proofErr w:type="spellEnd"/>
            <w:r>
              <w:t xml:space="preserve"> (Gull 1</w:t>
            </w:r>
            <w:r w:rsidR="00AE0B1A" w:rsidRPr="000A4D73">
              <w:t xml:space="preserve"> and Curlew 1)</w:t>
            </w:r>
          </w:p>
        </w:tc>
        <w:tc>
          <w:tcPr>
            <w:tcW w:w="1134" w:type="dxa"/>
          </w:tcPr>
          <w:p w:rsidR="00AE0B1A" w:rsidRPr="000A4D73" w:rsidRDefault="00AE0B1A" w:rsidP="00AE0B1A">
            <w:pPr>
              <w:pStyle w:val="Tabletextleft"/>
            </w:pPr>
            <w:r w:rsidRPr="000A4D73">
              <w:t>Normal; salt movement</w:t>
            </w:r>
          </w:p>
        </w:tc>
        <w:tc>
          <w:tcPr>
            <w:tcW w:w="709" w:type="dxa"/>
          </w:tcPr>
          <w:p w:rsidR="00AE0B1A" w:rsidRPr="000A4D73" w:rsidRDefault="00AE0B1A" w:rsidP="00AE0B1A">
            <w:pPr>
              <w:pStyle w:val="Tabletextleft"/>
            </w:pPr>
            <w:r w:rsidRPr="000A4D73">
              <w:t>E-W</w:t>
            </w:r>
          </w:p>
        </w:tc>
        <w:tc>
          <w:tcPr>
            <w:tcW w:w="850" w:type="dxa"/>
          </w:tcPr>
          <w:p w:rsidR="00AE0B1A" w:rsidRPr="007831FC" w:rsidRDefault="00AE0B1A" w:rsidP="007831FC">
            <w:pPr>
              <w:pStyle w:val="Tabletextright"/>
            </w:pPr>
            <w:r w:rsidRPr="007831FC">
              <w:t>50 to 70</w:t>
            </w:r>
          </w:p>
        </w:tc>
        <w:tc>
          <w:tcPr>
            <w:tcW w:w="1134" w:type="dxa"/>
          </w:tcPr>
          <w:p w:rsidR="00AE0B1A" w:rsidRPr="000A4D73" w:rsidRDefault="00AE0B1A" w:rsidP="00FD0A94">
            <w:pPr>
              <w:pStyle w:val="Tabletextright"/>
            </w:pPr>
            <w:r w:rsidRPr="000A4D73">
              <w:t>23 (Gull 1)</w:t>
            </w:r>
          </w:p>
          <w:p w:rsidR="00AE0B1A" w:rsidRPr="000A4D73" w:rsidRDefault="00AE0B1A" w:rsidP="00FD0A94">
            <w:pPr>
              <w:pStyle w:val="Tabletextright"/>
            </w:pPr>
            <w:r w:rsidRPr="000A4D73">
              <w:t xml:space="preserve">16 </w:t>
            </w:r>
            <w:r>
              <w:br/>
            </w:r>
            <w:r w:rsidRPr="000A4D73">
              <w:t>(Curlew 1)</w:t>
            </w:r>
          </w:p>
        </w:tc>
        <w:tc>
          <w:tcPr>
            <w:tcW w:w="1701" w:type="dxa"/>
          </w:tcPr>
          <w:p w:rsidR="00AE0B1A" w:rsidRPr="000A4D73" w:rsidRDefault="00AE0B1A" w:rsidP="00AE0B1A">
            <w:pPr>
              <w:pStyle w:val="Tabletextleft"/>
            </w:pPr>
            <w:r w:rsidRPr="000A4D73">
              <w:t>Carboniferous to ?</w:t>
            </w:r>
            <w:proofErr w:type="spellStart"/>
            <w:r w:rsidRPr="000A4D73">
              <w:t>Paleocene</w:t>
            </w:r>
            <w:proofErr w:type="spellEnd"/>
          </w:p>
        </w:tc>
        <w:tc>
          <w:tcPr>
            <w:tcW w:w="851" w:type="dxa"/>
          </w:tcPr>
          <w:p w:rsidR="00AE0B1A" w:rsidRPr="000A4D73" w:rsidRDefault="00AE0B1A" w:rsidP="00AE0B1A">
            <w:pPr>
              <w:pStyle w:val="Tabletextleft"/>
            </w:pPr>
            <w:r w:rsidRPr="000A4D73">
              <w:t>None</w:t>
            </w:r>
          </w:p>
        </w:tc>
        <w:tc>
          <w:tcPr>
            <w:tcW w:w="1134" w:type="dxa"/>
          </w:tcPr>
          <w:p w:rsidR="00AE0B1A" w:rsidRPr="000A4D73" w:rsidRDefault="00AE0B1A" w:rsidP="00FD0A94">
            <w:pPr>
              <w:pStyle w:val="Tabletextright"/>
            </w:pPr>
            <w:r w:rsidRPr="000A4D73">
              <w:t>300</w:t>
            </w:r>
          </w:p>
          <w:p w:rsidR="00AE0B1A" w:rsidRPr="000A4D73" w:rsidRDefault="00AE0B1A" w:rsidP="00FD0A94">
            <w:pPr>
              <w:pStyle w:val="Tabletextright"/>
            </w:pPr>
            <w:r w:rsidRPr="000A4D73">
              <w:t>(Gull 1)</w:t>
            </w:r>
          </w:p>
          <w:p w:rsidR="00AE0B1A" w:rsidRPr="000A4D73" w:rsidRDefault="00AE0B1A" w:rsidP="00FD0A94">
            <w:pPr>
              <w:pStyle w:val="Tabletextright"/>
            </w:pPr>
            <w:r w:rsidRPr="000A4D73">
              <w:t xml:space="preserve">660 </w:t>
            </w:r>
            <w:r>
              <w:br/>
            </w:r>
            <w:r w:rsidRPr="000A4D73">
              <w:t>(Curlew 1)</w:t>
            </w:r>
          </w:p>
          <w:p w:rsidR="00AE0B1A" w:rsidRPr="000A4D73" w:rsidRDefault="00AE0B1A" w:rsidP="00FD0A94">
            <w:pPr>
              <w:pStyle w:val="Tabletextright"/>
            </w:pPr>
          </w:p>
        </w:tc>
      </w:tr>
    </w:tbl>
    <w:p w:rsidR="00AE0B1A" w:rsidRDefault="00AE0B1A" w:rsidP="00AE0B1A">
      <w:pPr>
        <w:pStyle w:val="Figuresandimagescentred"/>
      </w:pPr>
      <w:r w:rsidRPr="00255748">
        <w:rPr>
          <w:noProof/>
        </w:rPr>
        <w:drawing>
          <wp:inline distT="0" distB="0" distL="0" distR="0" wp14:anchorId="119118A8" wp14:editId="066BA7DF">
            <wp:extent cx="4472940" cy="3893820"/>
            <wp:effectExtent l="0" t="0" r="3810" b="0"/>
            <wp:docPr id="42" name="Picture 42" descr="Due to the complexity of this document and the niche scientific target audience, no alternative description has been provided. Please email Geoscience Australia at clientservices@ga.gov.au for an alternative description." title="Fig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6finaldocs\0.REVIEW GA Record Summary + Appendices Internal  Review\Reviewed Draft\New folder\13-7199-24.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1116" t="24327" r="11211" b="27748"/>
                    <a:stretch/>
                  </pic:blipFill>
                  <pic:spPr bwMode="auto">
                    <a:xfrm>
                      <a:off x="0" y="0"/>
                      <a:ext cx="4474567" cy="3895236"/>
                    </a:xfrm>
                    <a:prstGeom prst="rect">
                      <a:avLst/>
                    </a:prstGeom>
                    <a:noFill/>
                    <a:ln>
                      <a:noFill/>
                    </a:ln>
                    <a:extLst>
                      <a:ext uri="{53640926-AAD7-44D8-BBD7-CCE9431645EC}">
                        <a14:shadowObscured xmlns:a14="http://schemas.microsoft.com/office/drawing/2010/main"/>
                      </a:ext>
                    </a:extLst>
                  </pic:spPr>
                </pic:pic>
              </a:graphicData>
            </a:graphic>
          </wp:inline>
        </w:drawing>
      </w:r>
    </w:p>
    <w:p w:rsidR="00AE0B1A" w:rsidRPr="00C94C2F" w:rsidRDefault="00AE0B1A" w:rsidP="00AE0B1A">
      <w:pPr>
        <w:pStyle w:val="Caption"/>
      </w:pPr>
      <w:bookmarkStart w:id="741" w:name="_Ref372804975"/>
      <w:bookmarkStart w:id="742" w:name="_Toc373095023"/>
      <w:bookmarkStart w:id="743" w:name="_Toc378252753"/>
      <w:bookmarkStart w:id="744" w:name="_Toc378253077"/>
      <w:bookmarkStart w:id="745" w:name="_Toc378253401"/>
      <w:bookmarkStart w:id="746" w:name="_Toc378253725"/>
      <w:bookmarkStart w:id="747" w:name="_Toc378254049"/>
      <w:bookmarkStart w:id="748" w:name="_Toc378254373"/>
      <w:bookmarkStart w:id="749" w:name="_Toc378254697"/>
      <w:bookmarkStart w:id="750" w:name="_Toc378255021"/>
      <w:bookmarkStart w:id="751" w:name="_Toc378255370"/>
      <w:r>
        <w:t>Figure</w:t>
      </w:r>
      <w:r w:rsidR="00AE5C2D">
        <w:t> </w:t>
      </w:r>
      <w:fldSimple w:instr=" STYLEREF 1 \s ">
        <w:r w:rsidR="00F64E4F">
          <w:rPr>
            <w:noProof/>
          </w:rPr>
          <w:t>6</w:t>
        </w:r>
      </w:fldSimple>
      <w:r w:rsidR="00AE5C2D">
        <w:t>.</w:t>
      </w:r>
      <w:fldSimple w:instr=" SEQ Figure \* ARABIC \s 1 ">
        <w:r w:rsidR="00F64E4F">
          <w:rPr>
            <w:noProof/>
          </w:rPr>
          <w:t>15</w:t>
        </w:r>
      </w:fldSimple>
      <w:bookmarkEnd w:id="741"/>
      <w:r>
        <w:t xml:space="preserve"> </w:t>
      </w:r>
      <w:r w:rsidRPr="003F5A41">
        <w:t>Stress orientations (SH</w:t>
      </w:r>
      <w:r w:rsidRPr="00255748">
        <w:rPr>
          <w:rStyle w:val="Subscript"/>
        </w:rPr>
        <w:t>max</w:t>
      </w:r>
      <w:r w:rsidRPr="003F5A41">
        <w:t>) for the Timor Sea, from the Australasian Stress Map</w:t>
      </w:r>
      <w:r>
        <w:t xml:space="preserve"> (modified after </w:t>
      </w:r>
      <w:proofErr w:type="spellStart"/>
      <w:r>
        <w:t>Hillis</w:t>
      </w:r>
      <w:proofErr w:type="spellEnd"/>
      <w:r>
        <w:t xml:space="preserve"> and Reynolds, 2000 and World Stress Map, 2008) </w:t>
      </w:r>
      <w:r w:rsidRPr="003F5A41">
        <w:t>Borehole breakout directions are very consistent through the Petrel Sub-basin, with an average trend 54</w:t>
      </w:r>
      <w:r>
        <w:t>°</w:t>
      </w:r>
      <w:r w:rsidRPr="003F5A41">
        <w:t>. Arrows are the maximum horizontal stress direction as measured by</w:t>
      </w:r>
      <w:r>
        <w:t xml:space="preserve"> breakouts, f</w:t>
      </w:r>
      <w:r w:rsidRPr="00C94C2F">
        <w:rPr>
          <w:lang w:val="en-GB"/>
        </w:rPr>
        <w:t xml:space="preserve">rom Figure 13 </w:t>
      </w:r>
      <w:r w:rsidRPr="00C94C2F">
        <w:t xml:space="preserve">of Appendix </w:t>
      </w:r>
      <w:r>
        <w:t>I</w:t>
      </w:r>
      <w:r w:rsidRPr="00C94C2F">
        <w:t>.</w:t>
      </w:r>
      <w:bookmarkEnd w:id="742"/>
      <w:bookmarkEnd w:id="743"/>
      <w:bookmarkEnd w:id="744"/>
      <w:bookmarkEnd w:id="745"/>
      <w:bookmarkEnd w:id="746"/>
      <w:bookmarkEnd w:id="747"/>
      <w:bookmarkEnd w:id="748"/>
      <w:bookmarkEnd w:id="749"/>
      <w:bookmarkEnd w:id="750"/>
      <w:bookmarkEnd w:id="751"/>
    </w:p>
    <w:p w:rsidR="00AE0B1A" w:rsidRDefault="00AE0B1A" w:rsidP="00AE0B1A">
      <w:pPr>
        <w:pStyle w:val="Tabletitle"/>
      </w:pPr>
      <w:bookmarkStart w:id="752" w:name="_Ref380156852"/>
      <w:bookmarkStart w:id="753" w:name="_Toc372790381"/>
      <w:bookmarkStart w:id="754" w:name="_Toc378252835"/>
      <w:bookmarkStart w:id="755" w:name="_Toc378253159"/>
      <w:bookmarkStart w:id="756" w:name="_Toc378253483"/>
      <w:bookmarkStart w:id="757" w:name="_Toc378253807"/>
      <w:bookmarkStart w:id="758" w:name="_Toc378254131"/>
      <w:bookmarkStart w:id="759" w:name="_Toc378254455"/>
      <w:bookmarkStart w:id="760" w:name="_Toc378254779"/>
      <w:bookmarkStart w:id="761" w:name="_Toc378255103"/>
      <w:bookmarkStart w:id="762" w:name="_Toc378255452"/>
      <w:r>
        <w:lastRenderedPageBreak/>
        <w:t>Table</w:t>
      </w:r>
      <w:r w:rsidR="00AE5C2D">
        <w:t> </w:t>
      </w:r>
      <w:fldSimple w:instr=" STYLEREF 1 \s ">
        <w:r w:rsidR="00F64E4F">
          <w:rPr>
            <w:noProof/>
          </w:rPr>
          <w:t>6</w:t>
        </w:r>
      </w:fldSimple>
      <w:r>
        <w:t>.</w:t>
      </w:r>
      <w:fldSimple w:instr=" SEQ Table \* ARABIC \s 1 ">
        <w:r w:rsidR="00F64E4F">
          <w:rPr>
            <w:noProof/>
          </w:rPr>
          <w:t>5</w:t>
        </w:r>
      </w:fldSimple>
      <w:bookmarkEnd w:id="752"/>
      <w:r>
        <w:t xml:space="preserve"> </w:t>
      </w:r>
      <w:r w:rsidRPr="00CD5D8D">
        <w:t>Stress scenarios for the Petrel Sub-basin. Red values indicate difference from Scenario 1 (Base Case). Scenario 4 stress state is the only one which would be consistent with shale rock properties (from Appendix I).</w:t>
      </w:r>
      <w:bookmarkEnd w:id="753"/>
      <w:bookmarkEnd w:id="754"/>
      <w:bookmarkEnd w:id="755"/>
      <w:bookmarkEnd w:id="756"/>
      <w:bookmarkEnd w:id="757"/>
      <w:bookmarkEnd w:id="758"/>
      <w:bookmarkEnd w:id="759"/>
      <w:bookmarkEnd w:id="760"/>
      <w:bookmarkEnd w:id="761"/>
      <w:bookmarkEnd w:id="762"/>
    </w:p>
    <w:tbl>
      <w:tblPr>
        <w:tblStyle w:val="TableGAHeaderRow"/>
        <w:tblW w:w="0" w:type="auto"/>
        <w:tblLook w:val="04A0" w:firstRow="1" w:lastRow="0" w:firstColumn="1" w:lastColumn="0" w:noHBand="0" w:noVBand="1"/>
        <w:tblCaption w:val="Table 6.5"/>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2693"/>
        <w:gridCol w:w="1417"/>
        <w:gridCol w:w="1701"/>
        <w:gridCol w:w="1843"/>
        <w:gridCol w:w="1474"/>
      </w:tblGrid>
      <w:tr w:rsidR="00AE0B1A" w:rsidTr="00016FA4">
        <w:trPr>
          <w:cnfStyle w:val="100000000000" w:firstRow="1" w:lastRow="0" w:firstColumn="0" w:lastColumn="0" w:oddVBand="0" w:evenVBand="0" w:oddHBand="0" w:evenHBand="0" w:firstRowFirstColumn="0" w:firstRowLastColumn="0" w:lastRowFirstColumn="0" w:lastRowLastColumn="0"/>
          <w:trHeight w:val="57"/>
          <w:tblHeader/>
        </w:trPr>
        <w:tc>
          <w:tcPr>
            <w:tcW w:w="2694" w:type="dxa"/>
          </w:tcPr>
          <w:p w:rsidR="00AE0B1A" w:rsidRPr="000D1E9C" w:rsidRDefault="00AE0B1A" w:rsidP="007831FC">
            <w:pPr>
              <w:pStyle w:val="Tabletextleft"/>
              <w:tabs>
                <w:tab w:val="left" w:pos="1851"/>
              </w:tabs>
            </w:pPr>
            <w:r w:rsidRPr="000D1E9C">
              <w:t>Scenario:</w:t>
            </w:r>
          </w:p>
        </w:tc>
        <w:tc>
          <w:tcPr>
            <w:tcW w:w="1417" w:type="dxa"/>
          </w:tcPr>
          <w:p w:rsidR="00AE0B1A" w:rsidRPr="000D1E9C" w:rsidRDefault="00AE0B1A" w:rsidP="00FD0A94">
            <w:pPr>
              <w:pStyle w:val="Tabletextleft"/>
            </w:pPr>
            <w:r w:rsidRPr="000D1E9C">
              <w:t>1: min LOT, max SH</w:t>
            </w:r>
          </w:p>
        </w:tc>
        <w:tc>
          <w:tcPr>
            <w:tcW w:w="1701" w:type="dxa"/>
          </w:tcPr>
          <w:p w:rsidR="00AE0B1A" w:rsidRPr="000D1E9C" w:rsidRDefault="00AE0B1A" w:rsidP="00FD0A94">
            <w:pPr>
              <w:pStyle w:val="Tabletextleft"/>
            </w:pPr>
            <w:r w:rsidRPr="000D1E9C">
              <w:t xml:space="preserve">2: min LOT, </w:t>
            </w:r>
            <w:r>
              <w:br/>
            </w:r>
            <w:r w:rsidRPr="000D1E9C">
              <w:t>min SH</w:t>
            </w:r>
          </w:p>
        </w:tc>
        <w:tc>
          <w:tcPr>
            <w:tcW w:w="1843" w:type="dxa"/>
          </w:tcPr>
          <w:p w:rsidR="00AE0B1A" w:rsidRPr="000D1E9C" w:rsidRDefault="00AE0B1A" w:rsidP="00FD0A94">
            <w:pPr>
              <w:pStyle w:val="Tabletextleft"/>
            </w:pPr>
            <w:r w:rsidRPr="000D1E9C">
              <w:t xml:space="preserve">3: fit LOT, </w:t>
            </w:r>
            <w:r>
              <w:br/>
            </w:r>
            <w:r w:rsidRPr="000D1E9C">
              <w:t>max SH</w:t>
            </w:r>
          </w:p>
        </w:tc>
        <w:tc>
          <w:tcPr>
            <w:tcW w:w="1474" w:type="dxa"/>
          </w:tcPr>
          <w:p w:rsidR="00AE0B1A" w:rsidRPr="000D1E9C" w:rsidRDefault="00AE0B1A" w:rsidP="00FD0A94">
            <w:pPr>
              <w:pStyle w:val="Tabletextleft"/>
            </w:pPr>
            <w:r w:rsidRPr="000D1E9C">
              <w:t xml:space="preserve">4: fit LOT, </w:t>
            </w:r>
            <w:r>
              <w:br/>
            </w:r>
            <w:r w:rsidRPr="000D1E9C">
              <w:t>min SH</w:t>
            </w:r>
          </w:p>
        </w:tc>
      </w:tr>
      <w:tr w:rsidR="00AE0B1A" w:rsidTr="00016FA4">
        <w:trPr>
          <w:cnfStyle w:val="000000100000" w:firstRow="0" w:lastRow="0" w:firstColumn="0" w:lastColumn="0" w:oddVBand="0" w:evenVBand="0" w:oddHBand="1" w:evenHBand="0" w:firstRowFirstColumn="0" w:firstRowLastColumn="0" w:lastRowFirstColumn="0" w:lastRowLastColumn="0"/>
          <w:cantSplit/>
          <w:trHeight w:val="57"/>
        </w:trPr>
        <w:tc>
          <w:tcPr>
            <w:tcW w:w="9129" w:type="dxa"/>
            <w:gridSpan w:val="5"/>
            <w:shd w:val="clear" w:color="auto" w:fill="7F7F7F" w:themeFill="text1" w:themeFillTint="80"/>
          </w:tcPr>
          <w:p w:rsidR="00AE0B1A" w:rsidRPr="00A96950" w:rsidRDefault="00AE0B1A" w:rsidP="007831FC">
            <w:pPr>
              <w:pStyle w:val="Tabletextleft"/>
              <w:rPr>
                <w:rStyle w:val="Italic"/>
                <w:i w:val="0"/>
              </w:rPr>
            </w:pPr>
            <w:r w:rsidRPr="00A96950">
              <w:t>Gradients (</w:t>
            </w:r>
            <w:proofErr w:type="spellStart"/>
            <w:r w:rsidRPr="00A96950">
              <w:t>MPa</w:t>
            </w:r>
            <w:proofErr w:type="spellEnd"/>
            <w:r w:rsidRPr="00A96950">
              <w:t>/km) all through 0.6MPa at 60m (seabed)</w:t>
            </w:r>
          </w:p>
        </w:tc>
      </w:tr>
      <w:tr w:rsidR="00AE0B1A" w:rsidTr="00016FA4">
        <w:trPr>
          <w:cnfStyle w:val="000000010000" w:firstRow="0" w:lastRow="0" w:firstColumn="0" w:lastColumn="0" w:oddVBand="0" w:evenVBand="0" w:oddHBand="0" w:evenHBand="1" w:firstRowFirstColumn="0" w:firstRowLastColumn="0" w:lastRowFirstColumn="0" w:lastRowLastColumn="0"/>
          <w:cantSplit/>
          <w:trHeight w:val="57"/>
        </w:trPr>
        <w:tc>
          <w:tcPr>
            <w:tcW w:w="2694" w:type="dxa"/>
          </w:tcPr>
          <w:p w:rsidR="00AE0B1A" w:rsidRPr="00A96950" w:rsidRDefault="00AE0B1A" w:rsidP="00A96950">
            <w:pPr>
              <w:pStyle w:val="Tabletextleft"/>
            </w:pPr>
            <w:r w:rsidRPr="00A96950">
              <w:t>Pore-pressure gradient</w:t>
            </w:r>
          </w:p>
        </w:tc>
        <w:tc>
          <w:tcPr>
            <w:tcW w:w="1417" w:type="dxa"/>
          </w:tcPr>
          <w:p w:rsidR="00AE0B1A" w:rsidRPr="000D1E9C" w:rsidRDefault="00AE0B1A" w:rsidP="00AE0B1A">
            <w:pPr>
              <w:pStyle w:val="Tabletextright"/>
            </w:pPr>
            <w:r w:rsidRPr="000D1E9C">
              <w:t>9.93</w:t>
            </w:r>
          </w:p>
        </w:tc>
        <w:tc>
          <w:tcPr>
            <w:tcW w:w="1701" w:type="dxa"/>
          </w:tcPr>
          <w:p w:rsidR="00AE0B1A" w:rsidRPr="000D1E9C" w:rsidRDefault="00AE0B1A" w:rsidP="00AE0B1A">
            <w:pPr>
              <w:pStyle w:val="Tabletextright"/>
            </w:pPr>
            <w:r w:rsidRPr="000D1E9C">
              <w:t>9.93</w:t>
            </w:r>
          </w:p>
        </w:tc>
        <w:tc>
          <w:tcPr>
            <w:tcW w:w="1843" w:type="dxa"/>
          </w:tcPr>
          <w:p w:rsidR="00AE0B1A" w:rsidRPr="000D1E9C" w:rsidRDefault="00AE0B1A" w:rsidP="00AE0B1A">
            <w:pPr>
              <w:pStyle w:val="Tabletextright"/>
            </w:pPr>
            <w:r w:rsidRPr="000D1E9C">
              <w:t>9.93</w:t>
            </w:r>
          </w:p>
        </w:tc>
        <w:tc>
          <w:tcPr>
            <w:tcW w:w="1474" w:type="dxa"/>
          </w:tcPr>
          <w:p w:rsidR="00AE0B1A" w:rsidRPr="000D1E9C" w:rsidRDefault="00AE0B1A" w:rsidP="00AE0B1A">
            <w:pPr>
              <w:pStyle w:val="Tabletextright"/>
            </w:pPr>
            <w:r w:rsidRPr="000D1E9C">
              <w:t>9.93</w:t>
            </w:r>
          </w:p>
        </w:tc>
      </w:tr>
      <w:tr w:rsidR="00AE0B1A" w:rsidTr="00016FA4">
        <w:trPr>
          <w:cnfStyle w:val="000000100000" w:firstRow="0" w:lastRow="0" w:firstColumn="0" w:lastColumn="0" w:oddVBand="0" w:evenVBand="0" w:oddHBand="1" w:evenHBand="0" w:firstRowFirstColumn="0" w:firstRowLastColumn="0" w:lastRowFirstColumn="0" w:lastRowLastColumn="0"/>
          <w:cantSplit/>
          <w:trHeight w:val="57"/>
        </w:trPr>
        <w:tc>
          <w:tcPr>
            <w:tcW w:w="2694" w:type="dxa"/>
          </w:tcPr>
          <w:p w:rsidR="00AE0B1A" w:rsidRPr="00A96950" w:rsidRDefault="00AE0B1A" w:rsidP="00A96950">
            <w:pPr>
              <w:pStyle w:val="Tabletextleft"/>
            </w:pPr>
            <w:proofErr w:type="spellStart"/>
            <w:r w:rsidRPr="00A96950">
              <w:t>Shmin</w:t>
            </w:r>
            <w:proofErr w:type="spellEnd"/>
            <w:r w:rsidRPr="00A96950">
              <w:t xml:space="preserve"> gradient</w:t>
            </w:r>
          </w:p>
        </w:tc>
        <w:tc>
          <w:tcPr>
            <w:tcW w:w="1417" w:type="dxa"/>
          </w:tcPr>
          <w:p w:rsidR="00AE0B1A" w:rsidRPr="000D1E9C" w:rsidRDefault="00AE0B1A" w:rsidP="00AE0B1A">
            <w:pPr>
              <w:pStyle w:val="Tabletextright"/>
            </w:pPr>
            <w:r w:rsidRPr="000D1E9C">
              <w:t>14.89</w:t>
            </w:r>
          </w:p>
        </w:tc>
        <w:tc>
          <w:tcPr>
            <w:tcW w:w="1701" w:type="dxa"/>
          </w:tcPr>
          <w:p w:rsidR="00AE0B1A" w:rsidRPr="000D1E9C" w:rsidRDefault="00AE0B1A" w:rsidP="00AE0B1A">
            <w:pPr>
              <w:pStyle w:val="Tabletextright"/>
            </w:pPr>
            <w:r w:rsidRPr="000D1E9C">
              <w:t>14.89</w:t>
            </w:r>
          </w:p>
        </w:tc>
        <w:tc>
          <w:tcPr>
            <w:tcW w:w="1843" w:type="dxa"/>
          </w:tcPr>
          <w:p w:rsidR="00AE0B1A" w:rsidRPr="000D1E9C" w:rsidRDefault="00AE0B1A" w:rsidP="00AE0B1A">
            <w:pPr>
              <w:pStyle w:val="Tabletextright"/>
            </w:pPr>
            <w:r w:rsidRPr="000D1E9C">
              <w:t>17.40</w:t>
            </w:r>
          </w:p>
        </w:tc>
        <w:tc>
          <w:tcPr>
            <w:tcW w:w="1474" w:type="dxa"/>
          </w:tcPr>
          <w:p w:rsidR="00AE0B1A" w:rsidRPr="000D1E9C" w:rsidRDefault="00AE0B1A" w:rsidP="00AE0B1A">
            <w:pPr>
              <w:pStyle w:val="Tabletextright"/>
            </w:pPr>
            <w:r w:rsidRPr="000D1E9C">
              <w:t>17.40</w:t>
            </w:r>
          </w:p>
        </w:tc>
      </w:tr>
      <w:tr w:rsidR="00AE0B1A" w:rsidTr="00016FA4">
        <w:trPr>
          <w:cnfStyle w:val="000000010000" w:firstRow="0" w:lastRow="0" w:firstColumn="0" w:lastColumn="0" w:oddVBand="0" w:evenVBand="0" w:oddHBand="0" w:evenHBand="1" w:firstRowFirstColumn="0" w:firstRowLastColumn="0" w:lastRowFirstColumn="0" w:lastRowLastColumn="0"/>
          <w:cantSplit/>
          <w:trHeight w:val="57"/>
        </w:trPr>
        <w:tc>
          <w:tcPr>
            <w:tcW w:w="2694" w:type="dxa"/>
          </w:tcPr>
          <w:p w:rsidR="00AE0B1A" w:rsidRPr="00A96950" w:rsidRDefault="00AE0B1A" w:rsidP="00A96950">
            <w:pPr>
              <w:pStyle w:val="Tabletextleft"/>
            </w:pPr>
            <w:proofErr w:type="spellStart"/>
            <w:r w:rsidRPr="00A96950">
              <w:t>SHmax</w:t>
            </w:r>
            <w:proofErr w:type="spellEnd"/>
            <w:r w:rsidRPr="00A96950">
              <w:t xml:space="preserve"> gradient</w:t>
            </w:r>
          </w:p>
        </w:tc>
        <w:tc>
          <w:tcPr>
            <w:tcW w:w="1417" w:type="dxa"/>
          </w:tcPr>
          <w:p w:rsidR="00AE0B1A" w:rsidRPr="000D1E9C" w:rsidRDefault="00AE0B1A" w:rsidP="00AE0B1A">
            <w:pPr>
              <w:pStyle w:val="Tabletextright"/>
            </w:pPr>
            <w:r w:rsidRPr="000D1E9C">
              <w:t>24.67</w:t>
            </w:r>
          </w:p>
        </w:tc>
        <w:tc>
          <w:tcPr>
            <w:tcW w:w="1701" w:type="dxa"/>
          </w:tcPr>
          <w:p w:rsidR="00AE0B1A" w:rsidRPr="000D1E9C" w:rsidRDefault="00AE0B1A" w:rsidP="00AE0B1A">
            <w:pPr>
              <w:pStyle w:val="Tabletextright"/>
            </w:pPr>
            <w:r w:rsidRPr="000D1E9C">
              <w:t>21.00</w:t>
            </w:r>
          </w:p>
        </w:tc>
        <w:tc>
          <w:tcPr>
            <w:tcW w:w="1843" w:type="dxa"/>
          </w:tcPr>
          <w:p w:rsidR="00AE0B1A" w:rsidRPr="000D1E9C" w:rsidRDefault="00AE0B1A" w:rsidP="00AE0B1A">
            <w:pPr>
              <w:pStyle w:val="Tabletextright"/>
            </w:pPr>
            <w:r w:rsidRPr="000D1E9C">
              <w:t>32.70</w:t>
            </w:r>
          </w:p>
        </w:tc>
        <w:tc>
          <w:tcPr>
            <w:tcW w:w="1474" w:type="dxa"/>
          </w:tcPr>
          <w:p w:rsidR="00AE0B1A" w:rsidRPr="000D1E9C" w:rsidRDefault="00AE0B1A" w:rsidP="00AE0B1A">
            <w:pPr>
              <w:pStyle w:val="Tabletextright"/>
            </w:pPr>
            <w:r w:rsidRPr="000D1E9C">
              <w:t>21.00</w:t>
            </w:r>
          </w:p>
        </w:tc>
      </w:tr>
      <w:tr w:rsidR="00AE0B1A" w:rsidTr="00016FA4">
        <w:trPr>
          <w:cnfStyle w:val="000000100000" w:firstRow="0" w:lastRow="0" w:firstColumn="0" w:lastColumn="0" w:oddVBand="0" w:evenVBand="0" w:oddHBand="1" w:evenHBand="0" w:firstRowFirstColumn="0" w:firstRowLastColumn="0" w:lastRowFirstColumn="0" w:lastRowLastColumn="0"/>
          <w:cantSplit/>
          <w:trHeight w:val="57"/>
        </w:trPr>
        <w:tc>
          <w:tcPr>
            <w:tcW w:w="2694" w:type="dxa"/>
          </w:tcPr>
          <w:p w:rsidR="00AE0B1A" w:rsidRPr="00A96950" w:rsidRDefault="00AE0B1A" w:rsidP="00A96950">
            <w:pPr>
              <w:pStyle w:val="Tabletextleft"/>
            </w:pPr>
            <w:proofErr w:type="spellStart"/>
            <w:r w:rsidRPr="00A96950">
              <w:t>Sv</w:t>
            </w:r>
            <w:proofErr w:type="spellEnd"/>
            <w:r w:rsidRPr="00A96950">
              <w:t xml:space="preserve"> gradient</w:t>
            </w:r>
          </w:p>
        </w:tc>
        <w:tc>
          <w:tcPr>
            <w:tcW w:w="1417" w:type="dxa"/>
          </w:tcPr>
          <w:p w:rsidR="00AE0B1A" w:rsidRPr="000D1E9C" w:rsidRDefault="00AE0B1A" w:rsidP="00AE0B1A">
            <w:pPr>
              <w:pStyle w:val="Tabletextright"/>
            </w:pPr>
            <w:r w:rsidRPr="000D1E9C">
              <w:t>20.90</w:t>
            </w:r>
          </w:p>
        </w:tc>
        <w:tc>
          <w:tcPr>
            <w:tcW w:w="1701" w:type="dxa"/>
          </w:tcPr>
          <w:p w:rsidR="00AE0B1A" w:rsidRPr="000D1E9C" w:rsidRDefault="00AE0B1A" w:rsidP="00AE0B1A">
            <w:pPr>
              <w:pStyle w:val="Tabletextright"/>
            </w:pPr>
            <w:r w:rsidRPr="000D1E9C">
              <w:t>20.90</w:t>
            </w:r>
          </w:p>
        </w:tc>
        <w:tc>
          <w:tcPr>
            <w:tcW w:w="1843" w:type="dxa"/>
          </w:tcPr>
          <w:p w:rsidR="00AE0B1A" w:rsidRPr="000D1E9C" w:rsidRDefault="00AE0B1A" w:rsidP="00AE0B1A">
            <w:pPr>
              <w:pStyle w:val="Tabletextright"/>
            </w:pPr>
            <w:r w:rsidRPr="000D1E9C">
              <w:t>20.90</w:t>
            </w:r>
          </w:p>
        </w:tc>
        <w:tc>
          <w:tcPr>
            <w:tcW w:w="1474" w:type="dxa"/>
          </w:tcPr>
          <w:p w:rsidR="00AE0B1A" w:rsidRPr="000D1E9C" w:rsidRDefault="00AE0B1A" w:rsidP="00AE0B1A">
            <w:pPr>
              <w:pStyle w:val="Tabletextright"/>
            </w:pPr>
            <w:r w:rsidRPr="000D1E9C">
              <w:t>20.90</w:t>
            </w:r>
          </w:p>
        </w:tc>
      </w:tr>
      <w:tr w:rsidR="00AE0B1A" w:rsidTr="00016FA4">
        <w:trPr>
          <w:cnfStyle w:val="000000010000" w:firstRow="0" w:lastRow="0" w:firstColumn="0" w:lastColumn="0" w:oddVBand="0" w:evenVBand="0" w:oddHBand="0" w:evenHBand="1" w:firstRowFirstColumn="0" w:firstRowLastColumn="0" w:lastRowFirstColumn="0" w:lastRowLastColumn="0"/>
          <w:cantSplit/>
          <w:trHeight w:val="57"/>
        </w:trPr>
        <w:tc>
          <w:tcPr>
            <w:tcW w:w="2694" w:type="dxa"/>
          </w:tcPr>
          <w:p w:rsidR="00AE0B1A" w:rsidRPr="00A96950" w:rsidRDefault="00AE0B1A" w:rsidP="00A96950">
            <w:pPr>
              <w:pStyle w:val="Tabletextleft"/>
            </w:pPr>
            <w:proofErr w:type="spellStart"/>
            <w:r w:rsidRPr="00A96950">
              <w:t>SHmax</w:t>
            </w:r>
            <w:proofErr w:type="spellEnd"/>
            <w:r w:rsidRPr="00A96950">
              <w:t xml:space="preserve"> orientation</w:t>
            </w:r>
          </w:p>
        </w:tc>
        <w:tc>
          <w:tcPr>
            <w:tcW w:w="1417" w:type="dxa"/>
          </w:tcPr>
          <w:p w:rsidR="00AE0B1A" w:rsidRPr="000D1E9C" w:rsidRDefault="00AE0B1A" w:rsidP="00AE0B1A">
            <w:pPr>
              <w:pStyle w:val="Tabletextright"/>
            </w:pPr>
            <w:r w:rsidRPr="000D1E9C">
              <w:t>054</w:t>
            </w:r>
          </w:p>
        </w:tc>
        <w:tc>
          <w:tcPr>
            <w:tcW w:w="1701" w:type="dxa"/>
          </w:tcPr>
          <w:p w:rsidR="00AE0B1A" w:rsidRPr="000D1E9C" w:rsidRDefault="00AE0B1A" w:rsidP="00AE0B1A">
            <w:pPr>
              <w:pStyle w:val="Tabletextright"/>
            </w:pPr>
            <w:r w:rsidRPr="000D1E9C">
              <w:t>054</w:t>
            </w:r>
          </w:p>
        </w:tc>
        <w:tc>
          <w:tcPr>
            <w:tcW w:w="1843" w:type="dxa"/>
          </w:tcPr>
          <w:p w:rsidR="00AE0B1A" w:rsidRPr="000D1E9C" w:rsidRDefault="00AE0B1A" w:rsidP="00AE0B1A">
            <w:pPr>
              <w:pStyle w:val="Tabletextright"/>
            </w:pPr>
            <w:r w:rsidRPr="000D1E9C">
              <w:t>054</w:t>
            </w:r>
          </w:p>
        </w:tc>
        <w:tc>
          <w:tcPr>
            <w:tcW w:w="1474" w:type="dxa"/>
          </w:tcPr>
          <w:p w:rsidR="00AE0B1A" w:rsidRPr="000D1E9C" w:rsidRDefault="00AE0B1A" w:rsidP="00AE0B1A">
            <w:pPr>
              <w:pStyle w:val="Tabletextright"/>
            </w:pPr>
            <w:r w:rsidRPr="000D1E9C">
              <w:t>054</w:t>
            </w:r>
          </w:p>
        </w:tc>
      </w:tr>
      <w:tr w:rsidR="00AE0B1A" w:rsidTr="00016FA4">
        <w:trPr>
          <w:cnfStyle w:val="000000100000" w:firstRow="0" w:lastRow="0" w:firstColumn="0" w:lastColumn="0" w:oddVBand="0" w:evenVBand="0" w:oddHBand="1" w:evenHBand="0" w:firstRowFirstColumn="0" w:firstRowLastColumn="0" w:lastRowFirstColumn="0" w:lastRowLastColumn="0"/>
          <w:cantSplit/>
          <w:trHeight w:val="57"/>
        </w:trPr>
        <w:tc>
          <w:tcPr>
            <w:tcW w:w="0" w:type="auto"/>
            <w:gridSpan w:val="5"/>
            <w:shd w:val="clear" w:color="auto" w:fill="7F7F7F" w:themeFill="text1" w:themeFillTint="80"/>
          </w:tcPr>
          <w:p w:rsidR="00AE0B1A" w:rsidRPr="00A96950" w:rsidRDefault="00AE0B1A" w:rsidP="007831FC">
            <w:pPr>
              <w:pStyle w:val="Tabletextleft"/>
              <w:rPr>
                <w:rStyle w:val="Italic"/>
                <w:i w:val="0"/>
              </w:rPr>
            </w:pPr>
            <w:r w:rsidRPr="00A96950">
              <w:t>Rock properties</w:t>
            </w:r>
            <w:r w:rsidR="00A96950">
              <w:tab/>
            </w:r>
          </w:p>
        </w:tc>
      </w:tr>
      <w:tr w:rsidR="00AE0B1A" w:rsidTr="00016FA4">
        <w:trPr>
          <w:cnfStyle w:val="000000010000" w:firstRow="0" w:lastRow="0" w:firstColumn="0" w:lastColumn="0" w:oddVBand="0" w:evenVBand="0" w:oddHBand="0" w:evenHBand="1" w:firstRowFirstColumn="0" w:firstRowLastColumn="0" w:lastRowFirstColumn="0" w:lastRowLastColumn="0"/>
          <w:cantSplit/>
          <w:trHeight w:val="57"/>
        </w:trPr>
        <w:tc>
          <w:tcPr>
            <w:tcW w:w="2694" w:type="dxa"/>
          </w:tcPr>
          <w:p w:rsidR="00AE0B1A" w:rsidRPr="00A96950" w:rsidRDefault="00AE0B1A" w:rsidP="00A96950">
            <w:pPr>
              <w:pStyle w:val="Tabletextleft"/>
            </w:pPr>
            <w:proofErr w:type="spellStart"/>
            <w:r w:rsidRPr="00A96950">
              <w:t>Coeff</w:t>
            </w:r>
            <w:proofErr w:type="spellEnd"/>
            <w:r w:rsidRPr="00A96950">
              <w:t>. sliding friction</w:t>
            </w:r>
          </w:p>
        </w:tc>
        <w:tc>
          <w:tcPr>
            <w:tcW w:w="1417" w:type="dxa"/>
          </w:tcPr>
          <w:p w:rsidR="00AE0B1A" w:rsidRPr="000D1E9C" w:rsidRDefault="00AE0B1A" w:rsidP="00AE0B1A">
            <w:pPr>
              <w:pStyle w:val="Tabletextright"/>
            </w:pPr>
            <w:r w:rsidRPr="000D1E9C">
              <w:t>0.6</w:t>
            </w:r>
          </w:p>
        </w:tc>
        <w:tc>
          <w:tcPr>
            <w:tcW w:w="1701" w:type="dxa"/>
          </w:tcPr>
          <w:p w:rsidR="00AE0B1A" w:rsidRPr="000D1E9C" w:rsidRDefault="00AE0B1A" w:rsidP="00AE0B1A">
            <w:pPr>
              <w:pStyle w:val="Tabletextright"/>
            </w:pPr>
            <w:r w:rsidRPr="000D1E9C">
              <w:t>0.6</w:t>
            </w:r>
          </w:p>
        </w:tc>
        <w:tc>
          <w:tcPr>
            <w:tcW w:w="1843" w:type="dxa"/>
          </w:tcPr>
          <w:p w:rsidR="00AE0B1A" w:rsidRPr="000D1E9C" w:rsidRDefault="00AE0B1A" w:rsidP="00AE0B1A">
            <w:pPr>
              <w:pStyle w:val="Tabletextright"/>
            </w:pPr>
            <w:r w:rsidRPr="000D1E9C">
              <w:t>0.6</w:t>
            </w:r>
          </w:p>
        </w:tc>
        <w:tc>
          <w:tcPr>
            <w:tcW w:w="1474" w:type="dxa"/>
          </w:tcPr>
          <w:p w:rsidR="00AE0B1A" w:rsidRPr="000D1E9C" w:rsidRDefault="00AE0B1A" w:rsidP="00AE0B1A">
            <w:pPr>
              <w:pStyle w:val="Tabletextright"/>
            </w:pPr>
            <w:r w:rsidRPr="000D1E9C">
              <w:t>0.33</w:t>
            </w:r>
          </w:p>
        </w:tc>
      </w:tr>
      <w:tr w:rsidR="00AE0B1A" w:rsidTr="00016FA4">
        <w:trPr>
          <w:cnfStyle w:val="000000100000" w:firstRow="0" w:lastRow="0" w:firstColumn="0" w:lastColumn="0" w:oddVBand="0" w:evenVBand="0" w:oddHBand="1" w:evenHBand="0" w:firstRowFirstColumn="0" w:firstRowLastColumn="0" w:lastRowFirstColumn="0" w:lastRowLastColumn="0"/>
          <w:cantSplit/>
          <w:trHeight w:val="57"/>
        </w:trPr>
        <w:tc>
          <w:tcPr>
            <w:tcW w:w="2694" w:type="dxa"/>
          </w:tcPr>
          <w:p w:rsidR="00AE0B1A" w:rsidRPr="00A96950" w:rsidRDefault="00AE0B1A" w:rsidP="00A96950">
            <w:pPr>
              <w:pStyle w:val="Tabletextleft"/>
            </w:pPr>
            <w:proofErr w:type="spellStart"/>
            <w:r w:rsidRPr="00A96950">
              <w:t>Coeff</w:t>
            </w:r>
            <w:proofErr w:type="spellEnd"/>
            <w:r w:rsidRPr="00A96950">
              <w:t>. internal friction</w:t>
            </w:r>
          </w:p>
        </w:tc>
        <w:tc>
          <w:tcPr>
            <w:tcW w:w="1417" w:type="dxa"/>
          </w:tcPr>
          <w:p w:rsidR="00AE0B1A" w:rsidRPr="000D1E9C" w:rsidRDefault="00AE0B1A" w:rsidP="00AE0B1A">
            <w:pPr>
              <w:pStyle w:val="Tabletextright"/>
            </w:pPr>
            <w:r w:rsidRPr="000D1E9C">
              <w:t>0.7</w:t>
            </w:r>
          </w:p>
        </w:tc>
        <w:tc>
          <w:tcPr>
            <w:tcW w:w="1701" w:type="dxa"/>
          </w:tcPr>
          <w:p w:rsidR="00AE0B1A" w:rsidRPr="000D1E9C" w:rsidRDefault="00AE0B1A" w:rsidP="00AE0B1A">
            <w:pPr>
              <w:pStyle w:val="Tabletextright"/>
            </w:pPr>
            <w:r w:rsidRPr="000D1E9C">
              <w:t>0.7</w:t>
            </w:r>
          </w:p>
        </w:tc>
        <w:tc>
          <w:tcPr>
            <w:tcW w:w="1843" w:type="dxa"/>
          </w:tcPr>
          <w:p w:rsidR="00AE0B1A" w:rsidRPr="000D1E9C" w:rsidRDefault="00AE0B1A" w:rsidP="00AE0B1A">
            <w:pPr>
              <w:pStyle w:val="Tabletextright"/>
            </w:pPr>
            <w:r w:rsidRPr="000D1E9C">
              <w:t>0.7</w:t>
            </w:r>
          </w:p>
        </w:tc>
        <w:tc>
          <w:tcPr>
            <w:tcW w:w="1474" w:type="dxa"/>
          </w:tcPr>
          <w:p w:rsidR="00AE0B1A" w:rsidRPr="000D1E9C" w:rsidRDefault="00AE0B1A" w:rsidP="00AE0B1A">
            <w:pPr>
              <w:pStyle w:val="Tabletextright"/>
            </w:pPr>
            <w:r w:rsidRPr="000D1E9C">
              <w:t>0.34</w:t>
            </w:r>
          </w:p>
        </w:tc>
      </w:tr>
      <w:tr w:rsidR="00AE0B1A" w:rsidTr="00016FA4">
        <w:trPr>
          <w:cnfStyle w:val="000000010000" w:firstRow="0" w:lastRow="0" w:firstColumn="0" w:lastColumn="0" w:oddVBand="0" w:evenVBand="0" w:oddHBand="0" w:evenHBand="1" w:firstRowFirstColumn="0" w:firstRowLastColumn="0" w:lastRowFirstColumn="0" w:lastRowLastColumn="0"/>
          <w:cantSplit/>
          <w:trHeight w:val="57"/>
        </w:trPr>
        <w:tc>
          <w:tcPr>
            <w:tcW w:w="2694" w:type="dxa"/>
          </w:tcPr>
          <w:p w:rsidR="00AE0B1A" w:rsidRPr="00A96950" w:rsidRDefault="00AE0B1A" w:rsidP="00A96950">
            <w:pPr>
              <w:pStyle w:val="Tabletextleft"/>
            </w:pPr>
            <w:r w:rsidRPr="00A96950">
              <w:t xml:space="preserve">Cohesive strength </w:t>
            </w:r>
            <w:proofErr w:type="spellStart"/>
            <w:r w:rsidRPr="00A96950">
              <w:t>MPa</w:t>
            </w:r>
            <w:proofErr w:type="spellEnd"/>
          </w:p>
        </w:tc>
        <w:tc>
          <w:tcPr>
            <w:tcW w:w="1417" w:type="dxa"/>
          </w:tcPr>
          <w:p w:rsidR="00AE0B1A" w:rsidRPr="000D1E9C" w:rsidRDefault="00AE0B1A" w:rsidP="00AE0B1A">
            <w:pPr>
              <w:pStyle w:val="Tabletextright"/>
            </w:pPr>
            <w:r w:rsidRPr="000D1E9C">
              <w:t>5.00</w:t>
            </w:r>
          </w:p>
        </w:tc>
        <w:tc>
          <w:tcPr>
            <w:tcW w:w="1701" w:type="dxa"/>
          </w:tcPr>
          <w:p w:rsidR="00AE0B1A" w:rsidRPr="000D1E9C" w:rsidRDefault="00AE0B1A" w:rsidP="00AE0B1A">
            <w:pPr>
              <w:pStyle w:val="Tabletextright"/>
            </w:pPr>
            <w:r w:rsidRPr="000D1E9C">
              <w:t>5.00</w:t>
            </w:r>
          </w:p>
        </w:tc>
        <w:tc>
          <w:tcPr>
            <w:tcW w:w="1843" w:type="dxa"/>
          </w:tcPr>
          <w:p w:rsidR="00AE0B1A" w:rsidRPr="000D1E9C" w:rsidRDefault="00AE0B1A" w:rsidP="00AE0B1A">
            <w:pPr>
              <w:pStyle w:val="Tabletextright"/>
            </w:pPr>
            <w:r w:rsidRPr="000D1E9C">
              <w:t>5.00</w:t>
            </w:r>
          </w:p>
        </w:tc>
        <w:tc>
          <w:tcPr>
            <w:tcW w:w="1474" w:type="dxa"/>
          </w:tcPr>
          <w:p w:rsidR="00AE0B1A" w:rsidRPr="000D1E9C" w:rsidRDefault="00AE0B1A" w:rsidP="00AE0B1A">
            <w:pPr>
              <w:pStyle w:val="Tabletextright"/>
            </w:pPr>
            <w:r w:rsidRPr="000D1E9C">
              <w:t>2.75</w:t>
            </w:r>
          </w:p>
        </w:tc>
      </w:tr>
    </w:tbl>
    <w:p w:rsidR="00AE0B1A" w:rsidRDefault="00AE0B1A" w:rsidP="00B95C7A">
      <w:pPr>
        <w:pStyle w:val="Figuresandimagescentred"/>
      </w:pPr>
      <w:r>
        <w:rPr>
          <w:noProof/>
        </w:rPr>
        <w:drawing>
          <wp:inline distT="0" distB="0" distL="0" distR="0" wp14:anchorId="40ACAC4C" wp14:editId="3B5AAC1D">
            <wp:extent cx="5302800" cy="3672000"/>
            <wp:effectExtent l="0" t="0" r="0" b="5080"/>
            <wp:docPr id="2053" name="Picture 2053" descr="Due to the complexity of this document and the niche scientific target audience, no alternative description has been provided. Please email Geoscience Australia at clientservices@ga.gov.au for an alternative description." title="Fig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6finaldocs\9GA Record Concise Figures Final (GAV approved)\GAV Completed\13-7199-2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302800" cy="3672000"/>
                    </a:xfrm>
                    <a:prstGeom prst="rect">
                      <a:avLst/>
                    </a:prstGeom>
                    <a:noFill/>
                    <a:ln>
                      <a:noFill/>
                    </a:ln>
                  </pic:spPr>
                </pic:pic>
              </a:graphicData>
            </a:graphic>
          </wp:inline>
        </w:drawing>
      </w:r>
    </w:p>
    <w:p w:rsidR="00AE0B1A" w:rsidRPr="00C94C2F" w:rsidRDefault="00AE0B1A" w:rsidP="00AE0B1A">
      <w:pPr>
        <w:pStyle w:val="Caption"/>
      </w:pPr>
      <w:bookmarkStart w:id="763" w:name="_Ref372804984"/>
      <w:bookmarkStart w:id="764" w:name="_Toc373095024"/>
      <w:bookmarkStart w:id="765" w:name="_Toc378252754"/>
      <w:bookmarkStart w:id="766" w:name="_Toc378253078"/>
      <w:bookmarkStart w:id="767" w:name="_Toc378253402"/>
      <w:bookmarkStart w:id="768" w:name="_Toc378253726"/>
      <w:bookmarkStart w:id="769" w:name="_Toc378254050"/>
      <w:bookmarkStart w:id="770" w:name="_Toc378254374"/>
      <w:bookmarkStart w:id="771" w:name="_Toc378254698"/>
      <w:bookmarkStart w:id="772" w:name="_Toc378255022"/>
      <w:bookmarkStart w:id="773" w:name="_Toc378255371"/>
      <w:r>
        <w:t xml:space="preserve">Figure </w:t>
      </w:r>
      <w:fldSimple w:instr=" STYLEREF 1 \s ">
        <w:r w:rsidR="00F64E4F">
          <w:rPr>
            <w:noProof/>
          </w:rPr>
          <w:t>6</w:t>
        </w:r>
      </w:fldSimple>
      <w:r w:rsidR="00AE5C2D">
        <w:t>.</w:t>
      </w:r>
      <w:fldSimple w:instr=" SEQ Figure \* ARABIC \s 1 ">
        <w:r w:rsidR="00F64E4F">
          <w:rPr>
            <w:noProof/>
          </w:rPr>
          <w:t>16</w:t>
        </w:r>
      </w:fldSimple>
      <w:bookmarkEnd w:id="763"/>
      <w:r>
        <w:t xml:space="preserve"> </w:t>
      </w:r>
      <w:r w:rsidRPr="00E65E84">
        <w:t xml:space="preserve">Petrel Sub-basin pressure and stress observations, and assumed gradients for the different model scenarios. Grey fields show the possible range for </w:t>
      </w:r>
      <w:proofErr w:type="spellStart"/>
      <w:r w:rsidRPr="00E65E84">
        <w:t>SHmax</w:t>
      </w:r>
      <w:proofErr w:type="spellEnd"/>
      <w:r w:rsidRPr="00E65E84">
        <w:t xml:space="preserve"> and </w:t>
      </w:r>
      <w:proofErr w:type="spellStart"/>
      <w:r w:rsidRPr="00E65E84">
        <w:t>Shmin</w:t>
      </w:r>
      <w:proofErr w:type="spellEnd"/>
      <w:r w:rsidRPr="00E65E84">
        <w:t xml:space="preserve"> parameters. In all cases, </w:t>
      </w:r>
      <w:proofErr w:type="spellStart"/>
      <w:r w:rsidRPr="00E65E84">
        <w:t>Sv</w:t>
      </w:r>
      <w:proofErr w:type="spellEnd"/>
      <w:r w:rsidRPr="00E65E84">
        <w:t xml:space="preserve"> is the intermediate stress i</w:t>
      </w:r>
      <w:r>
        <w:t>ndicating a strike slip regime for the sub-basin, f</w:t>
      </w:r>
      <w:r w:rsidRPr="00C94C2F">
        <w:rPr>
          <w:lang w:val="en-GB"/>
        </w:rPr>
        <w:t xml:space="preserve">rom </w:t>
      </w:r>
      <w:r w:rsidRPr="00C94C2F">
        <w:t xml:space="preserve">Appendix </w:t>
      </w:r>
      <w:r>
        <w:t>I</w:t>
      </w:r>
      <w:r w:rsidRPr="00C94C2F">
        <w:t>.</w:t>
      </w:r>
      <w:bookmarkEnd w:id="764"/>
      <w:bookmarkEnd w:id="765"/>
      <w:bookmarkEnd w:id="766"/>
      <w:bookmarkEnd w:id="767"/>
      <w:bookmarkEnd w:id="768"/>
      <w:bookmarkEnd w:id="769"/>
      <w:bookmarkEnd w:id="770"/>
      <w:bookmarkEnd w:id="771"/>
      <w:bookmarkEnd w:id="772"/>
      <w:bookmarkEnd w:id="773"/>
    </w:p>
    <w:p w:rsidR="00AE0B1A" w:rsidRDefault="00AE0B1A" w:rsidP="00AE0B1A">
      <w:pPr>
        <w:pStyle w:val="BodyText"/>
      </w:pPr>
      <w:r w:rsidRPr="00447A1F">
        <w:t xml:space="preserve">Overall, the risk of reactivation was highest on faults orientated in an approximately east-west direction. Faults at most risk of slip (shear failure) are </w:t>
      </w:r>
      <w:r w:rsidRPr="009D5B2E">
        <w:t>steeply dipping and striking 25-27</w:t>
      </w:r>
      <w:r>
        <w:t>°</w:t>
      </w:r>
      <w:r w:rsidRPr="009D5B2E">
        <w:t xml:space="preserve"> (north-northeast) and east-northeast (81-83</w:t>
      </w:r>
      <w:r>
        <w:t>°</w:t>
      </w:r>
      <w:r w:rsidRPr="009D5B2E">
        <w:t xml:space="preserve">), which are symmetrically disposed about the </w:t>
      </w:r>
      <w:proofErr w:type="spellStart"/>
      <w:r w:rsidRPr="009D5B2E">
        <w:t>SHmax</w:t>
      </w:r>
      <w:proofErr w:type="spellEnd"/>
      <w:r w:rsidRPr="009D5B2E">
        <w:t xml:space="preserve"> orientation. These faults in the current stress regime are critically stressed and could become </w:t>
      </w:r>
      <w:r w:rsidRPr="009D5B2E">
        <w:lastRenderedPageBreak/>
        <w:t>preferential fluid pathways. Faults of this orientation include the faults of Provinces IV and V (</w:t>
      </w:r>
      <w:r>
        <w:fldChar w:fldCharType="begin"/>
      </w:r>
      <w:r>
        <w:instrText xml:space="preserve"> REF _Ref372804946 \h </w:instrText>
      </w:r>
      <w:r>
        <w:fldChar w:fldCharType="separate"/>
      </w:r>
      <w:r w:rsidR="00F64E4F">
        <w:t>Figure </w:t>
      </w:r>
      <w:r w:rsidR="00F64E4F">
        <w:rPr>
          <w:noProof/>
        </w:rPr>
        <w:t>6</w:t>
      </w:r>
      <w:r w:rsidR="00F64E4F">
        <w:t>.</w:t>
      </w:r>
      <w:r w:rsidR="00F64E4F">
        <w:rPr>
          <w:noProof/>
        </w:rPr>
        <w:t>14</w:t>
      </w:r>
      <w:r>
        <w:fldChar w:fldCharType="end"/>
      </w:r>
      <w:r w:rsidRPr="009D5B2E">
        <w:t xml:space="preserve">). Secondly, steeply dipping planes orientated in a northeast-southwest direction (perpendicular to </w:t>
      </w:r>
      <w:proofErr w:type="spellStart"/>
      <w:r w:rsidRPr="009D5B2E">
        <w:t>Sh</w:t>
      </w:r>
      <w:proofErr w:type="spellEnd"/>
      <w:r w:rsidRPr="002E2122">
        <w:rPr>
          <w:rStyle w:val="Subscript"/>
        </w:rPr>
        <w:t>min</w:t>
      </w:r>
      <w:r w:rsidRPr="009D5B2E">
        <w:t xml:space="preserve">), such as the faults in Province V, would have a high </w:t>
      </w:r>
      <w:proofErr w:type="spellStart"/>
      <w:r w:rsidRPr="009D5B2E">
        <w:t>dilational</w:t>
      </w:r>
      <w:proofErr w:type="spellEnd"/>
      <w:r w:rsidRPr="009D5B2E">
        <w:t xml:space="preserve"> tendency that could result in the fracturing of high-cohesion (generally deeper) rocks. This also applied to faults at shallow depths with either low or high stresses, such as the faults in Provinces II and III.</w:t>
      </w:r>
    </w:p>
    <w:p w:rsidR="00AE0B1A" w:rsidRPr="00C94C2F" w:rsidRDefault="00AE0B1A" w:rsidP="00AE0B1A">
      <w:pPr>
        <w:pStyle w:val="BodyText"/>
      </w:pPr>
      <w:r w:rsidRPr="00C94C2F">
        <w:t>For CO</w:t>
      </w:r>
      <w:r w:rsidRPr="009D5B2E">
        <w:rPr>
          <w:rStyle w:val="Subscript"/>
        </w:rPr>
        <w:t>2</w:t>
      </w:r>
      <w:r>
        <w:t xml:space="preserve"> g</w:t>
      </w:r>
      <w:r w:rsidRPr="00C94C2F">
        <w:t xml:space="preserve">eological storage, the effect </w:t>
      </w:r>
      <w:r>
        <w:t>of increasing</w:t>
      </w:r>
      <w:r w:rsidRPr="00C94C2F">
        <w:t xml:space="preserve"> pore pressure on the faults is </w:t>
      </w:r>
      <w:r>
        <w:t>an important risk assessment parameter.</w:t>
      </w:r>
      <w:r w:rsidRPr="00C94C2F">
        <w:t xml:space="preserve"> The slip and fracture stability can determine the maximum increase in pore pressure that a fault can sustain without deformation. It was </w:t>
      </w:r>
      <w:r>
        <w:t xml:space="preserve">determined </w:t>
      </w:r>
      <w:r w:rsidRPr="00C94C2F">
        <w:t>that the amount of fracture is dependent on orientation. Overall stress and the rock strength both increase with depth, thus the slip and fracture stability also increases with depth. Therefore</w:t>
      </w:r>
      <w:r>
        <w:t>,</w:t>
      </w:r>
      <w:r w:rsidRPr="00C94C2F">
        <w:t xml:space="preserve"> a fault intersecting a shallow reservoir has a low stress state but requires a smaller increase in pore pressure to induce failure</w:t>
      </w:r>
      <w:r>
        <w:t>, including faults in Provinces II and III</w:t>
      </w:r>
      <w:r w:rsidRPr="00C94C2F">
        <w:t xml:space="preserve">. In the deeper sections of the </w:t>
      </w:r>
      <w:r>
        <w:t>sub-basin, comprising faults in</w:t>
      </w:r>
      <w:r w:rsidRPr="00C94C2F">
        <w:t xml:space="preserve"> </w:t>
      </w:r>
      <w:r>
        <w:t>Provinces I</w:t>
      </w:r>
      <w:r w:rsidRPr="00C94C2F">
        <w:t xml:space="preserve"> and </w:t>
      </w:r>
      <w:r>
        <w:t>IV</w:t>
      </w:r>
      <w:r w:rsidRPr="00C94C2F">
        <w:t xml:space="preserve">, </w:t>
      </w:r>
      <w:r>
        <w:t>the</w:t>
      </w:r>
      <w:r w:rsidRPr="00C94C2F">
        <w:t xml:space="preserve"> maximum pore pressure increase before fault failure was estimated to </w:t>
      </w:r>
      <w:r>
        <w:t xml:space="preserve">be </w:t>
      </w:r>
      <w:r w:rsidRPr="00DE0603">
        <w:t xml:space="preserve">greater than 5 </w:t>
      </w:r>
      <w:proofErr w:type="spellStart"/>
      <w:r w:rsidRPr="00DE0603">
        <w:t>MPa</w:t>
      </w:r>
      <w:proofErr w:type="spellEnd"/>
      <w:r w:rsidRPr="00DE0603">
        <w:t xml:space="preserve"> (based on slip stability); the fracture stability (hydraulic fracture) was even higher (</w:t>
      </w:r>
      <w:r>
        <w:fldChar w:fldCharType="begin"/>
      </w:r>
      <w:r>
        <w:instrText xml:space="preserve"> REF _Ref372805006 \h </w:instrText>
      </w:r>
      <w:r>
        <w:fldChar w:fldCharType="separate"/>
      </w:r>
      <w:r w:rsidR="00F64E4F">
        <w:t xml:space="preserve">Figure </w:t>
      </w:r>
      <w:r w:rsidR="00F64E4F">
        <w:rPr>
          <w:noProof/>
        </w:rPr>
        <w:t>6</w:t>
      </w:r>
      <w:r w:rsidR="00F64E4F">
        <w:t>.</w:t>
      </w:r>
      <w:r w:rsidR="00F64E4F">
        <w:rPr>
          <w:noProof/>
        </w:rPr>
        <w:t>17</w:t>
      </w:r>
      <w:r>
        <w:fldChar w:fldCharType="end"/>
      </w:r>
      <w:r w:rsidRPr="00DE0603">
        <w:t>). Finally</w:t>
      </w:r>
      <w:r w:rsidRPr="00C94C2F">
        <w:t xml:space="preserve">, local </w:t>
      </w:r>
      <w:r>
        <w:t xml:space="preserve">variations in the </w:t>
      </w:r>
      <w:r w:rsidRPr="00C94C2F">
        <w:t xml:space="preserve">strike of </w:t>
      </w:r>
      <w:r>
        <w:t>large</w:t>
      </w:r>
      <w:r w:rsidRPr="00C94C2F">
        <w:t xml:space="preserve"> faults also influence</w:t>
      </w:r>
      <w:r>
        <w:t>d</w:t>
      </w:r>
      <w:r w:rsidRPr="00C94C2F">
        <w:t xml:space="preserve"> slip and fracture stability. For example</w:t>
      </w:r>
      <w:r>
        <w:t>,</w:t>
      </w:r>
      <w:r w:rsidRPr="00C94C2F">
        <w:t xml:space="preserve"> </w:t>
      </w:r>
      <w:r>
        <w:t xml:space="preserve">the </w:t>
      </w:r>
      <w:proofErr w:type="spellStart"/>
      <w:r>
        <w:t>geomechanical</w:t>
      </w:r>
      <w:proofErr w:type="spellEnd"/>
      <w:r>
        <w:t xml:space="preserve"> modelling of the faults revealed that east-west</w:t>
      </w:r>
      <w:r w:rsidRPr="00C94C2F">
        <w:t xml:space="preserve"> fault segments</w:t>
      </w:r>
      <w:r>
        <w:t xml:space="preserve"> in the overall northwest trending faults of Province I and III </w:t>
      </w:r>
      <w:r w:rsidRPr="00C94C2F">
        <w:t>have lower stability, which increase</w:t>
      </w:r>
      <w:r>
        <w:t>s</w:t>
      </w:r>
      <w:r w:rsidRPr="00C94C2F">
        <w:t xml:space="preserve"> the defo</w:t>
      </w:r>
      <w:r>
        <w:t>rmation tendency on the faults at these segments.</w:t>
      </w:r>
    </w:p>
    <w:p w:rsidR="00AE0B1A" w:rsidRDefault="00AE0B1A" w:rsidP="00AE0B1A">
      <w:pPr>
        <w:pStyle w:val="Figuresandimagescentred"/>
      </w:pPr>
      <w:r>
        <w:rPr>
          <w:noProof/>
        </w:rPr>
        <w:drawing>
          <wp:inline distT="0" distB="0" distL="0" distR="0" wp14:anchorId="20899979" wp14:editId="59D16EA1">
            <wp:extent cx="4914000" cy="3988800"/>
            <wp:effectExtent l="0" t="0" r="1270" b="0"/>
            <wp:docPr id="2054" name="Picture 2054" descr="Due to the complexity of this document and the niche scientific target audience, no alternative description has been provided. Please email Geoscience Australia at clientservices@ga.gov.au for an alternative description." title="Fig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6finaldocs\9GA Record Concise Figures Final (GAV approved)\GAV Completed\13-7199-26.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11381" t="30432" r="11068" b="24978"/>
                    <a:stretch/>
                  </pic:blipFill>
                  <pic:spPr bwMode="auto">
                    <a:xfrm>
                      <a:off x="0" y="0"/>
                      <a:ext cx="4914000" cy="3988800"/>
                    </a:xfrm>
                    <a:prstGeom prst="rect">
                      <a:avLst/>
                    </a:prstGeom>
                    <a:noFill/>
                    <a:ln>
                      <a:noFill/>
                    </a:ln>
                    <a:extLst>
                      <a:ext uri="{53640926-AAD7-44D8-BBD7-CCE9431645EC}">
                        <a14:shadowObscured xmlns:a14="http://schemas.microsoft.com/office/drawing/2010/main"/>
                      </a:ext>
                    </a:extLst>
                  </pic:spPr>
                </pic:pic>
              </a:graphicData>
            </a:graphic>
          </wp:inline>
        </w:drawing>
      </w:r>
    </w:p>
    <w:p w:rsidR="00AE0B1A" w:rsidRPr="00255748" w:rsidRDefault="00AE0B1A" w:rsidP="00AE0B1A">
      <w:pPr>
        <w:pStyle w:val="Caption"/>
      </w:pPr>
      <w:bookmarkStart w:id="774" w:name="_Ref372805006"/>
      <w:bookmarkStart w:id="775" w:name="_Toc373095025"/>
      <w:bookmarkStart w:id="776" w:name="_Toc378252755"/>
      <w:bookmarkStart w:id="777" w:name="_Toc378253079"/>
      <w:bookmarkStart w:id="778" w:name="_Toc378253403"/>
      <w:bookmarkStart w:id="779" w:name="_Toc378253727"/>
      <w:bookmarkStart w:id="780" w:name="_Toc378254051"/>
      <w:bookmarkStart w:id="781" w:name="_Toc378254375"/>
      <w:bookmarkStart w:id="782" w:name="_Toc378254699"/>
      <w:bookmarkStart w:id="783" w:name="_Toc378255023"/>
      <w:bookmarkStart w:id="784" w:name="_Toc378255372"/>
      <w:r>
        <w:t xml:space="preserve">Figure </w:t>
      </w:r>
      <w:fldSimple w:instr=" STYLEREF 1 \s ">
        <w:r w:rsidR="00F64E4F">
          <w:rPr>
            <w:noProof/>
          </w:rPr>
          <w:t>6</w:t>
        </w:r>
      </w:fldSimple>
      <w:r w:rsidR="00AE5C2D">
        <w:t>.</w:t>
      </w:r>
      <w:fldSimple w:instr=" SEQ Figure \* ARABIC \s 1 ">
        <w:r w:rsidR="00F64E4F">
          <w:rPr>
            <w:noProof/>
          </w:rPr>
          <w:t>17</w:t>
        </w:r>
      </w:fldSimple>
      <w:bookmarkEnd w:id="774"/>
      <w:r>
        <w:t xml:space="preserve"> </w:t>
      </w:r>
      <w:r w:rsidRPr="00807DEF">
        <w:t xml:space="preserve">Simplified fault-trace map showing the theoretical pore pressure increase required for fault failure at reservoir levels (top </w:t>
      </w:r>
      <w:proofErr w:type="spellStart"/>
      <w:r w:rsidRPr="00807DEF">
        <w:t>Elang</w:t>
      </w:r>
      <w:proofErr w:type="spellEnd"/>
      <w:r>
        <w:t xml:space="preserve"> Formation</w:t>
      </w:r>
      <w:r w:rsidRPr="00807DEF">
        <w:t>, top upper Frigate Shale and</w:t>
      </w:r>
      <w:r>
        <w:t xml:space="preserve"> top Sandpiper Sandstone</w:t>
      </w:r>
      <w:r w:rsidRPr="00807DEF">
        <w:t xml:space="preserve">). Fault segments coloured in red are most prone to </w:t>
      </w:r>
      <w:r w:rsidRPr="00C94C2F">
        <w:rPr>
          <w:lang w:val="en-GB"/>
        </w:rPr>
        <w:t xml:space="preserve">reactivation if pressurised. </w:t>
      </w:r>
      <w:r>
        <w:rPr>
          <w:lang w:val="en-GB"/>
        </w:rPr>
        <w:t>Pore pressure is b</w:t>
      </w:r>
      <w:r w:rsidRPr="00C94C2F">
        <w:rPr>
          <w:lang w:val="en-GB"/>
        </w:rPr>
        <w:t>ased on the mi</w:t>
      </w:r>
      <w:r>
        <w:rPr>
          <w:lang w:val="en-GB"/>
        </w:rPr>
        <w:t>nimum value of slip stability and fracture stability in Scenario 1, figure s</w:t>
      </w:r>
      <w:r w:rsidRPr="00C94C2F">
        <w:rPr>
          <w:lang w:val="en-GB"/>
        </w:rPr>
        <w:t xml:space="preserve">implified from Figures 88-90 </w:t>
      </w:r>
      <w:r w:rsidRPr="00C94C2F">
        <w:t xml:space="preserve">of Appendix </w:t>
      </w:r>
      <w:r>
        <w:t>I</w:t>
      </w:r>
      <w:r w:rsidRPr="00C94C2F">
        <w:t>.</w:t>
      </w:r>
      <w:bookmarkEnd w:id="775"/>
      <w:bookmarkEnd w:id="776"/>
      <w:bookmarkEnd w:id="777"/>
      <w:bookmarkEnd w:id="778"/>
      <w:bookmarkEnd w:id="779"/>
      <w:bookmarkEnd w:id="780"/>
      <w:bookmarkEnd w:id="781"/>
      <w:bookmarkEnd w:id="782"/>
      <w:bookmarkEnd w:id="783"/>
      <w:bookmarkEnd w:id="784"/>
    </w:p>
    <w:p w:rsidR="00AE0B1A" w:rsidRPr="00C94C2F" w:rsidRDefault="00AE0B1A" w:rsidP="00AE0B1A">
      <w:pPr>
        <w:pStyle w:val="BodyText"/>
      </w:pPr>
      <w:r w:rsidRPr="00C94C2F">
        <w:lastRenderedPageBreak/>
        <w:t xml:space="preserve">The </w:t>
      </w:r>
      <w:proofErr w:type="spellStart"/>
      <w:r w:rsidRPr="00C94C2F">
        <w:t>geomechanical</w:t>
      </w:r>
      <w:proofErr w:type="spellEnd"/>
      <w:r w:rsidRPr="00C94C2F">
        <w:t xml:space="preserve"> study also evaluated the reservoir juxtaposition and hydraulic properties of the faults. This </w:t>
      </w:r>
      <w:r>
        <w:t xml:space="preserve">study </w:t>
      </w:r>
      <w:r w:rsidRPr="00C94C2F">
        <w:t>utilised the current seismic interpretation and conventional methods to determine the shale gouge ratio. The low stratigraphic throw on the majority of</w:t>
      </w:r>
      <w:r>
        <w:t xml:space="preserve"> the</w:t>
      </w:r>
      <w:r w:rsidRPr="00C94C2F">
        <w:t xml:space="preserve"> faults has resulted in </w:t>
      </w:r>
      <w:r>
        <w:t xml:space="preserve">reservoir </w:t>
      </w:r>
      <w:r w:rsidRPr="00C94C2F">
        <w:t>self-juxtaposition</w:t>
      </w:r>
      <w:r>
        <w:t xml:space="preserve"> across the fault</w:t>
      </w:r>
      <w:r w:rsidRPr="00C94C2F">
        <w:t>. With the current seismic interpretation</w:t>
      </w:r>
      <w:r>
        <w:t>, only</w:t>
      </w:r>
      <w:r w:rsidRPr="00C94C2F">
        <w:t xml:space="preserve"> two faults </w:t>
      </w:r>
      <w:r>
        <w:t xml:space="preserve">of Province V, </w:t>
      </w:r>
      <w:r w:rsidRPr="00C94C2F">
        <w:t xml:space="preserve">within the </w:t>
      </w:r>
      <w:r w:rsidRPr="00F75FB9">
        <w:t>Curlew 1</w:t>
      </w:r>
      <w:r w:rsidRPr="00C94C2F">
        <w:t xml:space="preserve"> region</w:t>
      </w:r>
      <w:r>
        <w:t>,</w:t>
      </w:r>
      <w:r w:rsidRPr="00C94C2F">
        <w:t xml:space="preserve"> would have a juxtaposition </w:t>
      </w:r>
      <w:r>
        <w:t>connecting the</w:t>
      </w:r>
      <w:r w:rsidRPr="00C94C2F">
        <w:t xml:space="preserve"> </w:t>
      </w:r>
      <w:r>
        <w:t>Cretaceous reservoir</w:t>
      </w:r>
      <w:r w:rsidRPr="00C94C2F">
        <w:t xml:space="preserve"> and </w:t>
      </w:r>
      <w:r>
        <w:t xml:space="preserve">Jurassic reservoir. The </w:t>
      </w:r>
      <w:proofErr w:type="spellStart"/>
      <w:r>
        <w:t>geomechanical</w:t>
      </w:r>
      <w:proofErr w:type="spellEnd"/>
      <w:r>
        <w:t xml:space="preserve"> model of the faults indicates that the p</w:t>
      </w:r>
      <w:r w:rsidRPr="00C94C2F">
        <w:t>ermeability in the fault planes varie</w:t>
      </w:r>
      <w:r>
        <w:t>s</w:t>
      </w:r>
      <w:r w:rsidRPr="00C94C2F">
        <w:t xml:space="preserve"> widely, </w:t>
      </w:r>
      <w:r>
        <w:t xml:space="preserve">from </w:t>
      </w:r>
      <w:r w:rsidRPr="00C94C2F">
        <w:t xml:space="preserve">0.1 to 100 </w:t>
      </w:r>
      <w:proofErr w:type="spellStart"/>
      <w:r>
        <w:t>mD</w:t>
      </w:r>
      <w:proofErr w:type="spellEnd"/>
      <w:r w:rsidRPr="00C94C2F">
        <w:t xml:space="preserve"> depending on the depth, orientation and methodology used to calculate </w:t>
      </w:r>
      <w:r>
        <w:t>permeability (Appendix I)</w:t>
      </w:r>
      <w:r w:rsidRPr="00C94C2F">
        <w:t xml:space="preserve">. In general, shallow clay-poor faults would have high permeability attributed to zones of disaggregation in the rock. This </w:t>
      </w:r>
      <w:r>
        <w:t>mostly</w:t>
      </w:r>
      <w:r w:rsidRPr="00C94C2F">
        <w:t xml:space="preserve"> </w:t>
      </w:r>
      <w:r>
        <w:t xml:space="preserve">corresponds </w:t>
      </w:r>
      <w:r w:rsidRPr="00C94C2F">
        <w:t>to the faults on the eastern margin (</w:t>
      </w:r>
      <w:r>
        <w:t>Provinces II and III</w:t>
      </w:r>
      <w:r w:rsidRPr="00C94C2F">
        <w:t>). The deeper clay-poor fault zones</w:t>
      </w:r>
      <w:r>
        <w:t>,</w:t>
      </w:r>
      <w:r w:rsidRPr="00C94C2F">
        <w:t xml:space="preserve"> generally attributed to fault </w:t>
      </w:r>
      <w:r>
        <w:t>Provinces I</w:t>
      </w:r>
      <w:r w:rsidRPr="00C94C2F">
        <w:t xml:space="preserve"> and </w:t>
      </w:r>
      <w:r>
        <w:t>IV,</w:t>
      </w:r>
      <w:r w:rsidRPr="00C94C2F">
        <w:t xml:space="preserve"> would preserve cemented </w:t>
      </w:r>
      <w:proofErr w:type="spellStart"/>
      <w:r w:rsidRPr="00C94C2F">
        <w:t>cataclasites</w:t>
      </w:r>
      <w:proofErr w:type="spellEnd"/>
      <w:r w:rsidRPr="00C94C2F">
        <w:t xml:space="preserve"> and thus have low permeability. Only through fault-rock permeability analysis of a core</w:t>
      </w:r>
      <w:r>
        <w:t>d</w:t>
      </w:r>
      <w:r w:rsidRPr="00C94C2F">
        <w:t xml:space="preserve"> section </w:t>
      </w:r>
      <w:r>
        <w:t>of</w:t>
      </w:r>
      <w:r w:rsidRPr="00C94C2F">
        <w:t xml:space="preserve"> a faulted interval could the large va</w:t>
      </w:r>
      <w:r>
        <w:t>riation be better constrained and c</w:t>
      </w:r>
      <w:r w:rsidRPr="00C94C2F">
        <w:t xml:space="preserve">urrently </w:t>
      </w:r>
      <w:r>
        <w:t xml:space="preserve">there are no </w:t>
      </w:r>
      <w:r w:rsidRPr="00C94C2F">
        <w:t xml:space="preserve">core </w:t>
      </w:r>
      <w:r>
        <w:t>samples through a faulted zone</w:t>
      </w:r>
      <w:r w:rsidRPr="00C94C2F">
        <w:t xml:space="preserve">. In summary, according to the base case </w:t>
      </w:r>
      <w:r>
        <w:t>S</w:t>
      </w:r>
      <w:r w:rsidRPr="00C94C2F">
        <w:t xml:space="preserve">cenario </w:t>
      </w:r>
      <w:r>
        <w:t>One</w:t>
      </w:r>
      <w:r w:rsidRPr="00C94C2F">
        <w:t xml:space="preserve"> of the </w:t>
      </w:r>
      <w:proofErr w:type="spellStart"/>
      <w:r w:rsidRPr="00C94C2F">
        <w:t>geomechanical</w:t>
      </w:r>
      <w:proofErr w:type="spellEnd"/>
      <w:r w:rsidRPr="00C94C2F">
        <w:t xml:space="preserve"> study</w:t>
      </w:r>
      <w:r>
        <w:t>,</w:t>
      </w:r>
      <w:r w:rsidRPr="00C94C2F">
        <w:t xml:space="preserve"> fault </w:t>
      </w:r>
      <w:r>
        <w:t>Province</w:t>
      </w:r>
      <w:r w:rsidRPr="00C94C2F">
        <w:t xml:space="preserve">s </w:t>
      </w:r>
      <w:r>
        <w:t>II</w:t>
      </w:r>
      <w:r w:rsidRPr="00C94C2F">
        <w:t xml:space="preserve"> to </w:t>
      </w:r>
      <w:r>
        <w:t>V</w:t>
      </w:r>
      <w:r w:rsidRPr="00C94C2F">
        <w:t xml:space="preserve"> </w:t>
      </w:r>
      <w:r>
        <w:t>have some heightened potential for fault failure either due to orientation, dip, or depth</w:t>
      </w:r>
      <w:r w:rsidRPr="00C94C2F">
        <w:t>. In terms of CO</w:t>
      </w:r>
      <w:r w:rsidRPr="009D5B2E">
        <w:rPr>
          <w:rStyle w:val="Subscript"/>
        </w:rPr>
        <w:t>2</w:t>
      </w:r>
      <w:r w:rsidRPr="00C94C2F">
        <w:t xml:space="preserve"> geological storage, these areas of the Petrel Sub-basin </w:t>
      </w:r>
      <w:r>
        <w:t>are</w:t>
      </w:r>
      <w:r w:rsidRPr="00C94C2F">
        <w:t xml:space="preserve"> </w:t>
      </w:r>
      <w:r>
        <w:t xml:space="preserve">considered a </w:t>
      </w:r>
      <w:r w:rsidRPr="00C94C2F">
        <w:t>low priority</w:t>
      </w:r>
      <w:r>
        <w:t>.</w:t>
      </w:r>
      <w:r w:rsidRPr="00C94C2F">
        <w:t xml:space="preserve"> In contrast, faults of </w:t>
      </w:r>
      <w:r>
        <w:t>Province I that</w:t>
      </w:r>
      <w:r w:rsidRPr="00C94C2F">
        <w:t xml:space="preserve"> have a</w:t>
      </w:r>
      <w:r>
        <w:t>n overall</w:t>
      </w:r>
      <w:r w:rsidRPr="00C94C2F">
        <w:t xml:space="preserve"> low risk of deformation are also located in a region of high </w:t>
      </w:r>
      <w:r>
        <w:t>CO</w:t>
      </w:r>
      <w:r w:rsidRPr="00F60B69">
        <w:rPr>
          <w:rStyle w:val="Subscript"/>
        </w:rPr>
        <w:t>2</w:t>
      </w:r>
      <w:r>
        <w:t xml:space="preserve"> geological storage </w:t>
      </w:r>
      <w:r w:rsidRPr="00C94C2F">
        <w:t>potential.</w:t>
      </w:r>
    </w:p>
    <w:p w:rsidR="00AE0B1A" w:rsidRPr="008442DF" w:rsidRDefault="00AE0B1A" w:rsidP="00AE0B1A">
      <w:pPr>
        <w:pStyle w:val="Head3nonumbers"/>
      </w:pPr>
      <w:bookmarkStart w:id="785" w:name="_Toc378252901"/>
      <w:bookmarkStart w:id="786" w:name="_Toc378253225"/>
      <w:bookmarkStart w:id="787" w:name="_Toc378253549"/>
      <w:bookmarkStart w:id="788" w:name="_Toc378253873"/>
      <w:bookmarkStart w:id="789" w:name="_Toc378254197"/>
      <w:bookmarkStart w:id="790" w:name="_Toc378254521"/>
      <w:bookmarkStart w:id="791" w:name="_Toc378254845"/>
      <w:bookmarkStart w:id="792" w:name="_Toc378255169"/>
      <w:bookmarkStart w:id="793" w:name="_Toc383758227"/>
      <w:r w:rsidRPr="008442DF">
        <w:t>Polygonal Fault Study</w:t>
      </w:r>
      <w:bookmarkEnd w:id="785"/>
      <w:bookmarkEnd w:id="786"/>
      <w:bookmarkEnd w:id="787"/>
      <w:bookmarkEnd w:id="788"/>
      <w:bookmarkEnd w:id="789"/>
      <w:bookmarkEnd w:id="790"/>
      <w:bookmarkEnd w:id="791"/>
      <w:bookmarkEnd w:id="792"/>
      <w:bookmarkEnd w:id="793"/>
    </w:p>
    <w:p w:rsidR="00AE0B1A" w:rsidRDefault="00AE0B1A" w:rsidP="00AE0B1A">
      <w:pPr>
        <w:pStyle w:val="BodyText"/>
        <w:rPr>
          <w:bCs/>
        </w:rPr>
      </w:pPr>
      <w:r w:rsidRPr="00C94C2F">
        <w:rPr>
          <w:bCs/>
        </w:rPr>
        <w:t xml:space="preserve">The </w:t>
      </w:r>
      <w:r>
        <w:rPr>
          <w:bCs/>
        </w:rPr>
        <w:t xml:space="preserve">presence of </w:t>
      </w:r>
      <w:r w:rsidRPr="00C94C2F">
        <w:rPr>
          <w:bCs/>
        </w:rPr>
        <w:t>polygonal faults within the Bathurst Island Group</w:t>
      </w:r>
      <w:r>
        <w:rPr>
          <w:bCs/>
        </w:rPr>
        <w:t xml:space="preserve"> has the potential to compromise the integrity of</w:t>
      </w:r>
      <w:r w:rsidRPr="00C94C2F">
        <w:rPr>
          <w:bCs/>
        </w:rPr>
        <w:t xml:space="preserve"> the lower portion of regional seal and therefore the </w:t>
      </w:r>
      <w:r>
        <w:rPr>
          <w:bCs/>
        </w:rPr>
        <w:t>overall CO</w:t>
      </w:r>
      <w:r w:rsidRPr="009D5B2E">
        <w:rPr>
          <w:rStyle w:val="Subscript"/>
        </w:rPr>
        <w:t>2</w:t>
      </w:r>
      <w:r>
        <w:rPr>
          <w:bCs/>
        </w:rPr>
        <w:t xml:space="preserve"> geological </w:t>
      </w:r>
      <w:r w:rsidRPr="00C94C2F">
        <w:rPr>
          <w:bCs/>
        </w:rPr>
        <w:t>storage potential</w:t>
      </w:r>
      <w:r>
        <w:rPr>
          <w:bCs/>
        </w:rPr>
        <w:t>. As such, a detailed evaluation of their distribution and character was undertaken to assess their significance for the Petrel Sub-basin.</w:t>
      </w:r>
    </w:p>
    <w:p w:rsidR="00AE0B1A" w:rsidRPr="00C94C2F" w:rsidRDefault="00AE0B1A" w:rsidP="00AE0B1A">
      <w:pPr>
        <w:pStyle w:val="BodyText"/>
        <w:rPr>
          <w:bCs/>
        </w:rPr>
      </w:pPr>
      <w:r>
        <w:rPr>
          <w:bCs/>
        </w:rPr>
        <w:t xml:space="preserve">Polygonal </w:t>
      </w:r>
      <w:r w:rsidRPr="00C94C2F">
        <w:rPr>
          <w:bCs/>
        </w:rPr>
        <w:t xml:space="preserve">faults form in a </w:t>
      </w:r>
      <w:proofErr w:type="spellStart"/>
      <w:r w:rsidRPr="00C94C2F">
        <w:rPr>
          <w:bCs/>
        </w:rPr>
        <w:t>kinematic</w:t>
      </w:r>
      <w:r>
        <w:rPr>
          <w:bCs/>
        </w:rPr>
        <w:t>ally</w:t>
      </w:r>
      <w:proofErr w:type="spellEnd"/>
      <w:r w:rsidRPr="00C94C2F">
        <w:rPr>
          <w:bCs/>
        </w:rPr>
        <w:t xml:space="preserve"> coherent manner with faulting and displacement occurring synchronously within the discrete layers. </w:t>
      </w:r>
      <w:r>
        <w:rPr>
          <w:bCs/>
        </w:rPr>
        <w:t>F</w:t>
      </w:r>
      <w:r w:rsidRPr="00C94C2F">
        <w:rPr>
          <w:bCs/>
        </w:rPr>
        <w:t xml:space="preserve">aulting occurs typically within shallow burial depths </w:t>
      </w:r>
      <w:r>
        <w:rPr>
          <w:bCs/>
          <w:noProof/>
        </w:rPr>
        <w:t>(Gay et al., 2004; Berndt et al., 2012; Laurent et al., 2012)</w:t>
      </w:r>
      <w:r w:rsidRPr="00C94C2F">
        <w:rPr>
          <w:bCs/>
        </w:rPr>
        <w:t>. The actual catalyst for initial deformation is widely disputed</w:t>
      </w:r>
      <w:r>
        <w:rPr>
          <w:bCs/>
        </w:rPr>
        <w:t xml:space="preserve"> with proposals</w:t>
      </w:r>
      <w:r w:rsidRPr="00C94C2F">
        <w:rPr>
          <w:bCs/>
        </w:rPr>
        <w:t xml:space="preserve"> ranging from overpressure, density inversion</w:t>
      </w:r>
      <w:r>
        <w:rPr>
          <w:bCs/>
        </w:rPr>
        <w:t>,</w:t>
      </w:r>
      <w:r w:rsidRPr="00C94C2F">
        <w:rPr>
          <w:bCs/>
        </w:rPr>
        <w:t xml:space="preserve"> and compaction and de-watering </w:t>
      </w:r>
      <w:r>
        <w:rPr>
          <w:bCs/>
          <w:noProof/>
        </w:rPr>
        <w:t>(Cartwright and Lonergan, 1996; Cartwright and Dewhurst, 1998; Lonergan et al., 1998; Watterson et al., 2000;</w:t>
      </w:r>
      <w:r w:rsidRPr="00FB63A3">
        <w:rPr>
          <w:bCs/>
          <w:noProof/>
        </w:rPr>
        <w:t xml:space="preserve"> </w:t>
      </w:r>
      <w:r>
        <w:rPr>
          <w:bCs/>
          <w:noProof/>
        </w:rPr>
        <w:t>Cartwright et al., 2003; Nicol et al., 2003; Cartwright, 2011)</w:t>
      </w:r>
      <w:r w:rsidRPr="00C94C2F">
        <w:rPr>
          <w:bCs/>
        </w:rPr>
        <w:t>. While details of these mechanisms vary between models, they all require the burial of fluid-saturated sediments rich in clay minerals. The ongoing deposition of very fine-grained sediments triggers polygonal faulting in the underlying (and previously undeformed) unit. The process repeats with the deposition of subsequent unit</w:t>
      </w:r>
      <w:r>
        <w:rPr>
          <w:bCs/>
        </w:rPr>
        <w:t>s</w:t>
      </w:r>
      <w:r w:rsidRPr="00C94C2F">
        <w:rPr>
          <w:bCs/>
        </w:rPr>
        <w:t>. The new faults link to the lower units via relay faults</w:t>
      </w:r>
      <w:r>
        <w:rPr>
          <w:bCs/>
        </w:rPr>
        <w:t xml:space="preserve"> and fractures.</w:t>
      </w:r>
    </w:p>
    <w:p w:rsidR="00AE0B1A" w:rsidRDefault="00AE0B1A" w:rsidP="00AE0B1A">
      <w:pPr>
        <w:pStyle w:val="BodyText"/>
        <w:rPr>
          <w:bCs/>
        </w:rPr>
      </w:pPr>
      <w:r w:rsidRPr="00C94C2F">
        <w:rPr>
          <w:bCs/>
        </w:rPr>
        <w:t>The polygonal faults are distributed almost ubiquitously across</w:t>
      </w:r>
      <w:r>
        <w:rPr>
          <w:bCs/>
        </w:rPr>
        <w:t xml:space="preserve"> the Petrel Sub-basin study area (</w:t>
      </w:r>
      <w:r>
        <w:rPr>
          <w:bCs/>
        </w:rPr>
        <w:fldChar w:fldCharType="begin"/>
      </w:r>
      <w:r>
        <w:rPr>
          <w:bCs/>
        </w:rPr>
        <w:instrText xml:space="preserve"> REF _Ref372288044 \h </w:instrText>
      </w:r>
      <w:r>
        <w:rPr>
          <w:bCs/>
        </w:rPr>
      </w:r>
      <w:r>
        <w:rPr>
          <w:bCs/>
        </w:rPr>
        <w:fldChar w:fldCharType="separate"/>
      </w:r>
      <w:r w:rsidR="00F64E4F">
        <w:t>Figure </w:t>
      </w:r>
      <w:r w:rsidR="00F64E4F">
        <w:rPr>
          <w:noProof/>
        </w:rPr>
        <w:t>1</w:t>
      </w:r>
      <w:r w:rsidR="00F64E4F">
        <w:t>.</w:t>
      </w:r>
      <w:r w:rsidR="00F64E4F">
        <w:rPr>
          <w:noProof/>
        </w:rPr>
        <w:t>4</w:t>
      </w:r>
      <w:r>
        <w:rPr>
          <w:bCs/>
        </w:rPr>
        <w:fldChar w:fldCharType="end"/>
      </w:r>
      <w:r>
        <w:rPr>
          <w:bCs/>
        </w:rPr>
        <w:t xml:space="preserve">). </w:t>
      </w:r>
      <w:r w:rsidRPr="00C94C2F">
        <w:rPr>
          <w:bCs/>
        </w:rPr>
        <w:t xml:space="preserve">The geometry, displacement patterns and stratigraphic-bound nature of the polygonal faults are comparable to polygonal faults </w:t>
      </w:r>
      <w:r>
        <w:rPr>
          <w:bCs/>
        </w:rPr>
        <w:t>seen elsewhere</w:t>
      </w:r>
      <w:r w:rsidRPr="00C94C2F">
        <w:rPr>
          <w:bCs/>
        </w:rPr>
        <w:t xml:space="preserve"> </w:t>
      </w:r>
      <w:r>
        <w:rPr>
          <w:bCs/>
          <w:noProof/>
        </w:rPr>
        <w:t>(Cartwright et al., 2003)</w:t>
      </w:r>
      <w:r w:rsidRPr="00C94C2F">
        <w:rPr>
          <w:bCs/>
        </w:rPr>
        <w:t xml:space="preserve">. The </w:t>
      </w:r>
      <w:r>
        <w:rPr>
          <w:bCs/>
        </w:rPr>
        <w:t xml:space="preserve">polygonal </w:t>
      </w:r>
      <w:r w:rsidRPr="00C94C2F">
        <w:rPr>
          <w:bCs/>
        </w:rPr>
        <w:t xml:space="preserve">faults are planar or gently </w:t>
      </w:r>
      <w:proofErr w:type="spellStart"/>
      <w:r w:rsidRPr="00C94C2F">
        <w:rPr>
          <w:bCs/>
        </w:rPr>
        <w:t>listric</w:t>
      </w:r>
      <w:proofErr w:type="spellEnd"/>
      <w:r w:rsidRPr="00C94C2F">
        <w:rPr>
          <w:bCs/>
        </w:rPr>
        <w:t>, with dips typically ranging from 30</w:t>
      </w:r>
      <w:r w:rsidRPr="00DE0603">
        <w:rPr>
          <w:bCs/>
        </w:rPr>
        <w:t>° to 70°, heights of &lt;100 m, and typical lengths of less than 1500 m (</w:t>
      </w:r>
      <w:r>
        <w:rPr>
          <w:bCs/>
        </w:rPr>
        <w:fldChar w:fldCharType="begin"/>
      </w:r>
      <w:r>
        <w:rPr>
          <w:bCs/>
        </w:rPr>
        <w:instrText xml:space="preserve"> REF _Ref372805050 \h </w:instrText>
      </w:r>
      <w:r>
        <w:rPr>
          <w:bCs/>
        </w:rPr>
      </w:r>
      <w:r>
        <w:rPr>
          <w:bCs/>
        </w:rPr>
        <w:fldChar w:fldCharType="separate"/>
      </w:r>
      <w:r w:rsidR="00F64E4F" w:rsidRPr="00016FA4">
        <w:t xml:space="preserve">Figure </w:t>
      </w:r>
      <w:r w:rsidR="00F64E4F">
        <w:rPr>
          <w:noProof/>
        </w:rPr>
        <w:t>6</w:t>
      </w:r>
      <w:r w:rsidR="00F64E4F" w:rsidRPr="00016FA4">
        <w:t>.</w:t>
      </w:r>
      <w:r w:rsidR="00F64E4F">
        <w:rPr>
          <w:noProof/>
        </w:rPr>
        <w:t>18</w:t>
      </w:r>
      <w:r>
        <w:rPr>
          <w:bCs/>
        </w:rPr>
        <w:fldChar w:fldCharType="end"/>
      </w:r>
      <w:r w:rsidRPr="00F75FB9">
        <w:rPr>
          <w:bCs/>
        </w:rPr>
        <w:t>a, b</w:t>
      </w:r>
      <w:r w:rsidRPr="00DE0603">
        <w:rPr>
          <w:bCs/>
        </w:rPr>
        <w:t xml:space="preserve">). </w:t>
      </w:r>
      <w:r>
        <w:rPr>
          <w:bCs/>
        </w:rPr>
        <w:t>I</w:t>
      </w:r>
      <w:r w:rsidRPr="00DE0603">
        <w:rPr>
          <w:bCs/>
        </w:rPr>
        <w:t>ndividual</w:t>
      </w:r>
      <w:r>
        <w:rPr>
          <w:bCs/>
        </w:rPr>
        <w:t xml:space="preserve"> </w:t>
      </w:r>
      <w:r w:rsidRPr="00DE0603">
        <w:rPr>
          <w:bCs/>
        </w:rPr>
        <w:t>faults have no defined orientation or trend, but intersect each other at high angles, with a central un-faulted horst of about 500-1500 m in diameter (</w:t>
      </w:r>
      <w:r>
        <w:rPr>
          <w:bCs/>
        </w:rPr>
        <w:fldChar w:fldCharType="begin"/>
      </w:r>
      <w:r>
        <w:rPr>
          <w:bCs/>
        </w:rPr>
        <w:instrText xml:space="preserve"> REF _Ref372805050 \h </w:instrText>
      </w:r>
      <w:r>
        <w:rPr>
          <w:bCs/>
        </w:rPr>
      </w:r>
      <w:r>
        <w:rPr>
          <w:bCs/>
        </w:rPr>
        <w:fldChar w:fldCharType="separate"/>
      </w:r>
      <w:r w:rsidR="00F64E4F" w:rsidRPr="00016FA4">
        <w:t xml:space="preserve">Figure </w:t>
      </w:r>
      <w:r w:rsidR="00F64E4F">
        <w:rPr>
          <w:noProof/>
        </w:rPr>
        <w:t>6</w:t>
      </w:r>
      <w:r w:rsidR="00F64E4F" w:rsidRPr="00016FA4">
        <w:t>.</w:t>
      </w:r>
      <w:r w:rsidR="00F64E4F">
        <w:rPr>
          <w:noProof/>
        </w:rPr>
        <w:t>18</w:t>
      </w:r>
      <w:r>
        <w:rPr>
          <w:bCs/>
        </w:rPr>
        <w:fldChar w:fldCharType="end"/>
      </w:r>
      <w:r w:rsidRPr="00F75FB9">
        <w:rPr>
          <w:bCs/>
        </w:rPr>
        <w:t>e-h</w:t>
      </w:r>
      <w:r>
        <w:rPr>
          <w:bCs/>
        </w:rPr>
        <w:t>).</w:t>
      </w:r>
    </w:p>
    <w:p w:rsidR="00AE0B1A" w:rsidRDefault="00AE0B1A" w:rsidP="00AE0B1A">
      <w:pPr>
        <w:pStyle w:val="BodyText"/>
        <w:rPr>
          <w:bCs/>
        </w:rPr>
      </w:pPr>
      <w:r w:rsidRPr="00DE0603">
        <w:rPr>
          <w:bCs/>
        </w:rPr>
        <w:t xml:space="preserve">The number of faults </w:t>
      </w:r>
      <w:r>
        <w:rPr>
          <w:bCs/>
        </w:rPr>
        <w:t>decreases</w:t>
      </w:r>
      <w:r w:rsidRPr="00DE0603">
        <w:rPr>
          <w:bCs/>
        </w:rPr>
        <w:t xml:space="preserve"> near the base of the Bathurst Island Group where the grain size coarsens slightly</w:t>
      </w:r>
      <w:r>
        <w:rPr>
          <w:bCs/>
        </w:rPr>
        <w:t>, with only limited, inconclusive evidence on the seismic traces suggesting that faulting may extend into the underlying Sandpiper Sandstone</w:t>
      </w:r>
      <w:r w:rsidRPr="00DE0603">
        <w:rPr>
          <w:bCs/>
        </w:rPr>
        <w:t xml:space="preserve">. </w:t>
      </w:r>
      <w:r>
        <w:rPr>
          <w:bCs/>
        </w:rPr>
        <w:t>Polygonal f</w:t>
      </w:r>
      <w:r w:rsidRPr="00DE0603">
        <w:rPr>
          <w:bCs/>
        </w:rPr>
        <w:t>ault</w:t>
      </w:r>
      <w:r>
        <w:rPr>
          <w:bCs/>
        </w:rPr>
        <w:t>s are</w:t>
      </w:r>
      <w:r w:rsidRPr="00DE0603">
        <w:rPr>
          <w:bCs/>
        </w:rPr>
        <w:t xml:space="preserve"> also not present in </w:t>
      </w:r>
      <w:r w:rsidRPr="00DE0603">
        <w:rPr>
          <w:bCs/>
        </w:rPr>
        <w:lastRenderedPageBreak/>
        <w:t xml:space="preserve">the upper section </w:t>
      </w:r>
      <w:r>
        <w:rPr>
          <w:bCs/>
        </w:rPr>
        <w:t>of the Bathurst Island Group for the same reason, which is supported by the marine survey that found no link between the faulting and surface features, such as the pockmarks.</w:t>
      </w:r>
      <w:r>
        <w:t xml:space="preserve"> </w:t>
      </w:r>
      <w:r w:rsidRPr="00DE0603">
        <w:rPr>
          <w:bCs/>
        </w:rPr>
        <w:t>Individual fault segments terminat</w:t>
      </w:r>
      <w:r>
        <w:rPr>
          <w:bCs/>
        </w:rPr>
        <w:t xml:space="preserve">e at distinct layer boundaries </w:t>
      </w:r>
      <w:r w:rsidRPr="00DE0603">
        <w:rPr>
          <w:bCs/>
        </w:rPr>
        <w:t>to form a series of segmented, layer-bound arrays of normal faults over 10 stratigraphic intervals (</w:t>
      </w:r>
      <w:r>
        <w:rPr>
          <w:bCs/>
        </w:rPr>
        <w:fldChar w:fldCharType="begin"/>
      </w:r>
      <w:r>
        <w:rPr>
          <w:bCs/>
        </w:rPr>
        <w:instrText xml:space="preserve"> REF _Ref372805050 \h </w:instrText>
      </w:r>
      <w:r>
        <w:rPr>
          <w:bCs/>
        </w:rPr>
      </w:r>
      <w:r>
        <w:rPr>
          <w:bCs/>
        </w:rPr>
        <w:fldChar w:fldCharType="separate"/>
      </w:r>
      <w:r w:rsidR="00F64E4F" w:rsidRPr="00016FA4">
        <w:t xml:space="preserve">Figure </w:t>
      </w:r>
      <w:r w:rsidR="00F64E4F">
        <w:rPr>
          <w:noProof/>
        </w:rPr>
        <w:t>6</w:t>
      </w:r>
      <w:r w:rsidR="00F64E4F" w:rsidRPr="00016FA4">
        <w:t>.</w:t>
      </w:r>
      <w:r w:rsidR="00F64E4F">
        <w:rPr>
          <w:noProof/>
        </w:rPr>
        <w:t>18</w:t>
      </w:r>
      <w:r>
        <w:rPr>
          <w:bCs/>
        </w:rPr>
        <w:fldChar w:fldCharType="end"/>
      </w:r>
      <w:r w:rsidRPr="00367911">
        <w:rPr>
          <w:bCs/>
        </w:rPr>
        <w:t>b). Due to the nature of layer-bound termination, no single polygonal fault forms a continuous trace through the entire sequence</w:t>
      </w:r>
      <w:r>
        <w:rPr>
          <w:bCs/>
        </w:rPr>
        <w:t>. I</w:t>
      </w:r>
      <w:r w:rsidRPr="00367911">
        <w:rPr>
          <w:bCs/>
        </w:rPr>
        <w:t xml:space="preserve">ndividual faults are possibly connected via relays </w:t>
      </w:r>
      <w:r>
        <w:rPr>
          <w:bCs/>
        </w:rPr>
        <w:t>forming</w:t>
      </w:r>
      <w:r w:rsidRPr="00DE0603">
        <w:rPr>
          <w:bCs/>
        </w:rPr>
        <w:t xml:space="preserve"> </w:t>
      </w:r>
      <w:r>
        <w:rPr>
          <w:bCs/>
        </w:rPr>
        <w:t>a large, single linked fault</w:t>
      </w:r>
      <w:r w:rsidRPr="00DE0603">
        <w:rPr>
          <w:bCs/>
        </w:rPr>
        <w:t xml:space="preserve"> </w:t>
      </w:r>
      <w:r>
        <w:rPr>
          <w:bCs/>
        </w:rPr>
        <w:t xml:space="preserve">system </w:t>
      </w:r>
      <w:r w:rsidRPr="00DE0603">
        <w:rPr>
          <w:bCs/>
        </w:rPr>
        <w:t>that span</w:t>
      </w:r>
      <w:r>
        <w:rPr>
          <w:bCs/>
        </w:rPr>
        <w:t>s</w:t>
      </w:r>
      <w:r w:rsidRPr="00DE0603">
        <w:rPr>
          <w:bCs/>
        </w:rPr>
        <w:t xml:space="preserve"> the lower section</w:t>
      </w:r>
      <w:r>
        <w:rPr>
          <w:bCs/>
        </w:rPr>
        <w:t xml:space="preserve"> of the Bathurst Island Group.</w:t>
      </w:r>
    </w:p>
    <w:p w:rsidR="00AE0B1A" w:rsidRPr="00ED421F" w:rsidRDefault="00AE0B1A" w:rsidP="00ED421F">
      <w:pPr>
        <w:pStyle w:val="BodyText"/>
      </w:pPr>
      <w:r w:rsidRPr="00DE0603">
        <w:t>Fault intensity and displacement increases with depth and appears to be at its maximum within the Darwin Formation, dissipating rapidly into the Echuca Shoals Formation</w:t>
      </w:r>
      <w:r>
        <w:t>,</w:t>
      </w:r>
      <w:r w:rsidRPr="00DE0603">
        <w:t xml:space="preserve"> near the base of the Bathurst Island Group (</w:t>
      </w:r>
      <w:r>
        <w:fldChar w:fldCharType="begin"/>
      </w:r>
      <w:r>
        <w:instrText xml:space="preserve"> REF _Ref372805050 \h </w:instrText>
      </w:r>
      <w:r>
        <w:fldChar w:fldCharType="separate"/>
      </w:r>
      <w:r w:rsidR="00F64E4F" w:rsidRPr="00016FA4">
        <w:t xml:space="preserve">Figure </w:t>
      </w:r>
      <w:r w:rsidR="00F64E4F">
        <w:rPr>
          <w:noProof/>
        </w:rPr>
        <w:t>6</w:t>
      </w:r>
      <w:r w:rsidR="00F64E4F" w:rsidRPr="00016FA4">
        <w:t>.</w:t>
      </w:r>
      <w:r w:rsidR="00F64E4F">
        <w:rPr>
          <w:noProof/>
        </w:rPr>
        <w:t>18</w:t>
      </w:r>
      <w:r>
        <w:fldChar w:fldCharType="end"/>
      </w:r>
      <w:r w:rsidRPr="00F75FB9">
        <w:t>c, d</w:t>
      </w:r>
      <w:r w:rsidRPr="00DE0603">
        <w:t xml:space="preserve">). </w:t>
      </w:r>
      <w:r>
        <w:t>T</w:t>
      </w:r>
      <w:r w:rsidRPr="00C94C2F">
        <w:t xml:space="preserve">he intensity of faulting </w:t>
      </w:r>
      <w:r>
        <w:t xml:space="preserve">in the </w:t>
      </w:r>
      <w:r w:rsidRPr="00C94C2F">
        <w:t xml:space="preserve">Darwin Formation </w:t>
      </w:r>
      <w:r>
        <w:t>may either be</w:t>
      </w:r>
      <w:r w:rsidRPr="00C94C2F">
        <w:t xml:space="preserve"> related to the brittle nature of the carbonate-dominated formation</w:t>
      </w:r>
      <w:r>
        <w:t>,</w:t>
      </w:r>
      <w:r w:rsidRPr="00C94C2F">
        <w:t xml:space="preserve"> or an observational </w:t>
      </w:r>
      <w:r>
        <w:t>artefact</w:t>
      </w:r>
      <w:r w:rsidRPr="00C94C2F">
        <w:t xml:space="preserve"> caused by higher seismic amplitude</w:t>
      </w:r>
      <w:r>
        <w:t>s</w:t>
      </w:r>
      <w:r w:rsidRPr="00C94C2F">
        <w:t xml:space="preserve">. </w:t>
      </w:r>
    </w:p>
    <w:p w:rsidR="00AE0B1A" w:rsidRPr="00ED421F" w:rsidRDefault="00214A5B" w:rsidP="00016FA4">
      <w:pPr>
        <w:pStyle w:val="Figuresandimagescentred"/>
      </w:pPr>
      <w:r w:rsidRPr="00ED421F">
        <w:rPr>
          <w:noProof/>
        </w:rPr>
        <w:drawing>
          <wp:inline distT="0" distB="0" distL="0" distR="0" wp14:anchorId="528DEEC1" wp14:editId="2A0D3AE8">
            <wp:extent cx="5580000" cy="4977154"/>
            <wp:effectExtent l="0" t="0" r="1905" b="0"/>
            <wp:docPr id="14" name="Picture 14" descr="Due to the complexity of this document and the niche scientific target audience, no alternative description has been provided. Please email Geoscience Australia at clientservices@ga.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199-2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580000" cy="4977154"/>
                    </a:xfrm>
                    <a:prstGeom prst="rect">
                      <a:avLst/>
                    </a:prstGeom>
                  </pic:spPr>
                </pic:pic>
              </a:graphicData>
            </a:graphic>
          </wp:inline>
        </w:drawing>
      </w:r>
    </w:p>
    <w:p w:rsidR="00AE0B1A" w:rsidRPr="00016FA4" w:rsidRDefault="00AE0B1A" w:rsidP="00016FA4">
      <w:pPr>
        <w:pStyle w:val="Caption-01"/>
      </w:pPr>
      <w:bookmarkStart w:id="794" w:name="_Ref372805050"/>
      <w:bookmarkStart w:id="795" w:name="_Toc373095026"/>
      <w:bookmarkStart w:id="796" w:name="_Toc378252756"/>
      <w:bookmarkStart w:id="797" w:name="_Toc378253080"/>
      <w:bookmarkStart w:id="798" w:name="_Toc378253404"/>
      <w:bookmarkStart w:id="799" w:name="_Toc378253728"/>
      <w:bookmarkStart w:id="800" w:name="_Toc378254052"/>
      <w:bookmarkStart w:id="801" w:name="_Toc378254376"/>
      <w:bookmarkStart w:id="802" w:name="_Toc378254700"/>
      <w:bookmarkStart w:id="803" w:name="_Toc378255024"/>
      <w:bookmarkStart w:id="804" w:name="_Toc378255373"/>
      <w:r w:rsidRPr="00016FA4">
        <w:t xml:space="preserve">Figure </w:t>
      </w:r>
      <w:r w:rsidR="00F64E4F">
        <w:fldChar w:fldCharType="begin"/>
      </w:r>
      <w:r w:rsidR="00F64E4F">
        <w:instrText xml:space="preserve"> STYLEREF 1 \s </w:instrText>
      </w:r>
      <w:r w:rsidR="00F64E4F">
        <w:fldChar w:fldCharType="separate"/>
      </w:r>
      <w:r w:rsidR="00F64E4F">
        <w:rPr>
          <w:noProof/>
        </w:rPr>
        <w:t>6</w:t>
      </w:r>
      <w:r w:rsidR="00F64E4F">
        <w:rPr>
          <w:noProof/>
        </w:rPr>
        <w:fldChar w:fldCharType="end"/>
      </w:r>
      <w:r w:rsidR="00AE5C2D" w:rsidRPr="00016FA4">
        <w:t>.</w:t>
      </w:r>
      <w:r w:rsidR="00F64E4F">
        <w:fldChar w:fldCharType="begin"/>
      </w:r>
      <w:r w:rsidR="00F64E4F">
        <w:instrText xml:space="preserve"> SEQ Figure \* ARABIC \s 1 </w:instrText>
      </w:r>
      <w:r w:rsidR="00F64E4F">
        <w:fldChar w:fldCharType="separate"/>
      </w:r>
      <w:r w:rsidR="00F64E4F">
        <w:rPr>
          <w:noProof/>
        </w:rPr>
        <w:t>18</w:t>
      </w:r>
      <w:r w:rsidR="00F64E4F">
        <w:rPr>
          <w:noProof/>
        </w:rPr>
        <w:fldChar w:fldCharType="end"/>
      </w:r>
      <w:bookmarkEnd w:id="794"/>
      <w:r w:rsidRPr="00016FA4">
        <w:t xml:space="preserve"> Selected seismic data from Petrel gas field 3D seismic survey showing evidence of polygonal faulting within the Bathurst Island Group. (a) Seismic reflection of Petrel 3D, a 12.5 km profile along Inline 1685 (See Figure 4.4 for survey location), and (b) corresponding interpreted coherency profile; coherency horizons (blue lines) and interpreted faults (red lines) show the layer bound nature of deformation. (c) Cumulative fault displacements for each coherency interval. (d) Density of faults for each coherency interval. (e)-(h) Polygonal fault geometry in plan view with coherency time slices within the Bathurst Island Group showing low coherence anomalies (black lineation) interpreted as polygonal faults. See Figure 4.4 for location of survey and Appendix N for full details.</w:t>
      </w:r>
      <w:bookmarkEnd w:id="795"/>
      <w:bookmarkEnd w:id="796"/>
      <w:bookmarkEnd w:id="797"/>
      <w:bookmarkEnd w:id="798"/>
      <w:bookmarkEnd w:id="799"/>
      <w:bookmarkEnd w:id="800"/>
      <w:bookmarkEnd w:id="801"/>
      <w:bookmarkEnd w:id="802"/>
      <w:bookmarkEnd w:id="803"/>
      <w:bookmarkEnd w:id="804"/>
    </w:p>
    <w:p w:rsidR="00AE0B1A" w:rsidRPr="00C94C2F" w:rsidRDefault="00AE0B1A" w:rsidP="00AE0B1A">
      <w:pPr>
        <w:pStyle w:val="Heading2"/>
      </w:pPr>
      <w:bookmarkStart w:id="805" w:name="_Toc372790313"/>
      <w:bookmarkStart w:id="806" w:name="_Toc378252902"/>
      <w:bookmarkStart w:id="807" w:name="_Toc378253226"/>
      <w:bookmarkStart w:id="808" w:name="_Toc378253550"/>
      <w:bookmarkStart w:id="809" w:name="_Toc378253874"/>
      <w:bookmarkStart w:id="810" w:name="_Toc378254198"/>
      <w:bookmarkStart w:id="811" w:name="_Toc378254522"/>
      <w:bookmarkStart w:id="812" w:name="_Toc378254846"/>
      <w:bookmarkStart w:id="813" w:name="_Toc378255170"/>
      <w:bookmarkStart w:id="814" w:name="_Toc383758228"/>
      <w:r w:rsidRPr="00C94C2F">
        <w:lastRenderedPageBreak/>
        <w:t xml:space="preserve">Injection </w:t>
      </w:r>
      <w:r>
        <w:t>S</w:t>
      </w:r>
      <w:r w:rsidRPr="00C94C2F">
        <w:t xml:space="preserve">imulation and </w:t>
      </w:r>
      <w:r>
        <w:t>P</w:t>
      </w:r>
      <w:r w:rsidRPr="00C94C2F">
        <w:t xml:space="preserve">lume </w:t>
      </w:r>
      <w:r>
        <w:t>M</w:t>
      </w:r>
      <w:r w:rsidRPr="00C94C2F">
        <w:t>igration</w:t>
      </w:r>
      <w:bookmarkEnd w:id="805"/>
      <w:bookmarkEnd w:id="806"/>
      <w:bookmarkEnd w:id="807"/>
      <w:bookmarkEnd w:id="808"/>
      <w:bookmarkEnd w:id="809"/>
      <w:bookmarkEnd w:id="810"/>
      <w:bookmarkEnd w:id="811"/>
      <w:bookmarkEnd w:id="812"/>
      <w:bookmarkEnd w:id="813"/>
      <w:bookmarkEnd w:id="814"/>
    </w:p>
    <w:p w:rsidR="00AE0B1A" w:rsidRPr="00447A1F" w:rsidRDefault="00AE0B1A" w:rsidP="00AE0B1A">
      <w:pPr>
        <w:pStyle w:val="BodyText"/>
      </w:pPr>
      <w:r w:rsidRPr="00447A1F">
        <w:t>Static geological modelling, migration pathway analysis, and dynamic reservoir simulations are critical to evaluating the CO</w:t>
      </w:r>
      <w:r w:rsidRPr="009D5B2E">
        <w:rPr>
          <w:rStyle w:val="Subscript"/>
        </w:rPr>
        <w:t>2</w:t>
      </w:r>
      <w:r w:rsidRPr="00447A1F">
        <w:t xml:space="preserve"> </w:t>
      </w:r>
      <w:r>
        <w:t xml:space="preserve">geological </w:t>
      </w:r>
      <w:r w:rsidRPr="00447A1F">
        <w:t>storage potential of the two Mesozoic reservoir-seal pairs. This is because the CO</w:t>
      </w:r>
      <w:r w:rsidRPr="009D5B2E">
        <w:rPr>
          <w:rStyle w:val="Subscript"/>
        </w:rPr>
        <w:t>2</w:t>
      </w:r>
      <w:r w:rsidRPr="00447A1F">
        <w:t xml:space="preserve"> </w:t>
      </w:r>
      <w:r>
        <w:t xml:space="preserve">geological </w:t>
      </w:r>
      <w:r w:rsidRPr="00447A1F">
        <w:t>storage capacity, the injection rate potential and plume migration can only be realistically defined from these studies. The methodology to derive the models and results of the modelling are detailed in Appendix K (Static Model) and Appendix L (Numerical Reservoir Simulations).</w:t>
      </w:r>
    </w:p>
    <w:p w:rsidR="00AE0B1A" w:rsidRPr="00436889" w:rsidRDefault="00AE0B1A" w:rsidP="00AE0B1A">
      <w:pPr>
        <w:pStyle w:val="Head3nonumbers"/>
      </w:pPr>
      <w:bookmarkStart w:id="815" w:name="_Toc378252903"/>
      <w:bookmarkStart w:id="816" w:name="_Toc378253227"/>
      <w:bookmarkStart w:id="817" w:name="_Toc378253551"/>
      <w:bookmarkStart w:id="818" w:name="_Toc378253875"/>
      <w:bookmarkStart w:id="819" w:name="_Toc378254199"/>
      <w:bookmarkStart w:id="820" w:name="_Toc378254523"/>
      <w:bookmarkStart w:id="821" w:name="_Toc378254847"/>
      <w:bookmarkStart w:id="822" w:name="_Toc378255171"/>
      <w:bookmarkStart w:id="823" w:name="_Toc383758229"/>
      <w:r w:rsidRPr="00436889">
        <w:t>Static Geological Model</w:t>
      </w:r>
      <w:bookmarkEnd w:id="815"/>
      <w:bookmarkEnd w:id="816"/>
      <w:bookmarkEnd w:id="817"/>
      <w:bookmarkEnd w:id="818"/>
      <w:bookmarkEnd w:id="819"/>
      <w:bookmarkEnd w:id="820"/>
      <w:bookmarkEnd w:id="821"/>
      <w:bookmarkEnd w:id="822"/>
      <w:bookmarkEnd w:id="823"/>
    </w:p>
    <w:p w:rsidR="00AE0B1A" w:rsidRPr="00447A1F" w:rsidRDefault="00AE0B1A" w:rsidP="00AE0B1A">
      <w:pPr>
        <w:pStyle w:val="BodyText"/>
      </w:pPr>
      <w:r w:rsidRPr="00447A1F">
        <w:t xml:space="preserve">Static geological models can improve the understanding of the evolution and depositional history of the </w:t>
      </w:r>
      <w:r>
        <w:t>Petrel S</w:t>
      </w:r>
      <w:r w:rsidRPr="00447A1F">
        <w:t xml:space="preserve">ub-basin (see </w:t>
      </w:r>
      <w:r>
        <w:fldChar w:fldCharType="begin"/>
      </w:r>
      <w:r>
        <w:instrText xml:space="preserve"> REF _Ref372289294 \h </w:instrText>
      </w:r>
      <w:r>
        <w:fldChar w:fldCharType="separate"/>
      </w:r>
      <w:r w:rsidR="00F64E4F">
        <w:t xml:space="preserve">Figure </w:t>
      </w:r>
      <w:r w:rsidR="00F64E4F">
        <w:rPr>
          <w:noProof/>
        </w:rPr>
        <w:t>4</w:t>
      </w:r>
      <w:r w:rsidR="00F64E4F">
        <w:t>.</w:t>
      </w:r>
      <w:r w:rsidR="00F64E4F">
        <w:rPr>
          <w:noProof/>
        </w:rPr>
        <w:t>6</w:t>
      </w:r>
      <w:r>
        <w:fldChar w:fldCharType="end"/>
      </w:r>
      <w:r>
        <w:t xml:space="preserve"> </w:t>
      </w:r>
      <w:r w:rsidRPr="00447A1F">
        <w:t xml:space="preserve">for the geological model). Using </w:t>
      </w:r>
      <w:proofErr w:type="spellStart"/>
      <w:r w:rsidRPr="00447A1F">
        <w:t>geostatistical</w:t>
      </w:r>
      <w:proofErr w:type="spellEnd"/>
      <w:r w:rsidRPr="00447A1F">
        <w:t xml:space="preserve"> analysis, porosity values derived from </w:t>
      </w:r>
      <w:proofErr w:type="spellStart"/>
      <w:r w:rsidRPr="00447A1F">
        <w:t>petrophysical</w:t>
      </w:r>
      <w:proofErr w:type="spellEnd"/>
      <w:r w:rsidRPr="00447A1F">
        <w:t xml:space="preserve"> well log analysis</w:t>
      </w:r>
      <w:r w:rsidRPr="00447A1F" w:rsidDel="00E2383A">
        <w:t xml:space="preserve"> </w:t>
      </w:r>
      <w:r w:rsidRPr="00447A1F">
        <w:t>were simulated throughout the model (</w:t>
      </w:r>
      <w:r>
        <w:fldChar w:fldCharType="begin"/>
      </w:r>
      <w:r>
        <w:instrText xml:space="preserve"> REF _Ref372805132 \h </w:instrText>
      </w:r>
      <w:r>
        <w:fldChar w:fldCharType="separate"/>
      </w:r>
      <w:r w:rsidR="00F64E4F">
        <w:t xml:space="preserve">Figure </w:t>
      </w:r>
      <w:r w:rsidR="00F64E4F">
        <w:rPr>
          <w:noProof/>
        </w:rPr>
        <w:t>6</w:t>
      </w:r>
      <w:r w:rsidR="00F64E4F">
        <w:t>.</w:t>
      </w:r>
      <w:r w:rsidR="00F64E4F">
        <w:rPr>
          <w:noProof/>
        </w:rPr>
        <w:t>19</w:t>
      </w:r>
      <w:r>
        <w:fldChar w:fldCharType="end"/>
      </w:r>
      <w:r>
        <w:t xml:space="preserve"> and</w:t>
      </w:r>
      <w:r w:rsidRPr="00447A1F">
        <w:t xml:space="preserve"> </w:t>
      </w:r>
      <w:r>
        <w:fldChar w:fldCharType="begin"/>
      </w:r>
      <w:r>
        <w:instrText xml:space="preserve"> REF _Ref372805141 \h </w:instrText>
      </w:r>
      <w:r>
        <w:fldChar w:fldCharType="separate"/>
      </w:r>
      <w:r w:rsidR="00F64E4F">
        <w:t xml:space="preserve">Figure </w:t>
      </w:r>
      <w:r w:rsidR="00F64E4F">
        <w:rPr>
          <w:noProof/>
        </w:rPr>
        <w:t>6</w:t>
      </w:r>
      <w:r w:rsidR="00F64E4F">
        <w:t>.</w:t>
      </w:r>
      <w:r w:rsidR="00F64E4F">
        <w:rPr>
          <w:noProof/>
        </w:rPr>
        <w:t>20</w:t>
      </w:r>
      <w:r>
        <w:fldChar w:fldCharType="end"/>
      </w:r>
      <w:r w:rsidRPr="00447A1F">
        <w:t xml:space="preserve">; Appendix K). The porosity simulations were constrained within the major depositional regimes (e.g. lower </w:t>
      </w:r>
      <w:proofErr w:type="spellStart"/>
      <w:r w:rsidRPr="00447A1F">
        <w:t>shoreface</w:t>
      </w:r>
      <w:proofErr w:type="spellEnd"/>
      <w:r w:rsidRPr="00447A1F">
        <w:t xml:space="preserve">) identified during the </w:t>
      </w:r>
      <w:proofErr w:type="spellStart"/>
      <w:r w:rsidRPr="00447A1F">
        <w:t>sedimentological</w:t>
      </w:r>
      <w:proofErr w:type="spellEnd"/>
      <w:r w:rsidRPr="00447A1F">
        <w:t xml:space="preserve"> and stratigraphical analysis (Appendix C). As a result, the porosity distribution of the geological model matched the </w:t>
      </w:r>
      <w:proofErr w:type="spellStart"/>
      <w:r w:rsidRPr="00447A1F">
        <w:t>facies</w:t>
      </w:r>
      <w:proofErr w:type="spellEnd"/>
      <w:r w:rsidRPr="00447A1F">
        <w:t xml:space="preserve"> distribution, as defined by the depositional models and observed stratigraphy (Appendices C and K). </w:t>
      </w:r>
    </w:p>
    <w:p w:rsidR="00AE0B1A" w:rsidRDefault="00AE0B1A" w:rsidP="00AE0B1A">
      <w:pPr>
        <w:pStyle w:val="Figuresandimagescentred"/>
      </w:pPr>
      <w:bookmarkStart w:id="824" w:name="_Toc358717023"/>
      <w:r>
        <w:rPr>
          <w:noProof/>
        </w:rPr>
        <w:drawing>
          <wp:inline distT="0" distB="0" distL="0" distR="0" wp14:anchorId="47D06D4E" wp14:editId="21FE329D">
            <wp:extent cx="4262400" cy="4381200"/>
            <wp:effectExtent l="0" t="0" r="5080" b="635"/>
            <wp:docPr id="45" name="Picture 45" descr="Due to the complexity of this document and the niche scientific target audience, no alternative description has been provided. Please email Geoscience Australia at clientservices@ga.gov.au for an alternative description." title="Fig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6finaldocs\0.REVIEW GA Record Summary + Appendices Internal  Review\Reviewed Draft\New folder\13-7199-56.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62400" cy="4381200"/>
                    </a:xfrm>
                    <a:prstGeom prst="rect">
                      <a:avLst/>
                    </a:prstGeom>
                    <a:noFill/>
                    <a:ln>
                      <a:noFill/>
                    </a:ln>
                  </pic:spPr>
                </pic:pic>
              </a:graphicData>
            </a:graphic>
          </wp:inline>
        </w:drawing>
      </w:r>
    </w:p>
    <w:p w:rsidR="00AE0B1A" w:rsidRDefault="00AE0B1A" w:rsidP="00AE0B1A">
      <w:pPr>
        <w:pStyle w:val="Caption"/>
      </w:pPr>
      <w:bookmarkStart w:id="825" w:name="_Ref372805132"/>
      <w:bookmarkStart w:id="826" w:name="_Toc373095027"/>
      <w:bookmarkStart w:id="827" w:name="_Toc378252757"/>
      <w:bookmarkStart w:id="828" w:name="_Toc378253081"/>
      <w:bookmarkStart w:id="829" w:name="_Toc378253405"/>
      <w:bookmarkStart w:id="830" w:name="_Toc378253729"/>
      <w:bookmarkStart w:id="831" w:name="_Toc378254053"/>
      <w:bookmarkStart w:id="832" w:name="_Toc378254377"/>
      <w:bookmarkStart w:id="833" w:name="_Toc378254701"/>
      <w:bookmarkStart w:id="834" w:name="_Toc378255025"/>
      <w:bookmarkStart w:id="835" w:name="_Toc378255374"/>
      <w:r>
        <w:t xml:space="preserve">Figure </w:t>
      </w:r>
      <w:fldSimple w:instr=" STYLEREF 1 \s ">
        <w:r w:rsidR="00F64E4F">
          <w:rPr>
            <w:noProof/>
          </w:rPr>
          <w:t>6</w:t>
        </w:r>
      </w:fldSimple>
      <w:r w:rsidR="00AE5C2D">
        <w:t>.</w:t>
      </w:r>
      <w:fldSimple w:instr=" SEQ Figure \* ARABIC \s 1 ">
        <w:r w:rsidR="00F64E4F">
          <w:rPr>
            <w:noProof/>
          </w:rPr>
          <w:t>19</w:t>
        </w:r>
      </w:fldSimple>
      <w:bookmarkEnd w:id="825"/>
      <w:r>
        <w:t xml:space="preserve"> </w:t>
      </w:r>
      <w:r w:rsidRPr="00C50113">
        <w:t>Fence diagrams from geological model showing simulated porosity distributions for the Cretaceous reservoir (top) and Jurassic reservoir (bottom). Diagrams are orient</w:t>
      </w:r>
      <w:r>
        <w:t>at</w:t>
      </w:r>
      <w:r w:rsidRPr="00C50113">
        <w:t xml:space="preserve">ed with north to the left of the page and show the general deepening and thickening </w:t>
      </w:r>
      <w:r>
        <w:t xml:space="preserve">of the units to the northwest (bottom left corner) and the effects it has on porosity. See </w:t>
      </w:r>
      <w:r>
        <w:fldChar w:fldCharType="begin"/>
      </w:r>
      <w:r>
        <w:instrText xml:space="preserve"> REF _Ref372288044 \h </w:instrText>
      </w:r>
      <w:r>
        <w:fldChar w:fldCharType="separate"/>
      </w:r>
      <w:r w:rsidR="00F64E4F">
        <w:t>Figure </w:t>
      </w:r>
      <w:r w:rsidR="00F64E4F">
        <w:rPr>
          <w:noProof/>
        </w:rPr>
        <w:t>1</w:t>
      </w:r>
      <w:r w:rsidR="00F64E4F">
        <w:t>.</w:t>
      </w:r>
      <w:r w:rsidR="00F64E4F">
        <w:rPr>
          <w:noProof/>
        </w:rPr>
        <w:t>4</w:t>
      </w:r>
      <w:r>
        <w:fldChar w:fldCharType="end"/>
      </w:r>
      <w:r>
        <w:t xml:space="preserve"> for location of the geological model and Appendix K for full details.</w:t>
      </w:r>
      <w:bookmarkEnd w:id="826"/>
      <w:bookmarkEnd w:id="827"/>
      <w:bookmarkEnd w:id="828"/>
      <w:bookmarkEnd w:id="829"/>
      <w:bookmarkEnd w:id="830"/>
      <w:bookmarkEnd w:id="831"/>
      <w:bookmarkEnd w:id="832"/>
      <w:bookmarkEnd w:id="833"/>
      <w:bookmarkEnd w:id="834"/>
      <w:bookmarkEnd w:id="835"/>
    </w:p>
    <w:bookmarkEnd w:id="824"/>
    <w:p w:rsidR="00AE0B1A" w:rsidRDefault="00AE0B1A" w:rsidP="00AE0B1A">
      <w:pPr>
        <w:pStyle w:val="Figuresandimagescentred"/>
      </w:pPr>
      <w:r>
        <w:rPr>
          <w:noProof/>
        </w:rPr>
        <w:lastRenderedPageBreak/>
        <w:drawing>
          <wp:inline distT="0" distB="0" distL="0" distR="0" wp14:anchorId="2FE86C61" wp14:editId="029299B0">
            <wp:extent cx="5760720" cy="6416339"/>
            <wp:effectExtent l="0" t="0" r="0" b="3810"/>
            <wp:docPr id="21" name="Picture 21" descr="Due to the complexity of this document and the niche scientific target audience, no alternative description has been provided. Please email Geoscience Australia at clientservices@ga.gov.au for an alternative description." title="Fig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naparte Porosity Figure white.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720" cy="6416339"/>
                    </a:xfrm>
                    <a:prstGeom prst="rect">
                      <a:avLst/>
                    </a:prstGeom>
                  </pic:spPr>
                </pic:pic>
              </a:graphicData>
            </a:graphic>
          </wp:inline>
        </w:drawing>
      </w:r>
    </w:p>
    <w:p w:rsidR="00873FB8" w:rsidRDefault="00AE0B1A" w:rsidP="00AE0B1A">
      <w:pPr>
        <w:pStyle w:val="Caption"/>
      </w:pPr>
      <w:bookmarkStart w:id="836" w:name="_Ref372805141"/>
      <w:bookmarkStart w:id="837" w:name="_Toc373095028"/>
      <w:bookmarkStart w:id="838" w:name="_Toc378252758"/>
      <w:bookmarkStart w:id="839" w:name="_Toc378253082"/>
      <w:bookmarkStart w:id="840" w:name="_Toc378253406"/>
      <w:bookmarkStart w:id="841" w:name="_Toc378253730"/>
      <w:bookmarkStart w:id="842" w:name="_Toc378254054"/>
      <w:bookmarkStart w:id="843" w:name="_Toc378254378"/>
      <w:bookmarkStart w:id="844" w:name="_Toc378254702"/>
      <w:bookmarkStart w:id="845" w:name="_Toc378255026"/>
      <w:bookmarkStart w:id="846" w:name="_Toc378255375"/>
      <w:r>
        <w:t xml:space="preserve">Figure </w:t>
      </w:r>
      <w:fldSimple w:instr=" STYLEREF 1 \s ">
        <w:r w:rsidR="00F64E4F">
          <w:rPr>
            <w:noProof/>
          </w:rPr>
          <w:t>6</w:t>
        </w:r>
      </w:fldSimple>
      <w:r w:rsidR="00AE5C2D">
        <w:t>.</w:t>
      </w:r>
      <w:fldSimple w:instr=" SEQ Figure \* ARABIC \s 1 ">
        <w:r w:rsidR="00F64E4F">
          <w:rPr>
            <w:noProof/>
          </w:rPr>
          <w:t>20</w:t>
        </w:r>
      </w:fldSimple>
      <w:bookmarkEnd w:id="836"/>
      <w:r>
        <w:t xml:space="preserve"> </w:t>
      </w:r>
      <w:r w:rsidRPr="0054088E">
        <w:t xml:space="preserve">Maps showing simulated porosity values for the selected surfaces from the geological model. Abrupt changes in porosity patterns correspond to changes in depositional environment and sedimentary </w:t>
      </w:r>
      <w:proofErr w:type="spellStart"/>
      <w:r w:rsidRPr="0054088E">
        <w:t>facies</w:t>
      </w:r>
      <w:proofErr w:type="spellEnd"/>
      <w:r w:rsidRPr="0054088E">
        <w:t xml:space="preserve"> in the model unit. Depositional environments are </w:t>
      </w:r>
      <w:r w:rsidRPr="00AC4793">
        <w:t xml:space="preserve">labelled around the periphery. </w:t>
      </w:r>
      <w:r>
        <w:t xml:space="preserve">Top of page is north direction. See </w:t>
      </w:r>
      <w:r>
        <w:fldChar w:fldCharType="begin"/>
      </w:r>
      <w:r>
        <w:instrText xml:space="preserve"> REF _Ref372288044 \h </w:instrText>
      </w:r>
      <w:r>
        <w:fldChar w:fldCharType="separate"/>
      </w:r>
      <w:r w:rsidR="00F64E4F">
        <w:t>Figure </w:t>
      </w:r>
      <w:r w:rsidR="00F64E4F">
        <w:rPr>
          <w:noProof/>
        </w:rPr>
        <w:t>1</w:t>
      </w:r>
      <w:r w:rsidR="00F64E4F">
        <w:t>.</w:t>
      </w:r>
      <w:r w:rsidR="00F64E4F">
        <w:rPr>
          <w:noProof/>
        </w:rPr>
        <w:t>4</w:t>
      </w:r>
      <w:r>
        <w:fldChar w:fldCharType="end"/>
      </w:r>
      <w:r>
        <w:t xml:space="preserve"> for location of the geological model. Red box outlines the location of the dynamic model. See Appendix K for full details.</w:t>
      </w:r>
      <w:bookmarkEnd w:id="837"/>
      <w:bookmarkEnd w:id="838"/>
      <w:bookmarkEnd w:id="839"/>
      <w:bookmarkEnd w:id="840"/>
      <w:bookmarkEnd w:id="841"/>
      <w:bookmarkEnd w:id="842"/>
      <w:bookmarkEnd w:id="843"/>
      <w:bookmarkEnd w:id="844"/>
      <w:bookmarkEnd w:id="845"/>
      <w:bookmarkEnd w:id="846"/>
    </w:p>
    <w:p w:rsidR="00AE0B1A" w:rsidRPr="00B467F9" w:rsidRDefault="00AE0B1A" w:rsidP="00AE0B1A">
      <w:pPr>
        <w:pStyle w:val="Head3nonumbers"/>
      </w:pPr>
      <w:bookmarkStart w:id="847" w:name="_Toc378252904"/>
      <w:bookmarkStart w:id="848" w:name="_Toc378253228"/>
      <w:bookmarkStart w:id="849" w:name="_Toc378253552"/>
      <w:bookmarkStart w:id="850" w:name="_Toc378253876"/>
      <w:bookmarkStart w:id="851" w:name="_Toc378254200"/>
      <w:bookmarkStart w:id="852" w:name="_Toc378254524"/>
      <w:bookmarkStart w:id="853" w:name="_Toc378254848"/>
      <w:bookmarkStart w:id="854" w:name="_Toc378255172"/>
      <w:bookmarkStart w:id="855" w:name="_Toc383758230"/>
      <w:r w:rsidRPr="00B467F9">
        <w:t>Fill-Spill Analysis</w:t>
      </w:r>
      <w:bookmarkEnd w:id="847"/>
      <w:bookmarkEnd w:id="848"/>
      <w:bookmarkEnd w:id="849"/>
      <w:bookmarkEnd w:id="850"/>
      <w:bookmarkEnd w:id="851"/>
      <w:bookmarkEnd w:id="852"/>
      <w:bookmarkEnd w:id="853"/>
      <w:bookmarkEnd w:id="854"/>
      <w:bookmarkEnd w:id="855"/>
    </w:p>
    <w:p w:rsidR="00AE0B1A" w:rsidRDefault="00AE0B1A" w:rsidP="00AE0B1A">
      <w:pPr>
        <w:pStyle w:val="BodyText"/>
        <w:rPr>
          <w:bCs/>
        </w:rPr>
      </w:pPr>
      <w:r w:rsidRPr="00436889">
        <w:t>Although not a reflection of CO</w:t>
      </w:r>
      <w:r w:rsidRPr="009D5B2E">
        <w:rPr>
          <w:rStyle w:val="Subscript"/>
        </w:rPr>
        <w:t>2</w:t>
      </w:r>
      <w:r w:rsidRPr="00436889">
        <w:t xml:space="preserve"> migration directly, </w:t>
      </w:r>
      <w:r>
        <w:t xml:space="preserve">the </w:t>
      </w:r>
      <w:r w:rsidRPr="00436889">
        <w:t xml:space="preserve">fill-spill analysis (see Section 4.2) </w:t>
      </w:r>
      <w:r>
        <w:t>revealed few</w:t>
      </w:r>
      <w:r w:rsidRPr="00436889">
        <w:t xml:space="preserve"> structural closures throughout the study area, except for the salt </w:t>
      </w:r>
      <w:proofErr w:type="spellStart"/>
      <w:r w:rsidRPr="00436889">
        <w:t>diapirs</w:t>
      </w:r>
      <w:proofErr w:type="spellEnd"/>
      <w:r w:rsidRPr="00436889">
        <w:t xml:space="preserve"> of Gull 1 and Curlew 1. The analysis did reveal</w:t>
      </w:r>
      <w:r>
        <w:t>, however, that</w:t>
      </w:r>
      <w:r w:rsidRPr="00436889">
        <w:t xml:space="preserve"> migration pathways predominantly</w:t>
      </w:r>
      <w:r>
        <w:t xml:space="preserve"> were directed</w:t>
      </w:r>
      <w:r w:rsidRPr="00436889">
        <w:t xml:space="preserve"> towards the shoreline (</w:t>
      </w:r>
      <w:r>
        <w:fldChar w:fldCharType="begin"/>
      </w:r>
      <w:r>
        <w:instrText xml:space="preserve"> REF _Ref372805203 \h </w:instrText>
      </w:r>
      <w:r>
        <w:fldChar w:fldCharType="separate"/>
      </w:r>
      <w:r w:rsidR="00F64E4F">
        <w:t xml:space="preserve">Figure </w:t>
      </w:r>
      <w:r w:rsidR="00F64E4F">
        <w:rPr>
          <w:noProof/>
        </w:rPr>
        <w:t>6</w:t>
      </w:r>
      <w:r w:rsidR="00F64E4F">
        <w:t>.</w:t>
      </w:r>
      <w:r w:rsidR="00F64E4F">
        <w:rPr>
          <w:noProof/>
        </w:rPr>
        <w:t>21</w:t>
      </w:r>
      <w:r>
        <w:fldChar w:fldCharType="end"/>
      </w:r>
      <w:r w:rsidRPr="00436889">
        <w:t xml:space="preserve">; </w:t>
      </w:r>
      <w:r>
        <w:t>Appendix L</w:t>
      </w:r>
      <w:r w:rsidRPr="00436889">
        <w:t>), and lateral migration</w:t>
      </w:r>
      <w:r>
        <w:t xml:space="preserve"> was</w:t>
      </w:r>
      <w:r w:rsidRPr="00436889">
        <w:t xml:space="preserve"> almost directly east-southeast in the </w:t>
      </w:r>
      <w:r w:rsidRPr="00436889">
        <w:lastRenderedPageBreak/>
        <w:t>northernmost region of the Petrel Sub-basin, becoming southeast in the south (</w:t>
      </w:r>
      <w:r>
        <w:fldChar w:fldCharType="begin"/>
      </w:r>
      <w:r>
        <w:instrText xml:space="preserve"> REF _Ref372805203 \h </w:instrText>
      </w:r>
      <w:r>
        <w:fldChar w:fldCharType="separate"/>
      </w:r>
      <w:r w:rsidR="00F64E4F">
        <w:t xml:space="preserve">Figure </w:t>
      </w:r>
      <w:r w:rsidR="00F64E4F">
        <w:rPr>
          <w:noProof/>
        </w:rPr>
        <w:t>6</w:t>
      </w:r>
      <w:r w:rsidR="00F64E4F">
        <w:t>.</w:t>
      </w:r>
      <w:r w:rsidR="00F64E4F">
        <w:rPr>
          <w:noProof/>
        </w:rPr>
        <w:t>21</w:t>
      </w:r>
      <w:r>
        <w:fldChar w:fldCharType="end"/>
      </w:r>
      <w:r w:rsidRPr="00436889">
        <w:t>).</w:t>
      </w:r>
      <w:r w:rsidRPr="00436889">
        <w:rPr>
          <w:bCs/>
        </w:rPr>
        <w:t xml:space="preserve"> This broadly follows the conclusions of the hydrodynamic study that showed a general flow from offshore to onshore (</w:t>
      </w:r>
      <w:r>
        <w:rPr>
          <w:bCs/>
        </w:rPr>
        <w:t>Appendix J</w:t>
      </w:r>
      <w:r w:rsidRPr="00436889">
        <w:rPr>
          <w:bCs/>
        </w:rPr>
        <w:t>).</w:t>
      </w:r>
    </w:p>
    <w:p w:rsidR="00873FB8" w:rsidRDefault="00873FB8" w:rsidP="00873FB8">
      <w:pPr>
        <w:pStyle w:val="Figuresandimagescentred"/>
      </w:pPr>
      <w:r>
        <w:rPr>
          <w:noProof/>
        </w:rPr>
        <w:drawing>
          <wp:inline distT="0" distB="0" distL="0" distR="0" wp14:anchorId="4D1E9D40" wp14:editId="2A836F74">
            <wp:extent cx="4488180" cy="4392968"/>
            <wp:effectExtent l="0" t="0" r="7620" b="7620"/>
            <wp:docPr id="2071" name="Picture 2071" descr="Due to the complexity of this document and the niche scientific target audience, no alternative description has been provided. Please email Geoscience Australia at clientservices@ga.gov.au for an alternative description." title="Fig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6finaldocs\0.REVIEW GA Record Summary + Appendices Internal  Review\Reviewed Draft\Figures\13-7199-32.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1243" t="27570" r="10846" b="18450"/>
                    <a:stretch/>
                  </pic:blipFill>
                  <pic:spPr bwMode="auto">
                    <a:xfrm>
                      <a:off x="0" y="0"/>
                      <a:ext cx="4488180" cy="4392968"/>
                    </a:xfrm>
                    <a:prstGeom prst="rect">
                      <a:avLst/>
                    </a:prstGeom>
                    <a:noFill/>
                    <a:ln>
                      <a:noFill/>
                    </a:ln>
                    <a:extLst>
                      <a:ext uri="{53640926-AAD7-44D8-BBD7-CCE9431645EC}">
                        <a14:shadowObscured xmlns:a14="http://schemas.microsoft.com/office/drawing/2010/main"/>
                      </a:ext>
                    </a:extLst>
                  </pic:spPr>
                </pic:pic>
              </a:graphicData>
            </a:graphic>
          </wp:inline>
        </w:drawing>
      </w:r>
    </w:p>
    <w:p w:rsidR="00873FB8" w:rsidRDefault="00873FB8" w:rsidP="00873FB8">
      <w:pPr>
        <w:pStyle w:val="Caption"/>
      </w:pPr>
      <w:bookmarkStart w:id="856" w:name="_Ref372805203"/>
      <w:bookmarkStart w:id="857" w:name="_Toc373095029"/>
      <w:bookmarkStart w:id="858" w:name="_Toc378252759"/>
      <w:bookmarkStart w:id="859" w:name="_Toc378253083"/>
      <w:bookmarkStart w:id="860" w:name="_Toc378253407"/>
      <w:bookmarkStart w:id="861" w:name="_Toc378253731"/>
      <w:bookmarkStart w:id="862" w:name="_Toc378254055"/>
      <w:bookmarkStart w:id="863" w:name="_Toc378254379"/>
      <w:bookmarkStart w:id="864" w:name="_Toc378254703"/>
      <w:bookmarkStart w:id="865" w:name="_Toc378255027"/>
      <w:bookmarkStart w:id="866" w:name="_Toc378255376"/>
      <w:r>
        <w:t xml:space="preserve">Figure </w:t>
      </w:r>
      <w:fldSimple w:instr=" STYLEREF 1 \s ">
        <w:r w:rsidR="00F64E4F">
          <w:rPr>
            <w:noProof/>
          </w:rPr>
          <w:t>6</w:t>
        </w:r>
      </w:fldSimple>
      <w:r w:rsidR="00AE5C2D">
        <w:t>.</w:t>
      </w:r>
      <w:fldSimple w:instr=" SEQ Figure \* ARABIC \s 1 ">
        <w:r w:rsidR="00F64E4F">
          <w:rPr>
            <w:noProof/>
          </w:rPr>
          <w:t>21</w:t>
        </w:r>
      </w:fldSimple>
      <w:bookmarkEnd w:id="856"/>
      <w:r>
        <w:t xml:space="preserve"> </w:t>
      </w:r>
      <w:r w:rsidRPr="00D803F0">
        <w:t xml:space="preserve">Fill-spill analysis of the top of the </w:t>
      </w:r>
      <w:proofErr w:type="spellStart"/>
      <w:r w:rsidRPr="00D803F0">
        <w:t>Elang</w:t>
      </w:r>
      <w:proofErr w:type="spellEnd"/>
      <w:r w:rsidRPr="00D803F0">
        <w:t xml:space="preserve"> Formation. Figure shows major structures along the base of the seal, including the salt </w:t>
      </w:r>
      <w:proofErr w:type="spellStart"/>
      <w:r w:rsidRPr="00D803F0">
        <w:t>diapirs</w:t>
      </w:r>
      <w:proofErr w:type="spellEnd"/>
      <w:r w:rsidRPr="00D803F0">
        <w:t xml:space="preserve"> at Bougainville 1, Gull 1 and Curlew 1, as well as the general trend of an easterly to south-easterly flow </w:t>
      </w:r>
      <w:r w:rsidRPr="00C94C2F">
        <w:t xml:space="preserve">direction. </w:t>
      </w:r>
      <w:r>
        <w:t xml:space="preserve">Arrows indicate general flow direction. </w:t>
      </w:r>
      <w:r w:rsidRPr="00C94C2F">
        <w:t>Note: This is not a flow simulation and prediction of CO</w:t>
      </w:r>
      <w:r w:rsidRPr="00255748">
        <w:rPr>
          <w:rStyle w:val="Subscript"/>
        </w:rPr>
        <w:t xml:space="preserve">2 </w:t>
      </w:r>
      <w:r w:rsidRPr="00C94C2F">
        <w:t>migration.</w:t>
      </w:r>
      <w:r>
        <w:t xml:space="preserve"> See Appendix L for further information.</w:t>
      </w:r>
      <w:bookmarkEnd w:id="857"/>
      <w:bookmarkEnd w:id="858"/>
      <w:bookmarkEnd w:id="859"/>
      <w:bookmarkEnd w:id="860"/>
      <w:bookmarkEnd w:id="861"/>
      <w:bookmarkEnd w:id="862"/>
      <w:bookmarkEnd w:id="863"/>
      <w:bookmarkEnd w:id="864"/>
      <w:bookmarkEnd w:id="865"/>
      <w:bookmarkEnd w:id="866"/>
    </w:p>
    <w:p w:rsidR="00AE0B1A" w:rsidRPr="00C94C2F" w:rsidRDefault="00AE0B1A" w:rsidP="00AE0B1A">
      <w:pPr>
        <w:pStyle w:val="Head3nonumbers"/>
      </w:pPr>
      <w:bookmarkStart w:id="867" w:name="_Toc378252905"/>
      <w:bookmarkStart w:id="868" w:name="_Toc378253229"/>
      <w:bookmarkStart w:id="869" w:name="_Toc378253553"/>
      <w:bookmarkStart w:id="870" w:name="_Toc378253877"/>
      <w:bookmarkStart w:id="871" w:name="_Toc378254201"/>
      <w:bookmarkStart w:id="872" w:name="_Toc378254525"/>
      <w:bookmarkStart w:id="873" w:name="_Toc378254849"/>
      <w:bookmarkStart w:id="874" w:name="_Toc378255173"/>
      <w:bookmarkStart w:id="875" w:name="_Toc383758231"/>
      <w:r w:rsidRPr="00C94C2F">
        <w:t xml:space="preserve">Dynamic </w:t>
      </w:r>
      <w:r>
        <w:t>Reservoir Simulations</w:t>
      </w:r>
      <w:bookmarkEnd w:id="867"/>
      <w:bookmarkEnd w:id="868"/>
      <w:bookmarkEnd w:id="869"/>
      <w:bookmarkEnd w:id="870"/>
      <w:bookmarkEnd w:id="871"/>
      <w:bookmarkEnd w:id="872"/>
      <w:bookmarkEnd w:id="873"/>
      <w:bookmarkEnd w:id="874"/>
      <w:bookmarkEnd w:id="875"/>
    </w:p>
    <w:p w:rsidR="00AE0B1A" w:rsidRDefault="00AE0B1A" w:rsidP="00AE0B1A">
      <w:pPr>
        <w:pStyle w:val="BodyText"/>
      </w:pPr>
      <w:r w:rsidRPr="00C94C2F">
        <w:t xml:space="preserve">The aim </w:t>
      </w:r>
      <w:r>
        <w:t>of the dynamic reservoir simulations was</w:t>
      </w:r>
      <w:r w:rsidRPr="00C94C2F">
        <w:t xml:space="preserve"> to simulate</w:t>
      </w:r>
      <w:r w:rsidRPr="009D5B2E">
        <w:t xml:space="preserve"> </w:t>
      </w:r>
      <w:r w:rsidRPr="00C94C2F">
        <w:t>CO</w:t>
      </w:r>
      <w:r w:rsidRPr="009D5B2E">
        <w:rPr>
          <w:rStyle w:val="Subscript"/>
        </w:rPr>
        <w:t>2</w:t>
      </w:r>
      <w:r w:rsidRPr="00C94C2F">
        <w:t xml:space="preserve"> </w:t>
      </w:r>
      <w:proofErr w:type="spellStart"/>
      <w:r w:rsidRPr="00C94C2F">
        <w:t>injectivity</w:t>
      </w:r>
      <w:proofErr w:type="spellEnd"/>
      <w:r w:rsidRPr="00C94C2F">
        <w:t>, plume migration, CO</w:t>
      </w:r>
      <w:r w:rsidRPr="009D5B2E">
        <w:rPr>
          <w:rStyle w:val="Subscript"/>
        </w:rPr>
        <w:t>2</w:t>
      </w:r>
      <w:r w:rsidRPr="00C94C2F">
        <w:t xml:space="preserve"> trapping phases and reservoir pressure behaviour</w:t>
      </w:r>
      <w:r>
        <w:t xml:space="preserve"> in the Petrel Sub-basin. The likely injection region </w:t>
      </w:r>
      <w:r w:rsidRPr="00C94C2F">
        <w:t>to the north</w:t>
      </w:r>
      <w:r>
        <w:t>east</w:t>
      </w:r>
      <w:r w:rsidRPr="00C94C2F">
        <w:t xml:space="preserve"> of the Petrel gas </w:t>
      </w:r>
      <w:r w:rsidRPr="00DE0603">
        <w:t xml:space="preserve">field </w:t>
      </w:r>
      <w:r>
        <w:t>was chosen as the source of the CO</w:t>
      </w:r>
      <w:r w:rsidRPr="009D5B2E">
        <w:rPr>
          <w:rStyle w:val="Subscript"/>
        </w:rPr>
        <w:t>2</w:t>
      </w:r>
      <w:r>
        <w:t xml:space="preserve"> plume</w:t>
      </w:r>
      <w:r w:rsidRPr="00C94C2F">
        <w:t xml:space="preserve"> </w:t>
      </w:r>
      <w:r w:rsidRPr="00DE0603">
        <w:t>(</w:t>
      </w:r>
      <w:r>
        <w:fldChar w:fldCharType="begin"/>
      </w:r>
      <w:r>
        <w:instrText xml:space="preserve"> REF _Ref372288044 \h </w:instrText>
      </w:r>
      <w:r>
        <w:fldChar w:fldCharType="separate"/>
      </w:r>
      <w:r w:rsidR="00F64E4F">
        <w:t>Figure </w:t>
      </w:r>
      <w:r w:rsidR="00F64E4F">
        <w:rPr>
          <w:noProof/>
        </w:rPr>
        <w:t>1</w:t>
      </w:r>
      <w:r w:rsidR="00F64E4F">
        <w:t>.</w:t>
      </w:r>
      <w:r w:rsidR="00F64E4F">
        <w:rPr>
          <w:noProof/>
        </w:rPr>
        <w:t>4</w:t>
      </w:r>
      <w:r>
        <w:fldChar w:fldCharType="end"/>
      </w:r>
      <w:r>
        <w:t xml:space="preserve"> and</w:t>
      </w:r>
      <w:r w:rsidRPr="00367911">
        <w:t xml:space="preserve"> </w:t>
      </w:r>
      <w:r>
        <w:fldChar w:fldCharType="begin"/>
      </w:r>
      <w:r>
        <w:instrText xml:space="preserve"> REF _Ref372289349 \h </w:instrText>
      </w:r>
      <w:r>
        <w:fldChar w:fldCharType="separate"/>
      </w:r>
      <w:r w:rsidR="00F64E4F">
        <w:t xml:space="preserve">Figure </w:t>
      </w:r>
      <w:r w:rsidR="00F64E4F">
        <w:rPr>
          <w:noProof/>
        </w:rPr>
        <w:t>4</w:t>
      </w:r>
      <w:r w:rsidR="00F64E4F">
        <w:t>.</w:t>
      </w:r>
      <w:r w:rsidR="00F64E4F">
        <w:rPr>
          <w:noProof/>
        </w:rPr>
        <w:t>7</w:t>
      </w:r>
      <w:r>
        <w:fldChar w:fldCharType="end"/>
      </w:r>
      <w:r>
        <w:t>).</w:t>
      </w:r>
    </w:p>
    <w:p w:rsidR="00AE0B1A" w:rsidRDefault="00AE0B1A" w:rsidP="00AE0B1A">
      <w:pPr>
        <w:pStyle w:val="BodyText"/>
      </w:pPr>
      <w:r w:rsidRPr="00DE0603">
        <w:t xml:space="preserve">The results of the </w:t>
      </w:r>
      <w:r>
        <w:t>dynamic reservoir simulations</w:t>
      </w:r>
      <w:r w:rsidRPr="00DE0603">
        <w:t xml:space="preserve"> showed that 14 MTPA of CO</w:t>
      </w:r>
      <w:r w:rsidRPr="009D5B2E">
        <w:rPr>
          <w:rStyle w:val="Subscript"/>
        </w:rPr>
        <w:t>2</w:t>
      </w:r>
      <w:r w:rsidRPr="00DE0603">
        <w:t xml:space="preserve"> could be injected into the </w:t>
      </w:r>
      <w:r>
        <w:t>Jurassic-aged</w:t>
      </w:r>
      <w:r w:rsidRPr="00DE0603">
        <w:t xml:space="preserve"> reservoir incorporating the Plover</w:t>
      </w:r>
      <w:r>
        <w:t xml:space="preserve"> and </w:t>
      </w:r>
      <w:proofErr w:type="spellStart"/>
      <w:r w:rsidRPr="00DE0603">
        <w:t>Elang</w:t>
      </w:r>
      <w:proofErr w:type="spellEnd"/>
      <w:r w:rsidRPr="00DE0603">
        <w:t xml:space="preserve"> </w:t>
      </w:r>
      <w:r>
        <w:t xml:space="preserve">formations </w:t>
      </w:r>
      <w:r w:rsidRPr="00DE0603">
        <w:t xml:space="preserve">and lower Frigate Shale for </w:t>
      </w:r>
      <w:r>
        <w:t xml:space="preserve">a period of at least </w:t>
      </w:r>
      <w:r w:rsidRPr="00DE0603">
        <w:t>30 years (</w:t>
      </w:r>
      <w:r>
        <w:fldChar w:fldCharType="begin"/>
      </w:r>
      <w:r>
        <w:instrText xml:space="preserve"> REF _Ref372805321 \h </w:instrText>
      </w:r>
      <w:r>
        <w:fldChar w:fldCharType="separate"/>
      </w:r>
      <w:r w:rsidR="00F64E4F">
        <w:t xml:space="preserve">Figure </w:t>
      </w:r>
      <w:r w:rsidR="00F64E4F">
        <w:rPr>
          <w:noProof/>
        </w:rPr>
        <w:t>6</w:t>
      </w:r>
      <w:r w:rsidR="00F64E4F">
        <w:t>.</w:t>
      </w:r>
      <w:r w:rsidR="00F64E4F">
        <w:rPr>
          <w:noProof/>
        </w:rPr>
        <w:t>22</w:t>
      </w:r>
      <w:r>
        <w:fldChar w:fldCharType="end"/>
      </w:r>
      <w:r w:rsidRPr="00DE0603">
        <w:t>).</w:t>
      </w:r>
      <w:r w:rsidRPr="00C94C2F">
        <w:t xml:space="preserve"> This did not represent the maximum injection rate, but rather the estimated injection rate required to meet the </w:t>
      </w:r>
      <w:r>
        <w:t>predicted CO</w:t>
      </w:r>
      <w:r w:rsidRPr="009D5B2E">
        <w:rPr>
          <w:rStyle w:val="Subscript"/>
        </w:rPr>
        <w:t>2</w:t>
      </w:r>
      <w:r>
        <w:t xml:space="preserve"> </w:t>
      </w:r>
      <w:r w:rsidRPr="00C94C2F">
        <w:t xml:space="preserve">emissions </w:t>
      </w:r>
      <w:r>
        <w:t>produced in the region over this time period (Carbon Storage Taskforce, 2009).</w:t>
      </w:r>
    </w:p>
    <w:p w:rsidR="00AE0B1A" w:rsidRDefault="00AE0B1A" w:rsidP="00AE0B1A">
      <w:pPr>
        <w:pStyle w:val="Figuresandimagescentred"/>
      </w:pPr>
      <w:r>
        <w:rPr>
          <w:noProof/>
        </w:rPr>
        <w:lastRenderedPageBreak/>
        <w:drawing>
          <wp:inline distT="0" distB="0" distL="0" distR="0" wp14:anchorId="0F577F66" wp14:editId="2ABF1FC2">
            <wp:extent cx="3960000" cy="6271200"/>
            <wp:effectExtent l="0" t="0" r="2540" b="0"/>
            <wp:docPr id="47" name="Picture 47" descr="Due to the complexity of this document and the niche scientific target audience, no alternative description has been provided. Please email Geoscience Australia at clientservices@ga.gov.au for an alternative description." title="Fig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6finaldocs\0.REVIEW GA Record Summary + Appendices Internal  Review\Reviewed Draft\New folder\13-7199-5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60000" cy="6271200"/>
                    </a:xfrm>
                    <a:prstGeom prst="rect">
                      <a:avLst/>
                    </a:prstGeom>
                    <a:noFill/>
                    <a:ln>
                      <a:noFill/>
                    </a:ln>
                  </pic:spPr>
                </pic:pic>
              </a:graphicData>
            </a:graphic>
          </wp:inline>
        </w:drawing>
      </w:r>
    </w:p>
    <w:p w:rsidR="00AE0B1A" w:rsidRDefault="00AE0B1A" w:rsidP="00AE0B1A">
      <w:pPr>
        <w:pStyle w:val="Caption"/>
      </w:pPr>
      <w:bookmarkStart w:id="876" w:name="_Ref372805321"/>
      <w:bookmarkStart w:id="877" w:name="_Toc373095030"/>
      <w:bookmarkStart w:id="878" w:name="_Toc378252760"/>
      <w:bookmarkStart w:id="879" w:name="_Toc378253084"/>
      <w:bookmarkStart w:id="880" w:name="_Toc378253408"/>
      <w:bookmarkStart w:id="881" w:name="_Toc378253732"/>
      <w:bookmarkStart w:id="882" w:name="_Toc378254056"/>
      <w:bookmarkStart w:id="883" w:name="_Toc378254380"/>
      <w:bookmarkStart w:id="884" w:name="_Toc378254704"/>
      <w:bookmarkStart w:id="885" w:name="_Toc378255028"/>
      <w:bookmarkStart w:id="886" w:name="_Toc378255377"/>
      <w:r>
        <w:t xml:space="preserve">Figure </w:t>
      </w:r>
      <w:fldSimple w:instr=" STYLEREF 1 \s ">
        <w:r w:rsidR="00F64E4F">
          <w:rPr>
            <w:noProof/>
          </w:rPr>
          <w:t>6</w:t>
        </w:r>
      </w:fldSimple>
      <w:r w:rsidR="00AE5C2D">
        <w:t>.</w:t>
      </w:r>
      <w:fldSimple w:instr=" SEQ Figure \* ARABIC \s 1 ">
        <w:r w:rsidR="00F64E4F">
          <w:rPr>
            <w:noProof/>
          </w:rPr>
          <w:t>22</w:t>
        </w:r>
      </w:fldSimple>
      <w:bookmarkEnd w:id="876"/>
      <w:r>
        <w:t xml:space="preserve"> </w:t>
      </w:r>
      <w:r w:rsidRPr="00F65CF7">
        <w:t>Plume migration simulation for Petrel North model area, showing CO</w:t>
      </w:r>
      <w:r w:rsidRPr="008912CC">
        <w:rPr>
          <w:rStyle w:val="Subscript"/>
        </w:rPr>
        <w:t>2</w:t>
      </w:r>
      <w:r w:rsidRPr="00F65CF7">
        <w:t xml:space="preserve"> plume saturation after (a) 30 years (end of injection), (b) 100 years, (c) 500 years, (d) 1000 years, (e) 1700 years and (f) 2000 years. Jagged line objects are normal faults of </w:t>
      </w:r>
      <w:r>
        <w:t xml:space="preserve">Province I (see </w:t>
      </w:r>
      <w:r>
        <w:fldChar w:fldCharType="begin"/>
      </w:r>
      <w:r>
        <w:instrText xml:space="preserve"> REF _Ref372804946 \h </w:instrText>
      </w:r>
      <w:r>
        <w:fldChar w:fldCharType="separate"/>
      </w:r>
      <w:r w:rsidR="00F64E4F">
        <w:t>Figure </w:t>
      </w:r>
      <w:r w:rsidR="00F64E4F">
        <w:rPr>
          <w:noProof/>
        </w:rPr>
        <w:t>6</w:t>
      </w:r>
      <w:r w:rsidR="00F64E4F">
        <w:t>.</w:t>
      </w:r>
      <w:r w:rsidR="00F64E4F">
        <w:rPr>
          <w:noProof/>
        </w:rPr>
        <w:t>14</w:t>
      </w:r>
      <w:r>
        <w:fldChar w:fldCharType="end"/>
      </w:r>
      <w:r>
        <w:t xml:space="preserve">). Top of page is north direction. See </w:t>
      </w:r>
      <w:r>
        <w:fldChar w:fldCharType="begin"/>
      </w:r>
      <w:r>
        <w:instrText xml:space="preserve"> REF _Ref372288044 \h </w:instrText>
      </w:r>
      <w:r>
        <w:fldChar w:fldCharType="separate"/>
      </w:r>
      <w:r w:rsidR="00F64E4F">
        <w:t>Figure </w:t>
      </w:r>
      <w:r w:rsidR="00F64E4F">
        <w:rPr>
          <w:noProof/>
        </w:rPr>
        <w:t>1</w:t>
      </w:r>
      <w:r w:rsidR="00F64E4F">
        <w:t>.</w:t>
      </w:r>
      <w:r w:rsidR="00F64E4F">
        <w:rPr>
          <w:noProof/>
        </w:rPr>
        <w:t>4</w:t>
      </w:r>
      <w:r>
        <w:fldChar w:fldCharType="end"/>
      </w:r>
      <w:r>
        <w:t xml:space="preserve"> for location of the dynamic model and Appendix L for full details.</w:t>
      </w:r>
      <w:bookmarkEnd w:id="877"/>
      <w:bookmarkEnd w:id="878"/>
      <w:bookmarkEnd w:id="879"/>
      <w:bookmarkEnd w:id="880"/>
      <w:bookmarkEnd w:id="881"/>
      <w:bookmarkEnd w:id="882"/>
      <w:bookmarkEnd w:id="883"/>
      <w:bookmarkEnd w:id="884"/>
      <w:bookmarkEnd w:id="885"/>
      <w:bookmarkEnd w:id="886"/>
    </w:p>
    <w:p w:rsidR="00AE0B1A" w:rsidRDefault="00AE0B1A" w:rsidP="00AE0B1A">
      <w:pPr>
        <w:pStyle w:val="BodyText"/>
      </w:pPr>
      <w:r w:rsidRPr="00C94C2F">
        <w:t xml:space="preserve">The </w:t>
      </w:r>
      <w:r>
        <w:t xml:space="preserve">dynamic reservoir simulations show that the </w:t>
      </w:r>
      <w:r w:rsidRPr="00C94C2F">
        <w:rPr>
          <w:lang w:val="en-US"/>
        </w:rPr>
        <w:t>vertical and lateral movement of the injected supercritical CO</w:t>
      </w:r>
      <w:r w:rsidRPr="009D5B2E">
        <w:rPr>
          <w:rStyle w:val="Subscript"/>
        </w:rPr>
        <w:t>2</w:t>
      </w:r>
      <w:r w:rsidRPr="00C94C2F">
        <w:rPr>
          <w:lang w:val="en-US"/>
        </w:rPr>
        <w:t xml:space="preserve"> </w:t>
      </w:r>
      <w:r>
        <w:rPr>
          <w:lang w:val="en-US"/>
        </w:rPr>
        <w:t>did not extend laterally more than 5</w:t>
      </w:r>
      <w:r w:rsidRPr="00C94C2F">
        <w:rPr>
          <w:lang w:val="en-US"/>
        </w:rPr>
        <w:t xml:space="preserve"> km from each of the nine injection wells during the 30-year injectio</w:t>
      </w:r>
      <w:r>
        <w:rPr>
          <w:lang w:val="en-US"/>
        </w:rPr>
        <w:t xml:space="preserve">n phase </w:t>
      </w:r>
      <w:r w:rsidRPr="00C94C2F">
        <w:t>(</w:t>
      </w:r>
      <w:r>
        <w:fldChar w:fldCharType="begin"/>
      </w:r>
      <w:r>
        <w:instrText xml:space="preserve"> REF _Ref372805321 \h </w:instrText>
      </w:r>
      <w:r>
        <w:fldChar w:fldCharType="separate"/>
      </w:r>
      <w:r w:rsidR="00F64E4F">
        <w:t xml:space="preserve">Figure </w:t>
      </w:r>
      <w:r w:rsidR="00F64E4F">
        <w:rPr>
          <w:noProof/>
        </w:rPr>
        <w:t>6</w:t>
      </w:r>
      <w:r w:rsidR="00F64E4F">
        <w:t>.</w:t>
      </w:r>
      <w:r w:rsidR="00F64E4F">
        <w:rPr>
          <w:noProof/>
        </w:rPr>
        <w:t>22</w:t>
      </w:r>
      <w:r>
        <w:fldChar w:fldCharType="end"/>
      </w:r>
      <w:r>
        <w:t xml:space="preserve"> and</w:t>
      </w:r>
      <w:r w:rsidRPr="00367911">
        <w:t xml:space="preserve"> </w:t>
      </w:r>
      <w:r>
        <w:fldChar w:fldCharType="begin"/>
      </w:r>
      <w:r>
        <w:instrText xml:space="preserve"> REF _Ref372805348 \h </w:instrText>
      </w:r>
      <w:r>
        <w:fldChar w:fldCharType="separate"/>
      </w:r>
      <w:r w:rsidR="00F64E4F">
        <w:t xml:space="preserve">Figure </w:t>
      </w:r>
      <w:r w:rsidR="00F64E4F">
        <w:rPr>
          <w:noProof/>
        </w:rPr>
        <w:t>6</w:t>
      </w:r>
      <w:r w:rsidR="00F64E4F">
        <w:t>.</w:t>
      </w:r>
      <w:r w:rsidR="00F64E4F">
        <w:rPr>
          <w:noProof/>
        </w:rPr>
        <w:t>23</w:t>
      </w:r>
      <w:r>
        <w:fldChar w:fldCharType="end"/>
      </w:r>
      <w:r w:rsidRPr="00DE0603">
        <w:t xml:space="preserve">). </w:t>
      </w:r>
      <w:r>
        <w:t>T</w:t>
      </w:r>
      <w:r w:rsidRPr="00DE0603">
        <w:t xml:space="preserve">he maximum pressure increase at the wells did not exceed 3 </w:t>
      </w:r>
      <w:proofErr w:type="spellStart"/>
      <w:r w:rsidRPr="00DE0603">
        <w:t>MPa</w:t>
      </w:r>
      <w:proofErr w:type="spellEnd"/>
      <w:r w:rsidRPr="00005043">
        <w:t xml:space="preserve"> </w:t>
      </w:r>
      <w:r w:rsidRPr="00DE0603">
        <w:t xml:space="preserve">throughout. </w:t>
      </w:r>
      <w:r>
        <w:t xml:space="preserve">Over this period, </w:t>
      </w:r>
      <w:r w:rsidRPr="00DE0603">
        <w:t>CO</w:t>
      </w:r>
      <w:r w:rsidRPr="009D5B2E">
        <w:rPr>
          <w:rStyle w:val="Subscript"/>
        </w:rPr>
        <w:t>2</w:t>
      </w:r>
      <w:r w:rsidRPr="00DE0603">
        <w:t xml:space="preserve">-saline water dissolution was the dominant </w:t>
      </w:r>
      <w:r>
        <w:t>trapping mechanism,</w:t>
      </w:r>
      <w:r w:rsidRPr="00DE0603">
        <w:t xml:space="preserve"> with the dissolved CO</w:t>
      </w:r>
      <w:r w:rsidRPr="009D5B2E">
        <w:rPr>
          <w:rStyle w:val="Subscript"/>
        </w:rPr>
        <w:t>2</w:t>
      </w:r>
      <w:r w:rsidRPr="00DE0603">
        <w:t xml:space="preserve"> </w:t>
      </w:r>
      <w:r>
        <w:t xml:space="preserve">concentrations </w:t>
      </w:r>
      <w:r w:rsidRPr="00DE0603">
        <w:t>increasing rapidly (</w:t>
      </w:r>
      <w:r>
        <w:fldChar w:fldCharType="begin"/>
      </w:r>
      <w:r>
        <w:instrText xml:space="preserve"> REF _Ref372805357 \h </w:instrText>
      </w:r>
      <w:r>
        <w:fldChar w:fldCharType="separate"/>
      </w:r>
      <w:r w:rsidR="00F64E4F">
        <w:t xml:space="preserve">Figure </w:t>
      </w:r>
      <w:r w:rsidR="00F64E4F">
        <w:rPr>
          <w:noProof/>
        </w:rPr>
        <w:t>6</w:t>
      </w:r>
      <w:r w:rsidR="00F64E4F">
        <w:t>.</w:t>
      </w:r>
      <w:r w:rsidR="00F64E4F">
        <w:rPr>
          <w:noProof/>
        </w:rPr>
        <w:t>24</w:t>
      </w:r>
      <w:r>
        <w:fldChar w:fldCharType="end"/>
      </w:r>
      <w:r w:rsidRPr="00DE0603">
        <w:t xml:space="preserve">). </w:t>
      </w:r>
      <w:r>
        <w:t>At</w:t>
      </w:r>
      <w:r w:rsidRPr="00DE0603">
        <w:t xml:space="preserve"> the end of </w:t>
      </w:r>
      <w:r>
        <w:t xml:space="preserve">the </w:t>
      </w:r>
      <w:r w:rsidRPr="00DE0603">
        <w:t>injection, a total of 420 MT had been injected into the Jurassic reservoir</w:t>
      </w:r>
      <w:r>
        <w:t>.</w:t>
      </w:r>
      <w:r w:rsidRPr="00DE0603">
        <w:t xml:space="preserve"> </w:t>
      </w:r>
    </w:p>
    <w:p w:rsidR="00AE0B1A" w:rsidRDefault="00AE0B1A" w:rsidP="00AE0B1A">
      <w:pPr>
        <w:pStyle w:val="Figuresandimagescentred"/>
      </w:pPr>
      <w:r>
        <w:rPr>
          <w:noProof/>
        </w:rPr>
        <w:lastRenderedPageBreak/>
        <w:drawing>
          <wp:inline distT="0" distB="0" distL="0" distR="0" wp14:anchorId="013215B2" wp14:editId="7976F453">
            <wp:extent cx="5760720" cy="7590596"/>
            <wp:effectExtent l="0" t="0" r="0" b="0"/>
            <wp:docPr id="46" name="Picture 46" descr="Due to the complexity of this document and the niche scientific target audience, no alternative description has been provided. Please email Geoscience Australia at clientservices@ga.gov.au for an alternative description." title="Fig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6finaldocs\0.REVIEW GA Record Summary + Appendices Internal  Review\Reviewed Draft\New folder\13-7199-54.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760720" cy="7590596"/>
                    </a:xfrm>
                    <a:prstGeom prst="rect">
                      <a:avLst/>
                    </a:prstGeom>
                    <a:noFill/>
                    <a:ln>
                      <a:noFill/>
                    </a:ln>
                  </pic:spPr>
                </pic:pic>
              </a:graphicData>
            </a:graphic>
          </wp:inline>
        </w:drawing>
      </w:r>
    </w:p>
    <w:p w:rsidR="00AE0B1A" w:rsidRPr="00255748" w:rsidRDefault="00AE0B1A" w:rsidP="00AE0B1A">
      <w:pPr>
        <w:pStyle w:val="Caption"/>
      </w:pPr>
      <w:bookmarkStart w:id="887" w:name="_Ref372805348"/>
      <w:bookmarkStart w:id="888" w:name="_Toc373095031"/>
      <w:bookmarkStart w:id="889" w:name="_Toc378252761"/>
      <w:bookmarkStart w:id="890" w:name="_Toc378253085"/>
      <w:bookmarkStart w:id="891" w:name="_Toc378253409"/>
      <w:bookmarkStart w:id="892" w:name="_Toc378253733"/>
      <w:bookmarkStart w:id="893" w:name="_Toc378254057"/>
      <w:bookmarkStart w:id="894" w:name="_Toc378254381"/>
      <w:bookmarkStart w:id="895" w:name="_Toc378254705"/>
      <w:bookmarkStart w:id="896" w:name="_Toc378255029"/>
      <w:bookmarkStart w:id="897" w:name="_Toc378255378"/>
      <w:r>
        <w:t xml:space="preserve">Figure </w:t>
      </w:r>
      <w:fldSimple w:instr=" STYLEREF 1 \s ">
        <w:r w:rsidR="00F64E4F">
          <w:rPr>
            <w:noProof/>
          </w:rPr>
          <w:t>6</w:t>
        </w:r>
      </w:fldSimple>
      <w:r w:rsidR="00AE5C2D">
        <w:t>.</w:t>
      </w:r>
      <w:fldSimple w:instr=" SEQ Figure \* ARABIC \s 1 ">
        <w:r w:rsidR="00F64E4F">
          <w:rPr>
            <w:noProof/>
          </w:rPr>
          <w:t>23</w:t>
        </w:r>
      </w:fldSimple>
      <w:bookmarkEnd w:id="887"/>
      <w:r>
        <w:t xml:space="preserve"> </w:t>
      </w:r>
      <w:r w:rsidRPr="00FB53CB">
        <w:t>(a) CO</w:t>
      </w:r>
      <w:r w:rsidRPr="00FD17FE">
        <w:rPr>
          <w:rStyle w:val="Subscript"/>
        </w:rPr>
        <w:t xml:space="preserve">2 </w:t>
      </w:r>
      <w:r w:rsidRPr="00FB53CB">
        <w:t xml:space="preserve">gas saturation distribution beneath the seal; red objects are the normal faults of Province I (see </w:t>
      </w:r>
      <w:r>
        <w:fldChar w:fldCharType="begin"/>
      </w:r>
      <w:r>
        <w:instrText xml:space="preserve"> REF _Ref372804946 \h </w:instrText>
      </w:r>
      <w:r>
        <w:fldChar w:fldCharType="separate"/>
      </w:r>
      <w:r w:rsidR="00F64E4F">
        <w:t>Figure </w:t>
      </w:r>
      <w:r w:rsidR="00F64E4F">
        <w:rPr>
          <w:noProof/>
        </w:rPr>
        <w:t>6</w:t>
      </w:r>
      <w:r w:rsidR="00F64E4F">
        <w:t>.</w:t>
      </w:r>
      <w:r w:rsidR="00F64E4F">
        <w:rPr>
          <w:noProof/>
        </w:rPr>
        <w:t>14</w:t>
      </w:r>
      <w:r>
        <w:fldChar w:fldCharType="end"/>
      </w:r>
      <w:r w:rsidRPr="00FB53CB">
        <w:t xml:space="preserve">); inset box (b). See </w:t>
      </w:r>
      <w:r>
        <w:fldChar w:fldCharType="begin"/>
      </w:r>
      <w:r>
        <w:instrText xml:space="preserve"> REF _Ref372288044 \h </w:instrText>
      </w:r>
      <w:r>
        <w:fldChar w:fldCharType="separate"/>
      </w:r>
      <w:r w:rsidR="00F64E4F">
        <w:t>Figure </w:t>
      </w:r>
      <w:r w:rsidR="00F64E4F">
        <w:rPr>
          <w:noProof/>
        </w:rPr>
        <w:t>1</w:t>
      </w:r>
      <w:r w:rsidR="00F64E4F">
        <w:t>.</w:t>
      </w:r>
      <w:r w:rsidR="00F64E4F">
        <w:rPr>
          <w:noProof/>
        </w:rPr>
        <w:t>4</w:t>
      </w:r>
      <w:r>
        <w:fldChar w:fldCharType="end"/>
      </w:r>
      <w:r w:rsidRPr="00FB53CB">
        <w:t xml:space="preserve"> for location of the simulation model and Appendix L for full details.</w:t>
      </w:r>
      <w:bookmarkEnd w:id="888"/>
      <w:bookmarkEnd w:id="889"/>
      <w:bookmarkEnd w:id="890"/>
      <w:bookmarkEnd w:id="891"/>
      <w:bookmarkEnd w:id="892"/>
      <w:bookmarkEnd w:id="893"/>
      <w:bookmarkEnd w:id="894"/>
      <w:bookmarkEnd w:id="895"/>
      <w:bookmarkEnd w:id="896"/>
      <w:bookmarkEnd w:id="897"/>
    </w:p>
    <w:p w:rsidR="00AE0B1A" w:rsidRDefault="00AE0B1A" w:rsidP="00AE0B1A">
      <w:pPr>
        <w:pStyle w:val="Figuresandimagescentred"/>
      </w:pPr>
      <w:r>
        <w:rPr>
          <w:noProof/>
        </w:rPr>
        <w:lastRenderedPageBreak/>
        <w:drawing>
          <wp:inline distT="0" distB="0" distL="0" distR="0" wp14:anchorId="638809DD" wp14:editId="74EF564C">
            <wp:extent cx="5760720" cy="3771900"/>
            <wp:effectExtent l="0" t="0" r="0" b="0"/>
            <wp:docPr id="51" name="Picture 51" descr="Due to the complexity of this document and the niche scientific target audience, no alternative description has been provided. Please email Geoscience Australia at clientservices@ga.gov.au for an alternative description." title="Fig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6finaldocs\0.REVIEW GA Record Summary + Appendices Internal  Review\Reviewed Draft\New folder\13-7199-4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60720" cy="3771900"/>
                    </a:xfrm>
                    <a:prstGeom prst="rect">
                      <a:avLst/>
                    </a:prstGeom>
                    <a:noFill/>
                    <a:ln>
                      <a:noFill/>
                    </a:ln>
                  </pic:spPr>
                </pic:pic>
              </a:graphicData>
            </a:graphic>
          </wp:inline>
        </w:drawing>
      </w:r>
    </w:p>
    <w:p w:rsidR="00AE0B1A" w:rsidRDefault="00AE0B1A" w:rsidP="00AE0B1A">
      <w:pPr>
        <w:pStyle w:val="Caption"/>
      </w:pPr>
      <w:bookmarkStart w:id="898" w:name="_Ref372805357"/>
      <w:bookmarkStart w:id="899" w:name="_Toc373095032"/>
      <w:bookmarkStart w:id="900" w:name="_Toc378252762"/>
      <w:bookmarkStart w:id="901" w:name="_Toc378253086"/>
      <w:bookmarkStart w:id="902" w:name="_Toc378253410"/>
      <w:bookmarkStart w:id="903" w:name="_Toc378253734"/>
      <w:bookmarkStart w:id="904" w:name="_Toc378254058"/>
      <w:bookmarkStart w:id="905" w:name="_Toc378254382"/>
      <w:bookmarkStart w:id="906" w:name="_Toc378254706"/>
      <w:bookmarkStart w:id="907" w:name="_Toc378255030"/>
      <w:bookmarkStart w:id="908" w:name="_Toc378255379"/>
      <w:r>
        <w:t xml:space="preserve">Figure </w:t>
      </w:r>
      <w:fldSimple w:instr=" STYLEREF 1 \s ">
        <w:r w:rsidR="00F64E4F">
          <w:rPr>
            <w:noProof/>
          </w:rPr>
          <w:t>6</w:t>
        </w:r>
      </w:fldSimple>
      <w:r w:rsidR="00AE5C2D">
        <w:t>.</w:t>
      </w:r>
      <w:fldSimple w:instr=" SEQ Figure \* ARABIC \s 1 ">
        <w:r w:rsidR="00F64E4F">
          <w:rPr>
            <w:noProof/>
          </w:rPr>
          <w:t>24</w:t>
        </w:r>
      </w:fldSimple>
      <w:bookmarkEnd w:id="898"/>
      <w:r>
        <w:t xml:space="preserve"> </w:t>
      </w:r>
      <w:r w:rsidRPr="00652B6D">
        <w:t>CO</w:t>
      </w:r>
      <w:r w:rsidRPr="00FD17FE">
        <w:rPr>
          <w:rStyle w:val="Subscript"/>
        </w:rPr>
        <w:t>2</w:t>
      </w:r>
      <w:r w:rsidRPr="00652B6D">
        <w:t xml:space="preserve"> residual and soluble trapping kept increasing and the amount of mobile (free) CO</w:t>
      </w:r>
      <w:r w:rsidRPr="00FD17FE">
        <w:rPr>
          <w:rStyle w:val="Subscript"/>
        </w:rPr>
        <w:t>2</w:t>
      </w:r>
      <w:r w:rsidRPr="00652B6D">
        <w:t xml:space="preserve"> decreasing as the CO</w:t>
      </w:r>
      <w:r w:rsidRPr="00FD17FE">
        <w:rPr>
          <w:rStyle w:val="Subscript"/>
        </w:rPr>
        <w:t>2</w:t>
      </w:r>
      <w:r w:rsidRPr="00652B6D">
        <w:t xml:space="preserve"> plume migrated until all CO</w:t>
      </w:r>
      <w:r w:rsidRPr="00FD17FE">
        <w:rPr>
          <w:rStyle w:val="Subscript"/>
        </w:rPr>
        <w:t xml:space="preserve">2 </w:t>
      </w:r>
      <w:r w:rsidRPr="00652B6D">
        <w:t>would be trapped. See Appendix L for full details.</w:t>
      </w:r>
      <w:bookmarkEnd w:id="899"/>
      <w:bookmarkEnd w:id="900"/>
      <w:bookmarkEnd w:id="901"/>
      <w:bookmarkEnd w:id="902"/>
      <w:bookmarkEnd w:id="903"/>
      <w:bookmarkEnd w:id="904"/>
      <w:bookmarkEnd w:id="905"/>
      <w:bookmarkEnd w:id="906"/>
      <w:bookmarkEnd w:id="907"/>
      <w:bookmarkEnd w:id="908"/>
    </w:p>
    <w:p w:rsidR="00AE0B1A" w:rsidRDefault="00AE0B1A" w:rsidP="00AE0B1A">
      <w:pPr>
        <w:pStyle w:val="BodyText"/>
        <w:rPr>
          <w:lang w:val="en-US"/>
        </w:rPr>
      </w:pPr>
      <w:r>
        <w:t>A</w:t>
      </w:r>
      <w:r w:rsidRPr="00DE0603">
        <w:t>pproximately 20% of the total injected CO</w:t>
      </w:r>
      <w:r w:rsidRPr="009D5B2E">
        <w:rPr>
          <w:rStyle w:val="Subscript"/>
        </w:rPr>
        <w:t>2</w:t>
      </w:r>
      <w:r w:rsidRPr="00DE0603">
        <w:t xml:space="preserve"> was trapped in solution</w:t>
      </w:r>
      <w:r>
        <w:t xml:space="preserve"> and</w:t>
      </w:r>
      <w:r w:rsidRPr="00DE0603">
        <w:t xml:space="preserve"> dissolution trapping slowed significantly after</w:t>
      </w:r>
      <w:r>
        <w:t xml:space="preserve"> the end of the 30 year injection</w:t>
      </w:r>
      <w:r w:rsidRPr="00DE0603">
        <w:t xml:space="preserve"> (</w:t>
      </w:r>
      <w:r>
        <w:fldChar w:fldCharType="begin"/>
      </w:r>
      <w:r>
        <w:instrText xml:space="preserve"> REF _Ref372805357 \h </w:instrText>
      </w:r>
      <w:r>
        <w:fldChar w:fldCharType="separate"/>
      </w:r>
      <w:r w:rsidR="00F64E4F">
        <w:t xml:space="preserve">Figure </w:t>
      </w:r>
      <w:r w:rsidR="00F64E4F">
        <w:rPr>
          <w:noProof/>
        </w:rPr>
        <w:t>6</w:t>
      </w:r>
      <w:r w:rsidR="00F64E4F">
        <w:t>.</w:t>
      </w:r>
      <w:r w:rsidR="00F64E4F">
        <w:rPr>
          <w:noProof/>
        </w:rPr>
        <w:t>24</w:t>
      </w:r>
      <w:r>
        <w:fldChar w:fldCharType="end"/>
      </w:r>
      <w:r w:rsidRPr="00DE0603">
        <w:t xml:space="preserve">). </w:t>
      </w:r>
      <w:r>
        <w:t>T</w:t>
      </w:r>
      <w:r w:rsidRPr="00DE0603">
        <w:t>he amount of CO</w:t>
      </w:r>
      <w:r w:rsidRPr="009D5B2E">
        <w:rPr>
          <w:rStyle w:val="Subscript"/>
        </w:rPr>
        <w:t>2</w:t>
      </w:r>
      <w:r w:rsidRPr="00DE0603">
        <w:t xml:space="preserve"> trapped as residual CO</w:t>
      </w:r>
      <w:r w:rsidRPr="009D5B2E">
        <w:rPr>
          <w:rStyle w:val="Subscript"/>
        </w:rPr>
        <w:t>2</w:t>
      </w:r>
      <w:r w:rsidRPr="00DE0603">
        <w:t xml:space="preserve"> rapidly increased over this same period </w:t>
      </w:r>
      <w:r>
        <w:t>as</w:t>
      </w:r>
      <w:r w:rsidRPr="00DE0603">
        <w:t xml:space="preserve"> free CO</w:t>
      </w:r>
      <w:r w:rsidRPr="009D5B2E">
        <w:rPr>
          <w:rStyle w:val="Subscript"/>
        </w:rPr>
        <w:t>2</w:t>
      </w:r>
      <w:r w:rsidRPr="00DE0603">
        <w:t xml:space="preserve"> reached the seal and </w:t>
      </w:r>
      <w:r>
        <w:t xml:space="preserve">subsequently migrated </w:t>
      </w:r>
      <w:r w:rsidRPr="00DE0603">
        <w:t>slowly up dip</w:t>
      </w:r>
      <w:r>
        <w:t xml:space="preserve"> (southeast)</w:t>
      </w:r>
      <w:r w:rsidRPr="00DE0603">
        <w:t xml:space="preserve">. </w:t>
      </w:r>
      <w:r>
        <w:t>Once</w:t>
      </w:r>
      <w:r w:rsidRPr="00DE0603">
        <w:t xml:space="preserve"> injection</w:t>
      </w:r>
      <w:r>
        <w:t xml:space="preserve"> stopped</w:t>
      </w:r>
      <w:r w:rsidRPr="00DE0603">
        <w:t xml:space="preserve">, the </w:t>
      </w:r>
      <w:r>
        <w:t>reservoir pressure</w:t>
      </w:r>
      <w:r w:rsidRPr="00DE0603">
        <w:t xml:space="preserve"> rapidly </w:t>
      </w:r>
      <w:r>
        <w:rPr>
          <w:lang w:val="en-US"/>
        </w:rPr>
        <w:t xml:space="preserve">declined </w:t>
      </w:r>
      <w:r>
        <w:t>to its initial state</w:t>
      </w:r>
      <w:r>
        <w:rPr>
          <w:lang w:val="en-US"/>
        </w:rPr>
        <w:t>.</w:t>
      </w:r>
    </w:p>
    <w:p w:rsidR="00AE0B1A" w:rsidRDefault="00AE0B1A" w:rsidP="00AE0B1A">
      <w:pPr>
        <w:pStyle w:val="BodyText"/>
      </w:pPr>
      <w:r w:rsidRPr="00DE0603">
        <w:t>After 100 years from the initial injection date, over 50% of the injected CO</w:t>
      </w:r>
      <w:r w:rsidRPr="009D5B2E">
        <w:rPr>
          <w:rStyle w:val="Subscript"/>
        </w:rPr>
        <w:t>2</w:t>
      </w:r>
      <w:r w:rsidRPr="00DE0603">
        <w:t xml:space="preserve"> was trapped</w:t>
      </w:r>
      <w:r>
        <w:t xml:space="preserve"> in the reservoir</w:t>
      </w:r>
      <w:r w:rsidRPr="00DE0603">
        <w:t>. At this time, it was predicted that approximately 100 MT of CO</w:t>
      </w:r>
      <w:r w:rsidRPr="009D5B2E">
        <w:rPr>
          <w:rStyle w:val="Subscript"/>
        </w:rPr>
        <w:t>2</w:t>
      </w:r>
      <w:r w:rsidRPr="00DE0603">
        <w:t xml:space="preserve"> was trapped in solution and 125 MT of CO</w:t>
      </w:r>
      <w:r w:rsidRPr="009D5B2E">
        <w:rPr>
          <w:rStyle w:val="Subscript"/>
        </w:rPr>
        <w:t>2</w:t>
      </w:r>
      <w:r w:rsidRPr="00DE0603">
        <w:t xml:space="preserve"> was trapped as residual CO</w:t>
      </w:r>
      <w:r w:rsidRPr="009D5B2E">
        <w:rPr>
          <w:rStyle w:val="Subscript"/>
        </w:rPr>
        <w:t>2</w:t>
      </w:r>
      <w:r w:rsidRPr="00DE0603">
        <w:t xml:space="preserve"> (</w:t>
      </w:r>
      <w:r>
        <w:fldChar w:fldCharType="begin"/>
      </w:r>
      <w:r>
        <w:instrText xml:space="preserve"> REF _Ref372805357 \h </w:instrText>
      </w:r>
      <w:r>
        <w:fldChar w:fldCharType="separate"/>
      </w:r>
      <w:r w:rsidR="00F64E4F">
        <w:t xml:space="preserve">Figure </w:t>
      </w:r>
      <w:r w:rsidR="00F64E4F">
        <w:rPr>
          <w:noProof/>
        </w:rPr>
        <w:t>6</w:t>
      </w:r>
      <w:r w:rsidR="00F64E4F">
        <w:t>.</w:t>
      </w:r>
      <w:r w:rsidR="00F64E4F">
        <w:rPr>
          <w:noProof/>
        </w:rPr>
        <w:t>24</w:t>
      </w:r>
      <w:r>
        <w:fldChar w:fldCharType="end"/>
      </w:r>
      <w:r w:rsidRPr="00DE0603">
        <w:t>).</w:t>
      </w:r>
      <w:r w:rsidRPr="00C94C2F">
        <w:t xml:space="preserve"> </w:t>
      </w:r>
      <w:r>
        <w:t>A</w:t>
      </w:r>
      <w:r w:rsidRPr="00C94C2F">
        <w:t xml:space="preserve">fter 1,700 years, 250 </w:t>
      </w:r>
      <w:r>
        <w:t>MT</w:t>
      </w:r>
      <w:r w:rsidRPr="00C94C2F">
        <w:t xml:space="preserve"> or 83% of </w:t>
      </w:r>
      <w:r>
        <w:t xml:space="preserve">the </w:t>
      </w:r>
      <w:r w:rsidRPr="00C94C2F">
        <w:t>total injected CO</w:t>
      </w:r>
      <w:r w:rsidRPr="009D5B2E">
        <w:rPr>
          <w:rStyle w:val="Subscript"/>
        </w:rPr>
        <w:t>2</w:t>
      </w:r>
      <w:r w:rsidRPr="00C94C2F">
        <w:t xml:space="preserve"> was trapped</w:t>
      </w:r>
      <w:r>
        <w:t xml:space="preserve">; </w:t>
      </w:r>
      <w:r w:rsidRPr="00C94C2F">
        <w:t>the remain</w:t>
      </w:r>
      <w:r>
        <w:t>ing</w:t>
      </w:r>
      <w:r w:rsidRPr="00C94C2F">
        <w:t xml:space="preserve"> 17% </w:t>
      </w:r>
      <w:r>
        <w:t xml:space="preserve">remaining </w:t>
      </w:r>
      <w:r w:rsidRPr="00C94C2F">
        <w:t>mobile supercritical CO</w:t>
      </w:r>
      <w:r w:rsidRPr="009D5B2E">
        <w:rPr>
          <w:rStyle w:val="Subscript"/>
        </w:rPr>
        <w:t>2</w:t>
      </w:r>
      <w:r w:rsidRPr="00C94C2F">
        <w:t xml:space="preserve"> gas </w:t>
      </w:r>
      <w:r>
        <w:t>migrating</w:t>
      </w:r>
      <w:r w:rsidRPr="00C94C2F">
        <w:t xml:space="preserve"> </w:t>
      </w:r>
      <w:r>
        <w:t>up dip</w:t>
      </w:r>
      <w:r w:rsidRPr="00C94C2F">
        <w:t xml:space="preserve">. </w:t>
      </w:r>
      <w:r>
        <w:t>E</w:t>
      </w:r>
      <w:r w:rsidRPr="00C94C2F">
        <w:t>xtrapolating the simulated CO</w:t>
      </w:r>
      <w:r w:rsidRPr="009D5B2E">
        <w:rPr>
          <w:rStyle w:val="Subscript"/>
        </w:rPr>
        <w:t>2</w:t>
      </w:r>
      <w:r w:rsidRPr="00C94C2F">
        <w:t xml:space="preserve"> trapping and migration rate, </w:t>
      </w:r>
      <w:r>
        <w:t>the model</w:t>
      </w:r>
      <w:r w:rsidRPr="00C94C2F">
        <w:t xml:space="preserve"> predicted that it </w:t>
      </w:r>
      <w:r>
        <w:t>would</w:t>
      </w:r>
      <w:r w:rsidRPr="00C94C2F">
        <w:t xml:space="preserve"> take </w:t>
      </w:r>
      <w:r>
        <w:t>total</w:t>
      </w:r>
      <w:r w:rsidRPr="00C94C2F">
        <w:t xml:space="preserve"> </w:t>
      </w:r>
      <w:r>
        <w:t>3200</w:t>
      </w:r>
      <w:r w:rsidRPr="00C94C2F">
        <w:t xml:space="preserve"> years before </w:t>
      </w:r>
      <w:r>
        <w:t>100% of the injected CO</w:t>
      </w:r>
      <w:r w:rsidRPr="009D5B2E">
        <w:rPr>
          <w:rStyle w:val="Subscript"/>
        </w:rPr>
        <w:t>2</w:t>
      </w:r>
      <w:r>
        <w:t xml:space="preserve"> would be permanently trapped, by which time the </w:t>
      </w:r>
      <w:r w:rsidRPr="00C94C2F">
        <w:t>CO</w:t>
      </w:r>
      <w:r w:rsidRPr="009D5B2E">
        <w:rPr>
          <w:rStyle w:val="Subscript"/>
        </w:rPr>
        <w:t>2</w:t>
      </w:r>
      <w:r w:rsidRPr="00C94C2F">
        <w:t xml:space="preserve"> plume would </w:t>
      </w:r>
      <w:r>
        <w:t xml:space="preserve">have </w:t>
      </w:r>
      <w:r w:rsidRPr="00C94C2F">
        <w:t>migrate</w:t>
      </w:r>
      <w:r>
        <w:t>d</w:t>
      </w:r>
      <w:r w:rsidRPr="00C94C2F">
        <w:t xml:space="preserve"> </w:t>
      </w:r>
      <w:r>
        <w:t>a total distance of 34</w:t>
      </w:r>
      <w:r w:rsidRPr="00C94C2F">
        <w:t xml:space="preserve"> km </w:t>
      </w:r>
      <w:r>
        <w:t>up dip</w:t>
      </w:r>
      <w:r w:rsidRPr="00C94C2F">
        <w:t xml:space="preserve"> </w:t>
      </w:r>
      <w:r>
        <w:t>from the injection wells.</w:t>
      </w:r>
    </w:p>
    <w:p w:rsidR="00AE0B1A" w:rsidRPr="00C94C2F" w:rsidRDefault="00AE0B1A" w:rsidP="00AE0B1A">
      <w:pPr>
        <w:pStyle w:val="BodyText"/>
      </w:pPr>
      <w:r>
        <w:t>In a separate simulation,</w:t>
      </w:r>
      <w:r w:rsidRPr="00C94C2F">
        <w:t xml:space="preserve"> 5 </w:t>
      </w:r>
      <w:r>
        <w:t>MTPA</w:t>
      </w:r>
      <w:r w:rsidRPr="00C94C2F">
        <w:t xml:space="preserve"> of CO</w:t>
      </w:r>
      <w:r w:rsidRPr="009D5B2E">
        <w:rPr>
          <w:rStyle w:val="Subscript"/>
        </w:rPr>
        <w:t>2</w:t>
      </w:r>
      <w:r w:rsidRPr="00C94C2F">
        <w:t xml:space="preserve"> could be injected into the </w:t>
      </w:r>
      <w:r>
        <w:t>Cretaceous reservoir</w:t>
      </w:r>
      <w:r w:rsidRPr="00C94C2F">
        <w:t xml:space="preserve"> over </w:t>
      </w:r>
      <w:r>
        <w:t>the 30 year injection period</w:t>
      </w:r>
      <w:r w:rsidRPr="00C94C2F">
        <w:t>. Injection in</w:t>
      </w:r>
      <w:r>
        <w:t>to</w:t>
      </w:r>
      <w:r w:rsidRPr="00C94C2F">
        <w:t xml:space="preserve"> the </w:t>
      </w:r>
      <w:r>
        <w:t>Cretaceous</w:t>
      </w:r>
      <w:r w:rsidRPr="00C94C2F">
        <w:t xml:space="preserve"> reservoir was limited by the thin reservoir thickness and shallow injection depth. </w:t>
      </w:r>
      <w:r>
        <w:rPr>
          <w:lang w:val="en-US"/>
        </w:rPr>
        <w:t>This shallow, thinner reservoir resulted in shorter perforation intervals, lower injection pressure limits and lower CO</w:t>
      </w:r>
      <w:r w:rsidRPr="009D5B2E">
        <w:rPr>
          <w:rStyle w:val="Subscript"/>
        </w:rPr>
        <w:t>2</w:t>
      </w:r>
      <w:r>
        <w:rPr>
          <w:lang w:val="en-US"/>
        </w:rPr>
        <w:t xml:space="preserve"> density, producing a lower total injection</w:t>
      </w:r>
      <w:r>
        <w:t>.</w:t>
      </w:r>
    </w:p>
    <w:p w:rsidR="00AE0B1A" w:rsidRPr="00C94C2F" w:rsidRDefault="00AE0B1A" w:rsidP="00AE0B1A">
      <w:pPr>
        <w:pStyle w:val="Heading1"/>
      </w:pPr>
      <w:bookmarkStart w:id="909" w:name="_Toc372790314"/>
      <w:bookmarkStart w:id="910" w:name="_Toc378252906"/>
      <w:bookmarkStart w:id="911" w:name="_Toc378253230"/>
      <w:bookmarkStart w:id="912" w:name="_Toc378253554"/>
      <w:bookmarkStart w:id="913" w:name="_Toc378253878"/>
      <w:bookmarkStart w:id="914" w:name="_Toc378254202"/>
      <w:bookmarkStart w:id="915" w:name="_Toc378254526"/>
      <w:bookmarkStart w:id="916" w:name="_Toc378254850"/>
      <w:bookmarkStart w:id="917" w:name="_Toc378255174"/>
      <w:bookmarkStart w:id="918" w:name="_Toc383758232"/>
      <w:r w:rsidRPr="006B5A62">
        <w:lastRenderedPageBreak/>
        <w:t>Capacity</w:t>
      </w:r>
      <w:bookmarkEnd w:id="909"/>
      <w:bookmarkEnd w:id="910"/>
      <w:bookmarkEnd w:id="911"/>
      <w:bookmarkEnd w:id="912"/>
      <w:bookmarkEnd w:id="913"/>
      <w:bookmarkEnd w:id="914"/>
      <w:bookmarkEnd w:id="915"/>
      <w:bookmarkEnd w:id="916"/>
      <w:bookmarkEnd w:id="917"/>
      <w:bookmarkEnd w:id="918"/>
    </w:p>
    <w:p w:rsidR="00AE0B1A" w:rsidRDefault="00AE0B1A" w:rsidP="00AE0B1A">
      <w:pPr>
        <w:pStyle w:val="BodyText"/>
      </w:pPr>
      <w:r w:rsidRPr="00C94C2F">
        <w:t xml:space="preserve">The classification of capacity estimates is </w:t>
      </w:r>
      <w:r>
        <w:t>currently</w:t>
      </w:r>
      <w:r w:rsidRPr="00C94C2F">
        <w:t xml:space="preserve"> defined by the ‘levels’ </w:t>
      </w:r>
      <w:r>
        <w:t>of</w:t>
      </w:r>
      <w:r w:rsidRPr="00C94C2F">
        <w:t xml:space="preserve"> the CO</w:t>
      </w:r>
      <w:r w:rsidRPr="009D5B2E">
        <w:rPr>
          <w:rStyle w:val="Subscript"/>
        </w:rPr>
        <w:t>2</w:t>
      </w:r>
      <w:r w:rsidRPr="00C94C2F">
        <w:t xml:space="preserve"> storage resource </w:t>
      </w:r>
      <w:r w:rsidRPr="00DE0603">
        <w:t xml:space="preserve">pyramid </w:t>
      </w:r>
      <w:r w:rsidRPr="00DE0603">
        <w:rPr>
          <w:noProof/>
        </w:rPr>
        <w:t>(</w:t>
      </w:r>
      <w:r>
        <w:fldChar w:fldCharType="begin"/>
      </w:r>
      <w:r>
        <w:rPr>
          <w:noProof/>
        </w:rPr>
        <w:instrText xml:space="preserve"> REF _Ref372811175 \h </w:instrText>
      </w:r>
      <w:r>
        <w:fldChar w:fldCharType="separate"/>
      </w:r>
      <w:r w:rsidR="00F64E4F">
        <w:t xml:space="preserve">Figure </w:t>
      </w:r>
      <w:r w:rsidR="00F64E4F">
        <w:rPr>
          <w:noProof/>
        </w:rPr>
        <w:t>7</w:t>
      </w:r>
      <w:r w:rsidR="00F64E4F">
        <w:t>.</w:t>
      </w:r>
      <w:r w:rsidR="00F64E4F">
        <w:rPr>
          <w:noProof/>
        </w:rPr>
        <w:t>1</w:t>
      </w:r>
      <w:r>
        <w:fldChar w:fldCharType="end"/>
      </w:r>
      <w:r>
        <w:t xml:space="preserve">; </w:t>
      </w:r>
      <w:r>
        <w:rPr>
          <w:noProof/>
        </w:rPr>
        <w:t xml:space="preserve">CO2CRC, 2008; </w:t>
      </w:r>
      <w:r w:rsidRPr="00DE0603">
        <w:rPr>
          <w:noProof/>
        </w:rPr>
        <w:t>C</w:t>
      </w:r>
      <w:r>
        <w:rPr>
          <w:noProof/>
        </w:rPr>
        <w:t xml:space="preserve">arbon Sequestration </w:t>
      </w:r>
      <w:r w:rsidRPr="00DE0603">
        <w:rPr>
          <w:noProof/>
        </w:rPr>
        <w:t>L</w:t>
      </w:r>
      <w:r>
        <w:rPr>
          <w:noProof/>
        </w:rPr>
        <w:t xml:space="preserve">eadership </w:t>
      </w:r>
      <w:r w:rsidRPr="00DE0603">
        <w:rPr>
          <w:noProof/>
        </w:rPr>
        <w:t>F</w:t>
      </w:r>
      <w:r>
        <w:rPr>
          <w:noProof/>
        </w:rPr>
        <w:t>orum</w:t>
      </w:r>
      <w:r w:rsidRPr="00DE0603">
        <w:rPr>
          <w:noProof/>
        </w:rPr>
        <w:t>, 2011)</w:t>
      </w:r>
      <w:r w:rsidRPr="00DE0603">
        <w:t xml:space="preserve">. </w:t>
      </w:r>
      <w:r>
        <w:t xml:space="preserve">In </w:t>
      </w:r>
      <w:r w:rsidRPr="00DE0603">
        <w:t xml:space="preserve">each step towards the apex, there is an increasing level of certainty in the storage space, increasing confidence of the reservoir and seal characterisation, increasing quality and resolution of data and finally, but not always, a decreasing estimated volume of the storage space available. In order to calculate the capacity at each of these steps there are a variety of methodologies of </w:t>
      </w:r>
      <w:r>
        <w:t>varying</w:t>
      </w:r>
      <w:r w:rsidRPr="00DE0603">
        <w:t xml:space="preserve"> complexity and input requirements. </w:t>
      </w:r>
      <w:r>
        <w:t>Details</w:t>
      </w:r>
      <w:r w:rsidRPr="00DE0603">
        <w:t xml:space="preserve"> of the various CO</w:t>
      </w:r>
      <w:r w:rsidRPr="009D5B2E">
        <w:rPr>
          <w:rStyle w:val="Subscript"/>
        </w:rPr>
        <w:t>2</w:t>
      </w:r>
      <w:r w:rsidRPr="00DE0603">
        <w:t xml:space="preserve"> storage classification pyramids, including the history of capacity methodologies in Australia</w:t>
      </w:r>
      <w:r>
        <w:t>,</w:t>
      </w:r>
      <w:r w:rsidRPr="00DE0603">
        <w:t xml:space="preserve"> </w:t>
      </w:r>
      <w:r>
        <w:t>are</w:t>
      </w:r>
      <w:r w:rsidRPr="00DE0603">
        <w:t xml:space="preserve"> provided by </w:t>
      </w:r>
      <w:r w:rsidRPr="00DE0603">
        <w:rPr>
          <w:noProof/>
        </w:rPr>
        <w:t>Bunch (2013)</w:t>
      </w:r>
      <w:r w:rsidRPr="00DE0603">
        <w:t>.</w:t>
      </w:r>
    </w:p>
    <w:p w:rsidR="00AE0B1A" w:rsidRDefault="00AE0B1A" w:rsidP="00AE0B1A">
      <w:pPr>
        <w:pStyle w:val="BodyText"/>
      </w:pPr>
      <w:r>
        <w:t>In the present</w:t>
      </w:r>
      <w:r w:rsidRPr="00DE0603">
        <w:t xml:space="preserve"> study</w:t>
      </w:r>
      <w:r>
        <w:t xml:space="preserve">, </w:t>
      </w:r>
      <w:r w:rsidRPr="00DE0603">
        <w:t xml:space="preserve">the effective storage capacity </w:t>
      </w:r>
      <w:r>
        <w:t xml:space="preserve">was defined </w:t>
      </w:r>
      <w:r w:rsidRPr="00DE0603">
        <w:t>at the formation level</w:t>
      </w:r>
      <w:r>
        <w:t xml:space="preserve"> to improve the level of certainty and increase confidence over previous estimates</w:t>
      </w:r>
      <w:r w:rsidRPr="00DE0603">
        <w:t>. The effective storage capacity represents a fraction of the total rock volume capacity</w:t>
      </w:r>
      <w:r>
        <w:t>. It</w:t>
      </w:r>
      <w:r w:rsidRPr="00DE0603">
        <w:t xml:space="preserve"> is obtained by applying a range of geological</w:t>
      </w:r>
      <w:r>
        <w:t xml:space="preserve"> and engineering cut-off limits to this total potential storage volume. These cut-offs are employed through a simple</w:t>
      </w:r>
      <w:r w:rsidRPr="00801CFD">
        <w:t xml:space="preserve"> </w:t>
      </w:r>
      <w:r>
        <w:t>volumetric calculation</w:t>
      </w:r>
      <w:r w:rsidRPr="00801CFD">
        <w:t xml:space="preserve"> </w:t>
      </w:r>
      <w:r>
        <w:t xml:space="preserve">where the properties of the fluid and the reservoir are held constant. The volumetric calculation methodology utilised for this study follows </w:t>
      </w:r>
      <w:r>
        <w:rPr>
          <w:noProof/>
        </w:rPr>
        <w:t>Bradshaw et al. (2009)</w:t>
      </w:r>
      <w:r>
        <w:t xml:space="preserve">, which was identified by </w:t>
      </w:r>
      <w:r>
        <w:rPr>
          <w:noProof/>
        </w:rPr>
        <w:t>Bunch (2013)</w:t>
      </w:r>
      <w:r>
        <w:t xml:space="preserve"> as one of the most robust capacity methodologies published. Importantly, the static geological model and dynamic reservoir simulations were used to constrain the inputs into the calculation of CO</w:t>
      </w:r>
      <w:r w:rsidRPr="009B5AFD">
        <w:rPr>
          <w:rStyle w:val="Subscript"/>
        </w:rPr>
        <w:t>2</w:t>
      </w:r>
      <w:r>
        <w:t xml:space="preserve"> storage capacity. The variability of the inputs was evaluated using a Monte Carlo simulation, which addressed the uncertainty in the values and produced probabilistic effective storage capacity estimates for the Jurassic and Cretaceous reservoirs, as well as the reservoirs combined. Full details of the procedure used to calculate the CO</w:t>
      </w:r>
      <w:r w:rsidRPr="009D5B2E">
        <w:rPr>
          <w:rStyle w:val="Subscript"/>
        </w:rPr>
        <w:t>2</w:t>
      </w:r>
      <w:r>
        <w:t xml:space="preserve"> geological storage capacity for the Petrel Sub-basin are provided in Appendix O.</w:t>
      </w:r>
    </w:p>
    <w:p w:rsidR="00AE0B1A" w:rsidRDefault="00AE0B1A" w:rsidP="00AE0B1A">
      <w:pPr>
        <w:pStyle w:val="BodyText"/>
      </w:pPr>
      <w:r w:rsidRPr="00B9256D">
        <w:t xml:space="preserve">The total effective storage capacity for the </w:t>
      </w:r>
      <w:r>
        <w:t>study area</w:t>
      </w:r>
      <w:r w:rsidRPr="00B9256D">
        <w:t xml:space="preserve"> </w:t>
      </w:r>
      <w:r>
        <w:t>is</w:t>
      </w:r>
      <w:r w:rsidRPr="00B9256D">
        <w:t xml:space="preserve"> estimated to be 15,930 MT</w:t>
      </w:r>
      <w:r>
        <w:t xml:space="preserve"> (P50 or best estimate; </w:t>
      </w:r>
      <w:r>
        <w:rPr>
          <w:noProof/>
        </w:rPr>
        <w:fldChar w:fldCharType="begin"/>
      </w:r>
      <w:r>
        <w:instrText xml:space="preserve"> REF _Ref373147715 \h </w:instrText>
      </w:r>
      <w:r>
        <w:rPr>
          <w:noProof/>
        </w:rPr>
      </w:r>
      <w:r>
        <w:rPr>
          <w:noProof/>
        </w:rPr>
        <w:fldChar w:fldCharType="separate"/>
      </w:r>
      <w:r w:rsidR="00F64E4F">
        <w:t xml:space="preserve">Table </w:t>
      </w:r>
      <w:r w:rsidR="00F64E4F">
        <w:rPr>
          <w:noProof/>
        </w:rPr>
        <w:t>7</w:t>
      </w:r>
      <w:r w:rsidR="00F64E4F">
        <w:t>.</w:t>
      </w:r>
      <w:r w:rsidR="00F64E4F">
        <w:rPr>
          <w:noProof/>
        </w:rPr>
        <w:t>1</w:t>
      </w:r>
      <w:r>
        <w:rPr>
          <w:noProof/>
        </w:rPr>
        <w:fldChar w:fldCharType="end"/>
      </w:r>
      <w:r w:rsidRPr="00B9256D">
        <w:rPr>
          <w:noProof/>
        </w:rPr>
        <w:t>)</w:t>
      </w:r>
      <w:r w:rsidRPr="00B9256D">
        <w:t xml:space="preserve">. The total effective storage </w:t>
      </w:r>
      <w:r w:rsidRPr="00A5369D">
        <w:t>capacity</w:t>
      </w:r>
      <w:r w:rsidRPr="00B9256D">
        <w:t xml:space="preserve"> is the probabilistic sum of effective storage capacity of </w:t>
      </w:r>
      <w:r>
        <w:t>the Jurassic and Cretaceous</w:t>
      </w:r>
      <w:r w:rsidRPr="00B9256D">
        <w:t xml:space="preserve"> reservoirs, and not simply the addition of the two. The regional effective storage capacity of the reservoirs, limited by their respective seals, is 6,480 MT (P50) for the Jurassic reservoir and is 9,310 MT (P50) for the Cretaceous reservoir</w:t>
      </w:r>
      <w:r>
        <w:t>.</w:t>
      </w:r>
    </w:p>
    <w:p w:rsidR="00AE0B1A" w:rsidRDefault="00AE0B1A" w:rsidP="00AE0B1A">
      <w:pPr>
        <w:pStyle w:val="BodyText"/>
      </w:pPr>
      <w:r w:rsidRPr="00B9256D">
        <w:t xml:space="preserve">The Jurassic reservoir has a lower capacity when compared to the Cretaceous reservoir due to the limited </w:t>
      </w:r>
      <w:r>
        <w:t xml:space="preserve">spatial </w:t>
      </w:r>
      <w:r w:rsidRPr="00B9256D">
        <w:t xml:space="preserve">extent of the upper Frigate </w:t>
      </w:r>
      <w:r>
        <w:t xml:space="preserve">Shale </w:t>
      </w:r>
      <w:r w:rsidRPr="00B9256D">
        <w:t xml:space="preserve">mudstone seal. Moreover, despite the Jurassic reservoir being thicker overall, migration-assisted trapping </w:t>
      </w:r>
      <w:r>
        <w:t>(</w:t>
      </w:r>
      <w:r w:rsidRPr="00B9256D">
        <w:t xml:space="preserve">the likely </w:t>
      </w:r>
      <w:r>
        <w:t>trapping mechanism</w:t>
      </w:r>
      <w:r w:rsidRPr="00B9256D">
        <w:t xml:space="preserve"> for this </w:t>
      </w:r>
      <w:r>
        <w:t>play)</w:t>
      </w:r>
      <w:r w:rsidRPr="00B9256D">
        <w:t xml:space="preserve"> will only utilise the </w:t>
      </w:r>
      <w:r>
        <w:t>upper tens of meters</w:t>
      </w:r>
      <w:r w:rsidRPr="00B9256D">
        <w:t xml:space="preserve"> of the reservoir</w:t>
      </w:r>
      <w:r>
        <w:t xml:space="preserve"> and hence not occupy the entire reservoir pore space </w:t>
      </w:r>
      <w:r w:rsidRPr="00B9256D">
        <w:t>(</w:t>
      </w:r>
      <w:r>
        <w:fldChar w:fldCharType="begin"/>
      </w:r>
      <w:r>
        <w:instrText xml:space="preserve"> REF _Ref372811187 \h </w:instrText>
      </w:r>
      <w:r>
        <w:fldChar w:fldCharType="separate"/>
      </w:r>
      <w:r w:rsidR="00F64E4F">
        <w:t xml:space="preserve">Figure </w:t>
      </w:r>
      <w:r w:rsidR="00F64E4F">
        <w:rPr>
          <w:noProof/>
        </w:rPr>
        <w:t>7</w:t>
      </w:r>
      <w:r w:rsidR="00F64E4F">
        <w:t>.</w:t>
      </w:r>
      <w:r w:rsidR="00F64E4F">
        <w:rPr>
          <w:noProof/>
        </w:rPr>
        <w:t>2</w:t>
      </w:r>
      <w:r>
        <w:fldChar w:fldCharType="end"/>
      </w:r>
      <w:r>
        <w:t>)</w:t>
      </w:r>
      <w:r w:rsidRPr="00B9256D">
        <w:t xml:space="preserve">. The calculation </w:t>
      </w:r>
      <w:r>
        <w:t xml:space="preserve">contained in </w:t>
      </w:r>
      <w:r w:rsidRPr="00B9256D">
        <w:t xml:space="preserve">Bradshaw et al. (2009) is one of only a few methodologies to not define the entire reservoir pore volume as storage space </w:t>
      </w:r>
      <w:r>
        <w:t>which is typical of most volume estimate methods for CO</w:t>
      </w:r>
      <w:r w:rsidRPr="009B5AFD">
        <w:rPr>
          <w:rStyle w:val="Subscript"/>
        </w:rPr>
        <w:t>2</w:t>
      </w:r>
      <w:r>
        <w:t xml:space="preserve"> storage capacity (</w:t>
      </w:r>
      <w:r>
        <w:fldChar w:fldCharType="begin"/>
      </w:r>
      <w:r>
        <w:instrText xml:space="preserve"> REF _Ref372805348 \h </w:instrText>
      </w:r>
      <w:r>
        <w:fldChar w:fldCharType="separate"/>
      </w:r>
      <w:r w:rsidR="00F64E4F">
        <w:t xml:space="preserve">Figure </w:t>
      </w:r>
      <w:r w:rsidR="00F64E4F">
        <w:rPr>
          <w:noProof/>
        </w:rPr>
        <w:t>6</w:t>
      </w:r>
      <w:r w:rsidR="00F64E4F">
        <w:t>.</w:t>
      </w:r>
      <w:r w:rsidR="00F64E4F">
        <w:rPr>
          <w:noProof/>
        </w:rPr>
        <w:t>23</w:t>
      </w:r>
      <w:r>
        <w:fldChar w:fldCharType="end"/>
      </w:r>
      <w:r w:rsidRPr="00B9256D">
        <w:t>b</w:t>
      </w:r>
      <w:r>
        <w:t>).</w:t>
      </w:r>
    </w:p>
    <w:p w:rsidR="00AE0B1A" w:rsidRDefault="00AE0B1A" w:rsidP="00AE0B1A">
      <w:pPr>
        <w:pStyle w:val="Figuresandimagescentred"/>
      </w:pPr>
      <w:r>
        <w:rPr>
          <w:noProof/>
        </w:rPr>
        <w:lastRenderedPageBreak/>
        <w:drawing>
          <wp:inline distT="0" distB="0" distL="0" distR="0" wp14:anchorId="1CCE9AD9" wp14:editId="3D172643">
            <wp:extent cx="4114800" cy="3474000"/>
            <wp:effectExtent l="0" t="0" r="0" b="0"/>
            <wp:docPr id="4" name="Picture 4" descr="Due to the complexity of this document and the niche scientific target audience, no alternative description has been provided. Please email Geoscience Australia at clientservices@ga.gov.au for an alternative description." title="Fig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199-10.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114800" cy="3474000"/>
                    </a:xfrm>
                    <a:prstGeom prst="rect">
                      <a:avLst/>
                    </a:prstGeom>
                  </pic:spPr>
                </pic:pic>
              </a:graphicData>
            </a:graphic>
          </wp:inline>
        </w:drawing>
      </w:r>
    </w:p>
    <w:p w:rsidR="00AE0B1A" w:rsidRPr="00C94C2F" w:rsidRDefault="00AE0B1A" w:rsidP="00AE0B1A">
      <w:pPr>
        <w:pStyle w:val="Caption"/>
      </w:pPr>
      <w:bookmarkStart w:id="919" w:name="_Ref372811175"/>
      <w:bookmarkStart w:id="920" w:name="_Toc373095033"/>
      <w:bookmarkStart w:id="921" w:name="_Toc378252763"/>
      <w:bookmarkStart w:id="922" w:name="_Toc378253087"/>
      <w:bookmarkStart w:id="923" w:name="_Toc378253411"/>
      <w:bookmarkStart w:id="924" w:name="_Toc378253735"/>
      <w:bookmarkStart w:id="925" w:name="_Toc378254059"/>
      <w:bookmarkStart w:id="926" w:name="_Toc378254383"/>
      <w:bookmarkStart w:id="927" w:name="_Toc378254707"/>
      <w:bookmarkStart w:id="928" w:name="_Toc378255031"/>
      <w:bookmarkStart w:id="929" w:name="_Toc378255380"/>
      <w:r>
        <w:t xml:space="preserve">Figure </w:t>
      </w:r>
      <w:fldSimple w:instr=" STYLEREF 1 \s ">
        <w:r w:rsidR="00F64E4F">
          <w:rPr>
            <w:noProof/>
          </w:rPr>
          <w:t>7</w:t>
        </w:r>
      </w:fldSimple>
      <w:r w:rsidR="00AE5C2D">
        <w:t>.</w:t>
      </w:r>
      <w:fldSimple w:instr=" SEQ Figure \* ARABIC \s 1 ">
        <w:r w:rsidR="00F64E4F">
          <w:rPr>
            <w:noProof/>
          </w:rPr>
          <w:t>1</w:t>
        </w:r>
      </w:fldSimple>
      <w:bookmarkEnd w:id="919"/>
      <w:r>
        <w:t xml:space="preserve"> </w:t>
      </w:r>
      <w:r w:rsidRPr="00BA4903">
        <w:t>Pyramid of resources after Carbon Sequestration Leadership Forum (2011) and CO2CRC (2008).</w:t>
      </w:r>
      <w:bookmarkEnd w:id="920"/>
      <w:bookmarkEnd w:id="921"/>
      <w:bookmarkEnd w:id="922"/>
      <w:bookmarkEnd w:id="923"/>
      <w:bookmarkEnd w:id="924"/>
      <w:bookmarkEnd w:id="925"/>
      <w:bookmarkEnd w:id="926"/>
      <w:bookmarkEnd w:id="927"/>
      <w:bookmarkEnd w:id="928"/>
      <w:bookmarkEnd w:id="929"/>
    </w:p>
    <w:p w:rsidR="00AE0B1A" w:rsidRDefault="00AE0B1A" w:rsidP="00AE0B1A">
      <w:pPr>
        <w:pStyle w:val="Tabletitle"/>
      </w:pPr>
      <w:bookmarkStart w:id="930" w:name="_Ref373147715"/>
      <w:bookmarkStart w:id="931" w:name="_Toc372790382"/>
      <w:bookmarkStart w:id="932" w:name="_Toc378252836"/>
      <w:bookmarkStart w:id="933" w:name="_Toc378253160"/>
      <w:bookmarkStart w:id="934" w:name="_Toc378253484"/>
      <w:bookmarkStart w:id="935" w:name="_Toc378253808"/>
      <w:bookmarkStart w:id="936" w:name="_Toc378254132"/>
      <w:bookmarkStart w:id="937" w:name="_Toc378254456"/>
      <w:bookmarkStart w:id="938" w:name="_Toc378254780"/>
      <w:bookmarkStart w:id="939" w:name="_Toc378255104"/>
      <w:bookmarkStart w:id="940" w:name="_Toc378255453"/>
      <w:bookmarkStart w:id="941" w:name="_Toc358716989"/>
      <w:bookmarkStart w:id="942" w:name="_Toc356229463"/>
      <w:r>
        <w:t xml:space="preserve">Table </w:t>
      </w:r>
      <w:fldSimple w:instr=" STYLEREF 1 \s ">
        <w:r w:rsidR="00F64E4F">
          <w:rPr>
            <w:noProof/>
          </w:rPr>
          <w:t>7</w:t>
        </w:r>
      </w:fldSimple>
      <w:r>
        <w:t>.</w:t>
      </w:r>
      <w:fldSimple w:instr=" SEQ Table \* ARABIC \s 1 ">
        <w:r w:rsidR="00F64E4F">
          <w:rPr>
            <w:noProof/>
          </w:rPr>
          <w:t>1</w:t>
        </w:r>
      </w:fldSimple>
      <w:bookmarkEnd w:id="930"/>
      <w:r>
        <w:t xml:space="preserve"> </w:t>
      </w:r>
      <w:r w:rsidRPr="002A5122">
        <w:t xml:space="preserve">The effective storage capacities using Monte Carlo simulation. The Jurassic and Cretaceous reservoirs capacity estimates are independent in the simulation and the total reservoir capacity are the result of the probabilistic sum of both reservoirs in </w:t>
      </w:r>
      <w:r>
        <w:t>Monte Carlo simulation.</w:t>
      </w:r>
      <w:bookmarkEnd w:id="931"/>
      <w:bookmarkEnd w:id="932"/>
      <w:bookmarkEnd w:id="933"/>
      <w:bookmarkEnd w:id="934"/>
      <w:bookmarkEnd w:id="935"/>
      <w:bookmarkEnd w:id="936"/>
      <w:bookmarkEnd w:id="937"/>
      <w:bookmarkEnd w:id="938"/>
      <w:bookmarkEnd w:id="939"/>
      <w:bookmarkEnd w:id="940"/>
    </w:p>
    <w:tbl>
      <w:tblPr>
        <w:tblStyle w:val="TableGAHeaderRow"/>
        <w:tblW w:w="0" w:type="auto"/>
        <w:tblLook w:val="04A0" w:firstRow="1" w:lastRow="0" w:firstColumn="1" w:lastColumn="0" w:noHBand="0" w:noVBand="1"/>
        <w:tblCaption w:val="Table 7.1"/>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1530"/>
        <w:gridCol w:w="9"/>
        <w:gridCol w:w="2005"/>
        <w:gridCol w:w="2126"/>
        <w:gridCol w:w="2410"/>
      </w:tblGrid>
      <w:tr w:rsidR="00AE0B1A" w:rsidTr="00AE0B1A">
        <w:trPr>
          <w:cnfStyle w:val="100000000000" w:firstRow="1" w:lastRow="0" w:firstColumn="0" w:lastColumn="0" w:oddVBand="0" w:evenVBand="0" w:oddHBand="0" w:evenHBand="0" w:firstRowFirstColumn="0" w:firstRowLastColumn="0" w:lastRowFirstColumn="0" w:lastRowLastColumn="0"/>
          <w:cantSplit w:val="0"/>
          <w:tblHeader/>
        </w:trPr>
        <w:tc>
          <w:tcPr>
            <w:tcW w:w="8080" w:type="dxa"/>
            <w:gridSpan w:val="5"/>
          </w:tcPr>
          <w:p w:rsidR="00AE0B1A" w:rsidRPr="002C2C31" w:rsidRDefault="00AE0B1A" w:rsidP="00A96950">
            <w:pPr>
              <w:pStyle w:val="Tabletextleft"/>
            </w:pPr>
            <w:r w:rsidRPr="002C2C31">
              <w:t>Monte Carlo simulation results</w:t>
            </w:r>
            <w:r>
              <w:t xml:space="preserve"> (Gt)</w:t>
            </w:r>
          </w:p>
        </w:tc>
      </w:tr>
      <w:tr w:rsidR="00AE0B1A" w:rsidTr="00AE0B1A">
        <w:trPr>
          <w:cnfStyle w:val="100000000000" w:firstRow="1" w:lastRow="0" w:firstColumn="0" w:lastColumn="0" w:oddVBand="0" w:evenVBand="0" w:oddHBand="0" w:evenHBand="0" w:firstRowFirstColumn="0" w:firstRowLastColumn="0" w:lastRowFirstColumn="0" w:lastRowLastColumn="0"/>
          <w:cantSplit w:val="0"/>
          <w:tblHeader/>
        </w:trPr>
        <w:tc>
          <w:tcPr>
            <w:tcW w:w="1530" w:type="dxa"/>
            <w:vAlign w:val="bottom"/>
          </w:tcPr>
          <w:p w:rsidR="00AE0B1A" w:rsidRPr="00B57D6F" w:rsidRDefault="00AE0B1A" w:rsidP="00A96950">
            <w:pPr>
              <w:pStyle w:val="Tabletextleft"/>
            </w:pPr>
            <w:r w:rsidRPr="00B57D6F">
              <w:t>Percentiles</w:t>
            </w:r>
          </w:p>
        </w:tc>
        <w:tc>
          <w:tcPr>
            <w:tcW w:w="2014" w:type="dxa"/>
            <w:gridSpan w:val="2"/>
            <w:vAlign w:val="center"/>
          </w:tcPr>
          <w:p w:rsidR="00AE0B1A" w:rsidRPr="00B57D6F" w:rsidRDefault="00AE0B1A" w:rsidP="00A96950">
            <w:pPr>
              <w:pStyle w:val="Tabletextleft"/>
            </w:pPr>
            <w:r w:rsidRPr="00B57D6F">
              <w:t>Jurassic Reservoir</w:t>
            </w:r>
          </w:p>
        </w:tc>
        <w:tc>
          <w:tcPr>
            <w:tcW w:w="2126" w:type="dxa"/>
            <w:vAlign w:val="center"/>
          </w:tcPr>
          <w:p w:rsidR="00AE0B1A" w:rsidRPr="00B57D6F" w:rsidRDefault="00AE0B1A" w:rsidP="00A96950">
            <w:pPr>
              <w:pStyle w:val="Tabletextleft"/>
            </w:pPr>
            <w:r w:rsidRPr="00B57D6F">
              <w:t>Cretaceous Reservoir</w:t>
            </w:r>
          </w:p>
        </w:tc>
        <w:tc>
          <w:tcPr>
            <w:tcW w:w="2410" w:type="dxa"/>
            <w:vAlign w:val="center"/>
          </w:tcPr>
          <w:p w:rsidR="00AE0B1A" w:rsidRPr="00B57D6F" w:rsidRDefault="00AE0B1A" w:rsidP="00A96950">
            <w:pPr>
              <w:pStyle w:val="Tabletextleft"/>
            </w:pPr>
            <w:r w:rsidRPr="00B57D6F">
              <w:t>Total Reservoir</w:t>
            </w:r>
          </w:p>
        </w:tc>
      </w:tr>
      <w:tr w:rsidR="00AE0B1A" w:rsidTr="00AE0B1A">
        <w:trPr>
          <w:cnfStyle w:val="000000100000" w:firstRow="0" w:lastRow="0" w:firstColumn="0" w:lastColumn="0" w:oddVBand="0" w:evenVBand="0" w:oddHBand="1" w:evenHBand="0" w:firstRowFirstColumn="0" w:firstRowLastColumn="0" w:lastRowFirstColumn="0" w:lastRowLastColumn="0"/>
        </w:trPr>
        <w:tc>
          <w:tcPr>
            <w:tcW w:w="1539" w:type="dxa"/>
            <w:gridSpan w:val="2"/>
            <w:vAlign w:val="bottom"/>
          </w:tcPr>
          <w:p w:rsidR="00AE0B1A" w:rsidRPr="002C2C31" w:rsidRDefault="00AE0B1A" w:rsidP="00A96950">
            <w:pPr>
              <w:pStyle w:val="Tabletextleft"/>
            </w:pPr>
            <w:r w:rsidRPr="002C2C31">
              <w:t>P0</w:t>
            </w:r>
          </w:p>
        </w:tc>
        <w:tc>
          <w:tcPr>
            <w:tcW w:w="2005" w:type="dxa"/>
            <w:vAlign w:val="bottom"/>
          </w:tcPr>
          <w:p w:rsidR="00AE0B1A" w:rsidRPr="000D1AFD" w:rsidRDefault="00AE0B1A" w:rsidP="00AE0B1A">
            <w:pPr>
              <w:pStyle w:val="Tabletextright"/>
            </w:pPr>
            <w:r w:rsidRPr="000D1AFD">
              <w:t>1.59</w:t>
            </w:r>
          </w:p>
        </w:tc>
        <w:tc>
          <w:tcPr>
            <w:tcW w:w="2126" w:type="dxa"/>
            <w:vAlign w:val="bottom"/>
          </w:tcPr>
          <w:p w:rsidR="00AE0B1A" w:rsidRPr="003D5C00" w:rsidRDefault="00AE0B1A" w:rsidP="00AE0B1A">
            <w:pPr>
              <w:pStyle w:val="Tabletextright"/>
            </w:pPr>
            <w:r w:rsidRPr="003D5C00">
              <w:t>2.29</w:t>
            </w:r>
          </w:p>
        </w:tc>
        <w:tc>
          <w:tcPr>
            <w:tcW w:w="2410" w:type="dxa"/>
            <w:vAlign w:val="bottom"/>
          </w:tcPr>
          <w:p w:rsidR="00AE0B1A" w:rsidRPr="003D5C00" w:rsidRDefault="00AE0B1A" w:rsidP="00AE0B1A">
            <w:pPr>
              <w:pStyle w:val="Tabletextright"/>
            </w:pPr>
            <w:r w:rsidRPr="003D5C00">
              <w:t>6.58</w:t>
            </w:r>
          </w:p>
        </w:tc>
      </w:tr>
      <w:tr w:rsidR="00AE0B1A" w:rsidTr="00AE0B1A">
        <w:trPr>
          <w:cnfStyle w:val="000000010000" w:firstRow="0" w:lastRow="0" w:firstColumn="0" w:lastColumn="0" w:oddVBand="0" w:evenVBand="0" w:oddHBand="0" w:evenHBand="1" w:firstRowFirstColumn="0" w:firstRowLastColumn="0" w:lastRowFirstColumn="0" w:lastRowLastColumn="0"/>
        </w:trPr>
        <w:tc>
          <w:tcPr>
            <w:tcW w:w="1539" w:type="dxa"/>
            <w:gridSpan w:val="2"/>
            <w:vAlign w:val="bottom"/>
          </w:tcPr>
          <w:p w:rsidR="00AE0B1A" w:rsidRPr="000D1AFD" w:rsidRDefault="00AE0B1A" w:rsidP="00A96950">
            <w:pPr>
              <w:pStyle w:val="Tabletextleft"/>
            </w:pPr>
            <w:r w:rsidRPr="000D1AFD">
              <w:t>P10</w:t>
            </w:r>
          </w:p>
        </w:tc>
        <w:tc>
          <w:tcPr>
            <w:tcW w:w="2005" w:type="dxa"/>
            <w:vAlign w:val="bottom"/>
          </w:tcPr>
          <w:p w:rsidR="00AE0B1A" w:rsidRPr="000D1AFD" w:rsidRDefault="00AE0B1A" w:rsidP="00AE0B1A">
            <w:pPr>
              <w:pStyle w:val="Tabletextright"/>
            </w:pPr>
            <w:r w:rsidRPr="000D1AFD">
              <w:t>4.66</w:t>
            </w:r>
          </w:p>
        </w:tc>
        <w:tc>
          <w:tcPr>
            <w:tcW w:w="2126" w:type="dxa"/>
            <w:vAlign w:val="bottom"/>
          </w:tcPr>
          <w:p w:rsidR="00AE0B1A" w:rsidRPr="003D5C00" w:rsidRDefault="00AE0B1A" w:rsidP="00AE0B1A">
            <w:pPr>
              <w:pStyle w:val="Tabletextright"/>
            </w:pPr>
            <w:r w:rsidRPr="003D5C00">
              <w:t>6.30</w:t>
            </w:r>
          </w:p>
        </w:tc>
        <w:tc>
          <w:tcPr>
            <w:tcW w:w="2410" w:type="dxa"/>
            <w:vAlign w:val="bottom"/>
          </w:tcPr>
          <w:p w:rsidR="00AE0B1A" w:rsidRPr="003D5C00" w:rsidRDefault="00AE0B1A" w:rsidP="00AE0B1A">
            <w:pPr>
              <w:pStyle w:val="Tabletextright"/>
            </w:pPr>
            <w:r w:rsidRPr="003D5C00">
              <w:t>12.29</w:t>
            </w:r>
          </w:p>
        </w:tc>
      </w:tr>
      <w:tr w:rsidR="00AE0B1A" w:rsidTr="00AE0B1A">
        <w:trPr>
          <w:cnfStyle w:val="000000100000" w:firstRow="0" w:lastRow="0" w:firstColumn="0" w:lastColumn="0" w:oddVBand="0" w:evenVBand="0" w:oddHBand="1" w:evenHBand="0" w:firstRowFirstColumn="0" w:firstRowLastColumn="0" w:lastRowFirstColumn="0" w:lastRowLastColumn="0"/>
          <w:trHeight w:val="205"/>
        </w:trPr>
        <w:tc>
          <w:tcPr>
            <w:tcW w:w="1539" w:type="dxa"/>
            <w:gridSpan w:val="2"/>
            <w:vAlign w:val="bottom"/>
          </w:tcPr>
          <w:p w:rsidR="00AE0B1A" w:rsidRPr="000D1AFD" w:rsidRDefault="00AE0B1A" w:rsidP="00A96950">
            <w:pPr>
              <w:pStyle w:val="Tabletextleft"/>
            </w:pPr>
            <w:r w:rsidRPr="000D1AFD">
              <w:t>P20</w:t>
            </w:r>
          </w:p>
        </w:tc>
        <w:tc>
          <w:tcPr>
            <w:tcW w:w="2005" w:type="dxa"/>
            <w:vAlign w:val="bottom"/>
          </w:tcPr>
          <w:p w:rsidR="00AE0B1A" w:rsidRPr="000D1AFD" w:rsidRDefault="00AE0B1A" w:rsidP="00AE0B1A">
            <w:pPr>
              <w:pStyle w:val="Tabletextright"/>
            </w:pPr>
            <w:r w:rsidRPr="000D1AFD">
              <w:t>5.19</w:t>
            </w:r>
          </w:p>
        </w:tc>
        <w:tc>
          <w:tcPr>
            <w:tcW w:w="2126" w:type="dxa"/>
            <w:vAlign w:val="bottom"/>
          </w:tcPr>
          <w:p w:rsidR="00AE0B1A" w:rsidRPr="003D5C00" w:rsidRDefault="00AE0B1A" w:rsidP="00AE0B1A">
            <w:pPr>
              <w:pStyle w:val="Tabletextright"/>
            </w:pPr>
            <w:r w:rsidRPr="003D5C00">
              <w:t>7.09</w:t>
            </w:r>
          </w:p>
        </w:tc>
        <w:tc>
          <w:tcPr>
            <w:tcW w:w="2410" w:type="dxa"/>
            <w:vAlign w:val="bottom"/>
          </w:tcPr>
          <w:p w:rsidR="00AE0B1A" w:rsidRPr="003D5C00" w:rsidRDefault="00AE0B1A" w:rsidP="00AE0B1A">
            <w:pPr>
              <w:pStyle w:val="Tabletextright"/>
            </w:pPr>
            <w:r w:rsidRPr="003D5C00">
              <w:t>13.43</w:t>
            </w:r>
          </w:p>
        </w:tc>
      </w:tr>
      <w:tr w:rsidR="00AE0B1A" w:rsidTr="00AE0B1A">
        <w:trPr>
          <w:cnfStyle w:val="000000010000" w:firstRow="0" w:lastRow="0" w:firstColumn="0" w:lastColumn="0" w:oddVBand="0" w:evenVBand="0" w:oddHBand="0" w:evenHBand="1" w:firstRowFirstColumn="0" w:firstRowLastColumn="0" w:lastRowFirstColumn="0" w:lastRowLastColumn="0"/>
        </w:trPr>
        <w:tc>
          <w:tcPr>
            <w:tcW w:w="1539" w:type="dxa"/>
            <w:gridSpan w:val="2"/>
            <w:vAlign w:val="bottom"/>
          </w:tcPr>
          <w:p w:rsidR="00AE0B1A" w:rsidRPr="000D1AFD" w:rsidRDefault="00AE0B1A" w:rsidP="00A96950">
            <w:pPr>
              <w:pStyle w:val="Tabletextleft"/>
            </w:pPr>
            <w:r w:rsidRPr="000D1AFD">
              <w:t>P30</w:t>
            </w:r>
          </w:p>
        </w:tc>
        <w:tc>
          <w:tcPr>
            <w:tcW w:w="2005" w:type="dxa"/>
            <w:vAlign w:val="bottom"/>
          </w:tcPr>
          <w:p w:rsidR="00AE0B1A" w:rsidRPr="000D1AFD" w:rsidRDefault="00AE0B1A" w:rsidP="00AE0B1A">
            <w:pPr>
              <w:pStyle w:val="Tabletextright"/>
            </w:pPr>
            <w:r w:rsidRPr="000D1AFD">
              <w:t>5.63</w:t>
            </w:r>
          </w:p>
        </w:tc>
        <w:tc>
          <w:tcPr>
            <w:tcW w:w="2126" w:type="dxa"/>
            <w:vAlign w:val="bottom"/>
          </w:tcPr>
          <w:p w:rsidR="00AE0B1A" w:rsidRPr="003D5C00" w:rsidRDefault="00AE0B1A" w:rsidP="00AE0B1A">
            <w:pPr>
              <w:pStyle w:val="Tabletextright"/>
            </w:pPr>
            <w:r w:rsidRPr="003D5C00">
              <w:t>7.83</w:t>
            </w:r>
          </w:p>
        </w:tc>
        <w:tc>
          <w:tcPr>
            <w:tcW w:w="2410" w:type="dxa"/>
            <w:vAlign w:val="bottom"/>
          </w:tcPr>
          <w:p w:rsidR="00AE0B1A" w:rsidRPr="003D5C00" w:rsidRDefault="00AE0B1A" w:rsidP="00AE0B1A">
            <w:pPr>
              <w:pStyle w:val="Tabletextright"/>
            </w:pPr>
            <w:r w:rsidRPr="003D5C00">
              <w:t>14.33</w:t>
            </w:r>
          </w:p>
        </w:tc>
      </w:tr>
      <w:tr w:rsidR="00AE0B1A" w:rsidTr="00AE0B1A">
        <w:trPr>
          <w:cnfStyle w:val="000000100000" w:firstRow="0" w:lastRow="0" w:firstColumn="0" w:lastColumn="0" w:oddVBand="0" w:evenVBand="0" w:oddHBand="1" w:evenHBand="0" w:firstRowFirstColumn="0" w:firstRowLastColumn="0" w:lastRowFirstColumn="0" w:lastRowLastColumn="0"/>
        </w:trPr>
        <w:tc>
          <w:tcPr>
            <w:tcW w:w="1539" w:type="dxa"/>
            <w:gridSpan w:val="2"/>
            <w:vAlign w:val="bottom"/>
          </w:tcPr>
          <w:p w:rsidR="00AE0B1A" w:rsidRPr="000D1AFD" w:rsidRDefault="00AE0B1A" w:rsidP="00A96950">
            <w:pPr>
              <w:pStyle w:val="Tabletextleft"/>
            </w:pPr>
            <w:r w:rsidRPr="000D1AFD">
              <w:t>P40</w:t>
            </w:r>
          </w:p>
        </w:tc>
        <w:tc>
          <w:tcPr>
            <w:tcW w:w="2005" w:type="dxa"/>
            <w:vAlign w:val="bottom"/>
          </w:tcPr>
          <w:p w:rsidR="00AE0B1A" w:rsidRPr="000D1AFD" w:rsidRDefault="00AE0B1A" w:rsidP="00AE0B1A">
            <w:pPr>
              <w:pStyle w:val="Tabletextright"/>
            </w:pPr>
            <w:r w:rsidRPr="000D1AFD">
              <w:t>6.05</w:t>
            </w:r>
          </w:p>
        </w:tc>
        <w:tc>
          <w:tcPr>
            <w:tcW w:w="2126" w:type="dxa"/>
            <w:vAlign w:val="bottom"/>
          </w:tcPr>
          <w:p w:rsidR="00AE0B1A" w:rsidRPr="003D5C00" w:rsidRDefault="00AE0B1A" w:rsidP="00AE0B1A">
            <w:pPr>
              <w:pStyle w:val="Tabletextright"/>
            </w:pPr>
            <w:r w:rsidRPr="003D5C00">
              <w:t>8.57</w:t>
            </w:r>
          </w:p>
        </w:tc>
        <w:tc>
          <w:tcPr>
            <w:tcW w:w="2410" w:type="dxa"/>
            <w:vAlign w:val="bottom"/>
          </w:tcPr>
          <w:p w:rsidR="00AE0B1A" w:rsidRPr="003D5C00" w:rsidRDefault="00AE0B1A" w:rsidP="00AE0B1A">
            <w:pPr>
              <w:pStyle w:val="Tabletextright"/>
            </w:pPr>
            <w:r w:rsidRPr="003D5C00">
              <w:t>15.13</w:t>
            </w:r>
          </w:p>
        </w:tc>
      </w:tr>
      <w:tr w:rsidR="00AE0B1A" w:rsidTr="00AE0B1A">
        <w:trPr>
          <w:cnfStyle w:val="000000010000" w:firstRow="0" w:lastRow="0" w:firstColumn="0" w:lastColumn="0" w:oddVBand="0" w:evenVBand="0" w:oddHBand="0" w:evenHBand="1" w:firstRowFirstColumn="0" w:firstRowLastColumn="0" w:lastRowFirstColumn="0" w:lastRowLastColumn="0"/>
        </w:trPr>
        <w:tc>
          <w:tcPr>
            <w:tcW w:w="1539" w:type="dxa"/>
            <w:gridSpan w:val="2"/>
            <w:vAlign w:val="bottom"/>
          </w:tcPr>
          <w:p w:rsidR="00AE0B1A" w:rsidRPr="000D1AFD" w:rsidRDefault="00AE0B1A" w:rsidP="00A96950">
            <w:pPr>
              <w:pStyle w:val="Tabletextleft"/>
            </w:pPr>
            <w:r w:rsidRPr="000D1AFD">
              <w:t>P50</w:t>
            </w:r>
          </w:p>
        </w:tc>
        <w:tc>
          <w:tcPr>
            <w:tcW w:w="2005" w:type="dxa"/>
            <w:vAlign w:val="bottom"/>
          </w:tcPr>
          <w:p w:rsidR="00AE0B1A" w:rsidRPr="000D1AFD" w:rsidRDefault="00AE0B1A" w:rsidP="00AE0B1A">
            <w:pPr>
              <w:pStyle w:val="Tabletextright"/>
            </w:pPr>
            <w:r w:rsidRPr="000D1AFD">
              <w:t>6.48</w:t>
            </w:r>
          </w:p>
        </w:tc>
        <w:tc>
          <w:tcPr>
            <w:tcW w:w="2126" w:type="dxa"/>
            <w:vAlign w:val="bottom"/>
          </w:tcPr>
          <w:p w:rsidR="00AE0B1A" w:rsidRPr="003D5C00" w:rsidRDefault="00AE0B1A" w:rsidP="00AE0B1A">
            <w:pPr>
              <w:pStyle w:val="Tabletextright"/>
            </w:pPr>
            <w:r w:rsidRPr="003D5C00">
              <w:t>9.31</w:t>
            </w:r>
          </w:p>
        </w:tc>
        <w:tc>
          <w:tcPr>
            <w:tcW w:w="2410" w:type="dxa"/>
            <w:vAlign w:val="bottom"/>
          </w:tcPr>
          <w:p w:rsidR="00AE0B1A" w:rsidRPr="003D5C00" w:rsidRDefault="00AE0B1A" w:rsidP="00AE0B1A">
            <w:pPr>
              <w:pStyle w:val="Tabletextright"/>
            </w:pPr>
            <w:r w:rsidRPr="003D5C00">
              <w:t>15.93</w:t>
            </w:r>
          </w:p>
        </w:tc>
      </w:tr>
      <w:tr w:rsidR="00AE0B1A" w:rsidTr="00AE0B1A">
        <w:trPr>
          <w:cnfStyle w:val="000000100000" w:firstRow="0" w:lastRow="0" w:firstColumn="0" w:lastColumn="0" w:oddVBand="0" w:evenVBand="0" w:oddHBand="1" w:evenHBand="0" w:firstRowFirstColumn="0" w:firstRowLastColumn="0" w:lastRowFirstColumn="0" w:lastRowLastColumn="0"/>
        </w:trPr>
        <w:tc>
          <w:tcPr>
            <w:tcW w:w="1539" w:type="dxa"/>
            <w:gridSpan w:val="2"/>
            <w:vAlign w:val="bottom"/>
          </w:tcPr>
          <w:p w:rsidR="00AE0B1A" w:rsidRPr="000D1AFD" w:rsidRDefault="00AE0B1A" w:rsidP="00A96950">
            <w:pPr>
              <w:pStyle w:val="Tabletextleft"/>
            </w:pPr>
            <w:r w:rsidRPr="000D1AFD">
              <w:t>P60</w:t>
            </w:r>
          </w:p>
        </w:tc>
        <w:tc>
          <w:tcPr>
            <w:tcW w:w="2005" w:type="dxa"/>
            <w:vAlign w:val="bottom"/>
          </w:tcPr>
          <w:p w:rsidR="00AE0B1A" w:rsidRPr="000D1AFD" w:rsidRDefault="00AE0B1A" w:rsidP="00AE0B1A">
            <w:pPr>
              <w:pStyle w:val="Tabletextright"/>
            </w:pPr>
            <w:r w:rsidRPr="000D1AFD">
              <w:t>6.92</w:t>
            </w:r>
          </w:p>
        </w:tc>
        <w:tc>
          <w:tcPr>
            <w:tcW w:w="2126" w:type="dxa"/>
            <w:vAlign w:val="bottom"/>
          </w:tcPr>
          <w:p w:rsidR="00AE0B1A" w:rsidRPr="003D5C00" w:rsidRDefault="00AE0B1A" w:rsidP="00AE0B1A">
            <w:pPr>
              <w:pStyle w:val="Tabletextright"/>
            </w:pPr>
            <w:r w:rsidRPr="003D5C00">
              <w:t>10.07</w:t>
            </w:r>
          </w:p>
        </w:tc>
        <w:tc>
          <w:tcPr>
            <w:tcW w:w="2410" w:type="dxa"/>
            <w:vAlign w:val="bottom"/>
          </w:tcPr>
          <w:p w:rsidR="00AE0B1A" w:rsidRPr="003D5C00" w:rsidRDefault="00AE0B1A" w:rsidP="00AE0B1A">
            <w:pPr>
              <w:pStyle w:val="Tabletextright"/>
            </w:pPr>
            <w:r w:rsidRPr="003D5C00">
              <w:t>16.74</w:t>
            </w:r>
          </w:p>
        </w:tc>
      </w:tr>
      <w:tr w:rsidR="00AE0B1A" w:rsidTr="00AE0B1A">
        <w:trPr>
          <w:cnfStyle w:val="000000010000" w:firstRow="0" w:lastRow="0" w:firstColumn="0" w:lastColumn="0" w:oddVBand="0" w:evenVBand="0" w:oddHBand="0" w:evenHBand="1" w:firstRowFirstColumn="0" w:firstRowLastColumn="0" w:lastRowFirstColumn="0" w:lastRowLastColumn="0"/>
        </w:trPr>
        <w:tc>
          <w:tcPr>
            <w:tcW w:w="1539" w:type="dxa"/>
            <w:gridSpan w:val="2"/>
            <w:vAlign w:val="bottom"/>
          </w:tcPr>
          <w:p w:rsidR="00AE0B1A" w:rsidRPr="000D1AFD" w:rsidRDefault="00AE0B1A" w:rsidP="00A96950">
            <w:pPr>
              <w:pStyle w:val="Tabletextleft"/>
            </w:pPr>
            <w:r w:rsidRPr="000D1AFD">
              <w:t>P70</w:t>
            </w:r>
          </w:p>
        </w:tc>
        <w:tc>
          <w:tcPr>
            <w:tcW w:w="2005" w:type="dxa"/>
            <w:vAlign w:val="bottom"/>
          </w:tcPr>
          <w:p w:rsidR="00AE0B1A" w:rsidRPr="000D1AFD" w:rsidRDefault="00AE0B1A" w:rsidP="00AE0B1A">
            <w:pPr>
              <w:pStyle w:val="Tabletextright"/>
            </w:pPr>
            <w:r w:rsidRPr="000D1AFD">
              <w:t>7.39</w:t>
            </w:r>
          </w:p>
        </w:tc>
        <w:tc>
          <w:tcPr>
            <w:tcW w:w="2126" w:type="dxa"/>
            <w:vAlign w:val="bottom"/>
          </w:tcPr>
          <w:p w:rsidR="00AE0B1A" w:rsidRPr="003D5C00" w:rsidRDefault="00AE0B1A" w:rsidP="00AE0B1A">
            <w:pPr>
              <w:pStyle w:val="Tabletextright"/>
            </w:pPr>
            <w:r w:rsidRPr="003D5C00">
              <w:t>10.87</w:t>
            </w:r>
          </w:p>
        </w:tc>
        <w:tc>
          <w:tcPr>
            <w:tcW w:w="2410" w:type="dxa"/>
            <w:vAlign w:val="bottom"/>
          </w:tcPr>
          <w:p w:rsidR="00AE0B1A" w:rsidRPr="003D5C00" w:rsidRDefault="00AE0B1A" w:rsidP="00AE0B1A">
            <w:pPr>
              <w:pStyle w:val="Tabletextright"/>
            </w:pPr>
            <w:r w:rsidRPr="003D5C00">
              <w:t>17.61</w:t>
            </w:r>
          </w:p>
        </w:tc>
      </w:tr>
      <w:tr w:rsidR="00AE0B1A" w:rsidTr="00AE0B1A">
        <w:trPr>
          <w:cnfStyle w:val="000000100000" w:firstRow="0" w:lastRow="0" w:firstColumn="0" w:lastColumn="0" w:oddVBand="0" w:evenVBand="0" w:oddHBand="1" w:evenHBand="0" w:firstRowFirstColumn="0" w:firstRowLastColumn="0" w:lastRowFirstColumn="0" w:lastRowLastColumn="0"/>
        </w:trPr>
        <w:tc>
          <w:tcPr>
            <w:tcW w:w="1539" w:type="dxa"/>
            <w:gridSpan w:val="2"/>
            <w:vAlign w:val="bottom"/>
          </w:tcPr>
          <w:p w:rsidR="00AE0B1A" w:rsidRPr="000D1AFD" w:rsidRDefault="00AE0B1A" w:rsidP="00A96950">
            <w:pPr>
              <w:pStyle w:val="Tabletextleft"/>
            </w:pPr>
            <w:r w:rsidRPr="000D1AFD">
              <w:t>P80</w:t>
            </w:r>
          </w:p>
        </w:tc>
        <w:tc>
          <w:tcPr>
            <w:tcW w:w="2005" w:type="dxa"/>
            <w:vAlign w:val="bottom"/>
          </w:tcPr>
          <w:p w:rsidR="00AE0B1A" w:rsidRPr="000D1AFD" w:rsidRDefault="00AE0B1A" w:rsidP="00AE0B1A">
            <w:pPr>
              <w:pStyle w:val="Tabletextright"/>
            </w:pPr>
            <w:r w:rsidRPr="000D1AFD">
              <w:t>7.94</w:t>
            </w:r>
          </w:p>
        </w:tc>
        <w:tc>
          <w:tcPr>
            <w:tcW w:w="2126" w:type="dxa"/>
            <w:vAlign w:val="bottom"/>
          </w:tcPr>
          <w:p w:rsidR="00AE0B1A" w:rsidRPr="003D5C00" w:rsidRDefault="00AE0B1A" w:rsidP="00AE0B1A">
            <w:pPr>
              <w:pStyle w:val="Tabletextright"/>
            </w:pPr>
            <w:r w:rsidRPr="003D5C00">
              <w:t>11.77</w:t>
            </w:r>
          </w:p>
        </w:tc>
        <w:tc>
          <w:tcPr>
            <w:tcW w:w="2410" w:type="dxa"/>
            <w:vAlign w:val="bottom"/>
          </w:tcPr>
          <w:p w:rsidR="00AE0B1A" w:rsidRPr="003D5C00" w:rsidRDefault="00AE0B1A" w:rsidP="00AE0B1A">
            <w:pPr>
              <w:pStyle w:val="Tabletextright"/>
            </w:pPr>
            <w:r w:rsidRPr="003D5C00">
              <w:t>18.65</w:t>
            </w:r>
          </w:p>
        </w:tc>
      </w:tr>
      <w:tr w:rsidR="00AE0B1A" w:rsidTr="00AE0B1A">
        <w:trPr>
          <w:cnfStyle w:val="000000010000" w:firstRow="0" w:lastRow="0" w:firstColumn="0" w:lastColumn="0" w:oddVBand="0" w:evenVBand="0" w:oddHBand="0" w:evenHBand="1" w:firstRowFirstColumn="0" w:firstRowLastColumn="0" w:lastRowFirstColumn="0" w:lastRowLastColumn="0"/>
          <w:trHeight w:val="328"/>
        </w:trPr>
        <w:tc>
          <w:tcPr>
            <w:tcW w:w="1539" w:type="dxa"/>
            <w:gridSpan w:val="2"/>
            <w:vAlign w:val="bottom"/>
          </w:tcPr>
          <w:p w:rsidR="00AE0B1A" w:rsidRPr="000D1AFD" w:rsidRDefault="00AE0B1A" w:rsidP="00A96950">
            <w:pPr>
              <w:pStyle w:val="Tabletextleft"/>
            </w:pPr>
            <w:r w:rsidRPr="000D1AFD">
              <w:t>P90</w:t>
            </w:r>
          </w:p>
        </w:tc>
        <w:tc>
          <w:tcPr>
            <w:tcW w:w="2005" w:type="dxa"/>
            <w:vAlign w:val="bottom"/>
          </w:tcPr>
          <w:p w:rsidR="00AE0B1A" w:rsidRPr="000D1AFD" w:rsidRDefault="00AE0B1A" w:rsidP="00AE0B1A">
            <w:pPr>
              <w:pStyle w:val="Tabletextright"/>
            </w:pPr>
            <w:r w:rsidRPr="000D1AFD">
              <w:t>8.67</w:t>
            </w:r>
          </w:p>
        </w:tc>
        <w:tc>
          <w:tcPr>
            <w:tcW w:w="2126" w:type="dxa"/>
            <w:vAlign w:val="bottom"/>
          </w:tcPr>
          <w:p w:rsidR="00AE0B1A" w:rsidRPr="003D5C00" w:rsidRDefault="00AE0B1A" w:rsidP="00AE0B1A">
            <w:pPr>
              <w:pStyle w:val="Tabletextright"/>
            </w:pPr>
            <w:r w:rsidRPr="003D5C00">
              <w:t>12.99</w:t>
            </w:r>
          </w:p>
        </w:tc>
        <w:tc>
          <w:tcPr>
            <w:tcW w:w="2410" w:type="dxa"/>
            <w:vAlign w:val="bottom"/>
          </w:tcPr>
          <w:p w:rsidR="00AE0B1A" w:rsidRPr="003D5C00" w:rsidRDefault="00AE0B1A" w:rsidP="00AE0B1A">
            <w:pPr>
              <w:pStyle w:val="Tabletextright"/>
            </w:pPr>
            <w:r w:rsidRPr="003D5C00">
              <w:t>20.02</w:t>
            </w:r>
          </w:p>
        </w:tc>
      </w:tr>
      <w:tr w:rsidR="00AE0B1A" w:rsidTr="00AE0B1A">
        <w:trPr>
          <w:cnfStyle w:val="000000100000" w:firstRow="0" w:lastRow="0" w:firstColumn="0" w:lastColumn="0" w:oddVBand="0" w:evenVBand="0" w:oddHBand="1" w:evenHBand="0" w:firstRowFirstColumn="0" w:firstRowLastColumn="0" w:lastRowFirstColumn="0" w:lastRowLastColumn="0"/>
          <w:trHeight w:val="328"/>
        </w:trPr>
        <w:tc>
          <w:tcPr>
            <w:tcW w:w="1539" w:type="dxa"/>
            <w:gridSpan w:val="2"/>
            <w:vAlign w:val="bottom"/>
          </w:tcPr>
          <w:p w:rsidR="00AE0B1A" w:rsidRPr="000D1AFD" w:rsidRDefault="00AE0B1A" w:rsidP="00A96950">
            <w:pPr>
              <w:pStyle w:val="Tabletextleft"/>
            </w:pPr>
            <w:r>
              <w:t>P100</w:t>
            </w:r>
          </w:p>
        </w:tc>
        <w:tc>
          <w:tcPr>
            <w:tcW w:w="2005" w:type="dxa"/>
            <w:vAlign w:val="bottom"/>
          </w:tcPr>
          <w:p w:rsidR="00AE0B1A" w:rsidRPr="000D1AFD" w:rsidRDefault="00AE0B1A" w:rsidP="00AE0B1A">
            <w:pPr>
              <w:pStyle w:val="Tabletextright"/>
            </w:pPr>
            <w:r w:rsidRPr="000D1AFD">
              <w:t>11.77</w:t>
            </w:r>
          </w:p>
        </w:tc>
        <w:tc>
          <w:tcPr>
            <w:tcW w:w="2126" w:type="dxa"/>
            <w:vAlign w:val="bottom"/>
          </w:tcPr>
          <w:p w:rsidR="00AE0B1A" w:rsidRPr="003D5C00" w:rsidRDefault="00AE0B1A" w:rsidP="00AE0B1A">
            <w:pPr>
              <w:pStyle w:val="Tabletextright"/>
            </w:pPr>
            <w:r w:rsidRPr="003D5C00">
              <w:t>16.93</w:t>
            </w:r>
          </w:p>
        </w:tc>
        <w:tc>
          <w:tcPr>
            <w:tcW w:w="2410" w:type="dxa"/>
            <w:vAlign w:val="bottom"/>
          </w:tcPr>
          <w:p w:rsidR="00AE0B1A" w:rsidRPr="003D5C00" w:rsidRDefault="00AE0B1A" w:rsidP="00AE0B1A">
            <w:pPr>
              <w:pStyle w:val="Tabletextright"/>
            </w:pPr>
            <w:r w:rsidRPr="003D5C00">
              <w:t>26.91</w:t>
            </w:r>
          </w:p>
        </w:tc>
      </w:tr>
    </w:tbl>
    <w:p w:rsidR="00AE0B1A" w:rsidRDefault="00AE0B1A" w:rsidP="00AE0B1A">
      <w:pPr>
        <w:pStyle w:val="Figuresandimagescentred"/>
      </w:pPr>
      <w:r>
        <w:rPr>
          <w:noProof/>
        </w:rPr>
        <w:lastRenderedPageBreak/>
        <w:drawing>
          <wp:inline distT="0" distB="0" distL="0" distR="0" wp14:anchorId="3C23B15B" wp14:editId="4057C1CE">
            <wp:extent cx="3787140" cy="3541776"/>
            <wp:effectExtent l="0" t="0" r="3810" b="1905"/>
            <wp:docPr id="20" name="Picture 20" descr="Due to the complexity of this document and the niche scientific target audience, no alternative description has been provided. Please email Geoscience Australia at clientservices@ga.gov.au for an alternative description." title="Fig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199-57.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787140" cy="3541776"/>
                    </a:xfrm>
                    <a:prstGeom prst="rect">
                      <a:avLst/>
                    </a:prstGeom>
                  </pic:spPr>
                </pic:pic>
              </a:graphicData>
            </a:graphic>
          </wp:inline>
        </w:drawing>
      </w:r>
    </w:p>
    <w:p w:rsidR="00AE0B1A" w:rsidRPr="00255748" w:rsidRDefault="00AE0B1A" w:rsidP="00AE0B1A">
      <w:pPr>
        <w:pStyle w:val="Caption"/>
      </w:pPr>
      <w:bookmarkStart w:id="943" w:name="_Ref372811187"/>
      <w:bookmarkStart w:id="944" w:name="_Toc373095034"/>
      <w:bookmarkStart w:id="945" w:name="_Toc378252764"/>
      <w:bookmarkStart w:id="946" w:name="_Toc378253088"/>
      <w:bookmarkStart w:id="947" w:name="_Toc378253412"/>
      <w:bookmarkStart w:id="948" w:name="_Toc378253736"/>
      <w:bookmarkStart w:id="949" w:name="_Toc378254060"/>
      <w:bookmarkStart w:id="950" w:name="_Toc378254384"/>
      <w:bookmarkStart w:id="951" w:name="_Toc378254708"/>
      <w:bookmarkStart w:id="952" w:name="_Toc378255032"/>
      <w:bookmarkStart w:id="953" w:name="_Toc378255381"/>
      <w:r>
        <w:t xml:space="preserve">Figure </w:t>
      </w:r>
      <w:fldSimple w:instr=" STYLEREF 1 \s ">
        <w:r w:rsidR="00F64E4F">
          <w:rPr>
            <w:noProof/>
          </w:rPr>
          <w:t>7</w:t>
        </w:r>
      </w:fldSimple>
      <w:r w:rsidR="00AE5C2D">
        <w:t>.</w:t>
      </w:r>
      <w:fldSimple w:instr=" SEQ Figure \* ARABIC \s 1 ">
        <w:r w:rsidR="00F64E4F">
          <w:rPr>
            <w:noProof/>
          </w:rPr>
          <w:t>2</w:t>
        </w:r>
      </w:fldSimple>
      <w:bookmarkEnd w:id="943"/>
      <w:r>
        <w:t xml:space="preserve"> </w:t>
      </w:r>
      <w:r w:rsidRPr="00206C6A">
        <w:t>Simple schematic of a migration-assisted storage play in a theoretical CO</w:t>
      </w:r>
      <w:r w:rsidRPr="008912CC">
        <w:rPr>
          <w:rStyle w:val="Subscript"/>
        </w:rPr>
        <w:t>2</w:t>
      </w:r>
      <w:r w:rsidRPr="00206C6A">
        <w:t xml:space="preserve"> injection scenario. Away from the wells, the CO</w:t>
      </w:r>
      <w:r w:rsidRPr="008912CC">
        <w:rPr>
          <w:rStyle w:val="Subscript"/>
        </w:rPr>
        <w:t>2</w:t>
      </w:r>
      <w:r w:rsidRPr="00206C6A">
        <w:t xml:space="preserve"> plume only utilises the upper section of the reservoir immediately below the reservoir-seal boundary.</w:t>
      </w:r>
      <w:bookmarkEnd w:id="944"/>
      <w:bookmarkEnd w:id="945"/>
      <w:bookmarkEnd w:id="946"/>
      <w:bookmarkEnd w:id="947"/>
      <w:bookmarkEnd w:id="948"/>
      <w:bookmarkEnd w:id="949"/>
      <w:bookmarkEnd w:id="950"/>
      <w:bookmarkEnd w:id="951"/>
      <w:bookmarkEnd w:id="952"/>
      <w:bookmarkEnd w:id="953"/>
    </w:p>
    <w:p w:rsidR="00AE0B1A" w:rsidRDefault="00AE0B1A" w:rsidP="00AE0B1A">
      <w:pPr>
        <w:pStyle w:val="BodyText"/>
      </w:pPr>
      <w:r w:rsidRPr="00B9256D">
        <w:t xml:space="preserve">The logic behind this methodology is supported by the </w:t>
      </w:r>
      <w:r w:rsidRPr="00A5369D">
        <w:t>results</w:t>
      </w:r>
      <w:r w:rsidRPr="00B9256D">
        <w:t xml:space="preserve"> of the dynamic reservoir simulation</w:t>
      </w:r>
      <w:r>
        <w:t>s</w:t>
      </w:r>
      <w:r w:rsidRPr="00B9256D">
        <w:t>. The simulation</w:t>
      </w:r>
      <w:r>
        <w:t>s</w:t>
      </w:r>
      <w:r w:rsidRPr="00B9256D">
        <w:t xml:space="preserve"> </w:t>
      </w:r>
      <w:r>
        <w:t>predicted</w:t>
      </w:r>
      <w:r w:rsidRPr="00B9256D">
        <w:t xml:space="preserve"> that</w:t>
      </w:r>
      <w:r>
        <w:t>,</w:t>
      </w:r>
      <w:r w:rsidRPr="00B9256D">
        <w:t xml:space="preserve"> away from the wells, only the top tens of meters below the reservoir-seal boundary are utilised for CO</w:t>
      </w:r>
      <w:r w:rsidRPr="009D5B2E">
        <w:rPr>
          <w:rStyle w:val="Subscript"/>
        </w:rPr>
        <w:t>2</w:t>
      </w:r>
      <w:r w:rsidRPr="00B9256D">
        <w:t xml:space="preserve"> </w:t>
      </w:r>
      <w:r>
        <w:t xml:space="preserve">geological storage </w:t>
      </w:r>
      <w:r w:rsidRPr="00B9256D">
        <w:t xml:space="preserve">(see </w:t>
      </w:r>
      <w:r>
        <w:fldChar w:fldCharType="begin"/>
      </w:r>
      <w:r>
        <w:instrText xml:space="preserve"> REF _Ref372805348 \h </w:instrText>
      </w:r>
      <w:r>
        <w:fldChar w:fldCharType="separate"/>
      </w:r>
      <w:r w:rsidR="00F64E4F">
        <w:t xml:space="preserve">Figure </w:t>
      </w:r>
      <w:r w:rsidR="00F64E4F">
        <w:rPr>
          <w:noProof/>
        </w:rPr>
        <w:t>6</w:t>
      </w:r>
      <w:r w:rsidR="00F64E4F">
        <w:t>.</w:t>
      </w:r>
      <w:r w:rsidR="00F64E4F">
        <w:rPr>
          <w:noProof/>
        </w:rPr>
        <w:t>23</w:t>
      </w:r>
      <w:r>
        <w:fldChar w:fldCharType="end"/>
      </w:r>
      <w:r w:rsidRPr="00B9256D">
        <w:t xml:space="preserve">b for an example). Therefore, due to the extensive nature of both the Cretaceous reservoir </w:t>
      </w:r>
      <w:r>
        <w:t xml:space="preserve">(Sandpiper Sandstone) </w:t>
      </w:r>
      <w:r w:rsidRPr="00B9256D">
        <w:t>and regional Cretaceous seal</w:t>
      </w:r>
      <w:r>
        <w:t xml:space="preserve"> (Bathurst Island Group) this reservoir would have</w:t>
      </w:r>
      <w:r w:rsidRPr="00B9256D">
        <w:t xml:space="preserve"> a higher effective storage capacity. This result is in contrast to the findings of the </w:t>
      </w:r>
      <w:r>
        <w:t xml:space="preserve">reservoir </w:t>
      </w:r>
      <w:r w:rsidRPr="00B9256D">
        <w:t>simulation</w:t>
      </w:r>
      <w:r>
        <w:t xml:space="preserve"> results of the Cretaceous reservoir</w:t>
      </w:r>
      <w:r w:rsidRPr="00B9256D">
        <w:t>, which found that the overall injection r</w:t>
      </w:r>
      <w:r>
        <w:t>ates need to be smaller due to pressure build-up</w:t>
      </w:r>
      <w:r w:rsidRPr="00B9256D">
        <w:t xml:space="preserve"> in the Cretaceous reservoir. This contrast in findings highlights the complexity and the impact of the methodology used on capacity storage estimates. A regional-based dynamic reservoir simulation could provide a more robust capacity estimate but was beyond the sc</w:t>
      </w:r>
      <w:r>
        <w:t>ope and timeframe of this study, which would require a large-scale geological model (and supporting reservoir-seal characterisation analysis) and subsequent large computing power.</w:t>
      </w:r>
      <w:r w:rsidRPr="00B9256D">
        <w:t xml:space="preserve"> Finally, the effective storage capacity calculations are highly dependent on the geological model, which as with all geological models has some degree of uncertainty.</w:t>
      </w:r>
    </w:p>
    <w:p w:rsidR="00AE0B1A" w:rsidRPr="00AB3541" w:rsidRDefault="00AE0B1A" w:rsidP="00AE0B1A">
      <w:pPr>
        <w:pStyle w:val="BodyText"/>
      </w:pPr>
      <w:r w:rsidRPr="00B9256D">
        <w:t>In conclusion, the</w:t>
      </w:r>
      <w:r>
        <w:t xml:space="preserve"> capacity</w:t>
      </w:r>
      <w:r w:rsidRPr="00B9256D">
        <w:t xml:space="preserve"> values </w:t>
      </w:r>
      <w:r>
        <w:t>of</w:t>
      </w:r>
      <w:r w:rsidRPr="00B9256D">
        <w:t xml:space="preserve"> 6,480 MT (P50) for the Jurassic reservoir </w:t>
      </w:r>
      <w:r>
        <w:t>and</w:t>
      </w:r>
      <w:r w:rsidRPr="00B9256D">
        <w:t xml:space="preserve"> 9,310 MT</w:t>
      </w:r>
      <w:r>
        <w:t xml:space="preserve"> for the Cretaceous reservoir above </w:t>
      </w:r>
      <w:r w:rsidRPr="00B9256D">
        <w:t>represent the best estimates available using the current datasets</w:t>
      </w:r>
      <w:r>
        <w:t xml:space="preserve"> (</w:t>
      </w:r>
      <w:r>
        <w:fldChar w:fldCharType="begin"/>
      </w:r>
      <w:r>
        <w:instrText xml:space="preserve"> REF _Ref373147743 \h </w:instrText>
      </w:r>
      <w:r>
        <w:fldChar w:fldCharType="separate"/>
      </w:r>
      <w:r w:rsidR="00F64E4F">
        <w:t>Table </w:t>
      </w:r>
      <w:r w:rsidR="00F64E4F">
        <w:rPr>
          <w:noProof/>
        </w:rPr>
        <w:t>7</w:t>
      </w:r>
      <w:r w:rsidR="00F64E4F">
        <w:t>.</w:t>
      </w:r>
      <w:r w:rsidR="00F64E4F">
        <w:rPr>
          <w:noProof/>
        </w:rPr>
        <w:t>2</w:t>
      </w:r>
      <w:r>
        <w:fldChar w:fldCharType="end"/>
      </w:r>
      <w:r>
        <w:t>)</w:t>
      </w:r>
      <w:r w:rsidRPr="00B9256D">
        <w:t xml:space="preserve">. </w:t>
      </w:r>
      <w:r>
        <w:t>S</w:t>
      </w:r>
      <w:r w:rsidRPr="00B9256D">
        <w:t>tatic</w:t>
      </w:r>
      <w:r>
        <w:t xml:space="preserve"> geological modelling</w:t>
      </w:r>
      <w:r w:rsidRPr="00B9256D">
        <w:t xml:space="preserve"> and dynamic </w:t>
      </w:r>
      <w:r>
        <w:t>reservoir simulations</w:t>
      </w:r>
      <w:r w:rsidRPr="00B9256D">
        <w:t xml:space="preserve"> are valuable tools support</w:t>
      </w:r>
      <w:r>
        <w:t>ing</w:t>
      </w:r>
      <w:r w:rsidRPr="00B9256D">
        <w:t xml:space="preserve"> </w:t>
      </w:r>
      <w:r>
        <w:t>a</w:t>
      </w:r>
      <w:r w:rsidRPr="00B9256D">
        <w:t xml:space="preserve"> </w:t>
      </w:r>
      <w:r>
        <w:t xml:space="preserve">robust calculation of the </w:t>
      </w:r>
      <w:r w:rsidRPr="00B9256D">
        <w:t>CO</w:t>
      </w:r>
      <w:r w:rsidRPr="009D5B2E">
        <w:rPr>
          <w:rStyle w:val="Subscript"/>
        </w:rPr>
        <w:t>2</w:t>
      </w:r>
      <w:r w:rsidRPr="00B9256D">
        <w:t xml:space="preserve"> </w:t>
      </w:r>
      <w:r>
        <w:t xml:space="preserve">geological </w:t>
      </w:r>
      <w:r w:rsidRPr="00B9256D">
        <w:t>storage capacity estimates. The static effective storage capacity estimates are important for CO</w:t>
      </w:r>
      <w:r w:rsidRPr="009D5B2E">
        <w:rPr>
          <w:rStyle w:val="Subscript"/>
        </w:rPr>
        <w:t>2</w:t>
      </w:r>
      <w:r w:rsidRPr="00B9256D">
        <w:t xml:space="preserve"> </w:t>
      </w:r>
      <w:r>
        <w:t xml:space="preserve">geological </w:t>
      </w:r>
      <w:r w:rsidRPr="00B9256D">
        <w:t xml:space="preserve">storage </w:t>
      </w:r>
      <w:proofErr w:type="spellStart"/>
      <w:r w:rsidRPr="00B9256D">
        <w:t>prospectivity</w:t>
      </w:r>
      <w:proofErr w:type="spellEnd"/>
      <w:r w:rsidRPr="00B9256D">
        <w:t xml:space="preserve"> study as they predict the total regional capacity and enable the capacity estimates to be compared to other basins for national </w:t>
      </w:r>
      <w:proofErr w:type="spellStart"/>
      <w:r w:rsidRPr="00B9256D">
        <w:t>prospectivity</w:t>
      </w:r>
      <w:proofErr w:type="spellEnd"/>
      <w:r w:rsidRPr="00B9256D">
        <w:t xml:space="preserve"> assessments.</w:t>
      </w:r>
      <w:r w:rsidRPr="009D5B2E">
        <w:t xml:space="preserve"> T</w:t>
      </w:r>
      <w:r w:rsidRPr="00B9256D">
        <w:t>he dynamic</w:t>
      </w:r>
      <w:r>
        <w:t xml:space="preserve"> reservoir</w:t>
      </w:r>
      <w:r w:rsidRPr="00B9256D">
        <w:t xml:space="preserve"> simulation</w:t>
      </w:r>
      <w:r>
        <w:t>s</w:t>
      </w:r>
      <w:r w:rsidRPr="00B9256D">
        <w:t xml:space="preserve"> provide the </w:t>
      </w:r>
      <w:proofErr w:type="spellStart"/>
      <w:r w:rsidRPr="00B9256D">
        <w:t>injectivity</w:t>
      </w:r>
      <w:proofErr w:type="spellEnd"/>
      <w:r w:rsidRPr="00B9256D">
        <w:t xml:space="preserve"> potential of the reservoirs and refine the input data into the effective storage capacity calculations.</w:t>
      </w:r>
      <w:bookmarkEnd w:id="941"/>
      <w:bookmarkEnd w:id="942"/>
    </w:p>
    <w:p w:rsidR="00AE0B1A" w:rsidRDefault="00AE0B1A" w:rsidP="00AE0B1A">
      <w:pPr>
        <w:pStyle w:val="Tabletitle"/>
      </w:pPr>
      <w:bookmarkStart w:id="954" w:name="_Ref373147743"/>
      <w:bookmarkStart w:id="955" w:name="_Toc372790383"/>
      <w:bookmarkStart w:id="956" w:name="_Toc378252837"/>
      <w:bookmarkStart w:id="957" w:name="_Toc378253161"/>
      <w:bookmarkStart w:id="958" w:name="_Toc378253485"/>
      <w:bookmarkStart w:id="959" w:name="_Toc378253809"/>
      <w:bookmarkStart w:id="960" w:name="_Toc378254133"/>
      <w:bookmarkStart w:id="961" w:name="_Toc378254457"/>
      <w:bookmarkStart w:id="962" w:name="_Toc378254781"/>
      <w:bookmarkStart w:id="963" w:name="_Toc378255105"/>
      <w:bookmarkStart w:id="964" w:name="_Toc378255454"/>
      <w:r>
        <w:lastRenderedPageBreak/>
        <w:t>Table</w:t>
      </w:r>
      <w:r w:rsidR="00AE5C2D">
        <w:t> </w:t>
      </w:r>
      <w:fldSimple w:instr=" STYLEREF 1 \s ">
        <w:r w:rsidR="00F64E4F">
          <w:rPr>
            <w:noProof/>
          </w:rPr>
          <w:t>7</w:t>
        </w:r>
      </w:fldSimple>
      <w:r>
        <w:t>.</w:t>
      </w:r>
      <w:fldSimple w:instr=" SEQ Table \* ARABIC \s 1 ">
        <w:r w:rsidR="00F64E4F">
          <w:rPr>
            <w:noProof/>
          </w:rPr>
          <w:t>2</w:t>
        </w:r>
      </w:fldSimple>
      <w:bookmarkEnd w:id="954"/>
      <w:r>
        <w:t xml:space="preserve"> </w:t>
      </w:r>
      <w:r w:rsidRPr="00C8210D">
        <w:t>Estimated potential storage and input data quality summary.</w:t>
      </w:r>
      <w:bookmarkEnd w:id="955"/>
      <w:bookmarkEnd w:id="956"/>
      <w:bookmarkEnd w:id="957"/>
      <w:bookmarkEnd w:id="958"/>
      <w:bookmarkEnd w:id="959"/>
      <w:bookmarkEnd w:id="960"/>
      <w:bookmarkEnd w:id="961"/>
      <w:bookmarkEnd w:id="962"/>
      <w:bookmarkEnd w:id="963"/>
      <w:bookmarkEnd w:id="964"/>
    </w:p>
    <w:tbl>
      <w:tblPr>
        <w:tblStyle w:val="TableGAHeaderRow"/>
        <w:tblW w:w="9129" w:type="dxa"/>
        <w:tblLayout w:type="fixed"/>
        <w:tblLook w:val="04A0" w:firstRow="1" w:lastRow="0" w:firstColumn="1" w:lastColumn="0" w:noHBand="0" w:noVBand="1"/>
        <w:tblCaption w:val="Table 7.2"/>
        <w:tblDescription w:val="Due to the complexity of this document and the niche scientific target audience, no table summary has been provided. If you need assistance with the structure of this table, please contact Geoscience Australia at clientservices@ga.gov.au."/>
      </w:tblPr>
      <w:tblGrid>
        <w:gridCol w:w="2694"/>
        <w:gridCol w:w="1559"/>
        <w:gridCol w:w="4876"/>
      </w:tblGrid>
      <w:tr w:rsidR="00AE0B1A" w:rsidTr="00AE0B1A">
        <w:trPr>
          <w:cnfStyle w:val="100000000000" w:firstRow="1" w:lastRow="0" w:firstColumn="0" w:lastColumn="0" w:oddVBand="0" w:evenVBand="0" w:oddHBand="0" w:evenHBand="0" w:firstRowFirstColumn="0" w:firstRowLastColumn="0" w:lastRowFirstColumn="0" w:lastRowLastColumn="0"/>
          <w:cantSplit w:val="0"/>
          <w:tblHeader/>
        </w:trPr>
        <w:tc>
          <w:tcPr>
            <w:tcW w:w="4253" w:type="dxa"/>
            <w:gridSpan w:val="2"/>
          </w:tcPr>
          <w:p w:rsidR="00AE0B1A" w:rsidRPr="00345D72" w:rsidRDefault="00AE0B1A" w:rsidP="00AE0B1A">
            <w:pPr>
              <w:pStyle w:val="Tabletextleft"/>
            </w:pPr>
            <w:r>
              <w:t xml:space="preserve">Effective </w:t>
            </w:r>
            <w:r w:rsidRPr="00345D72">
              <w:t xml:space="preserve">Storage </w:t>
            </w:r>
            <w:r>
              <w:t>Capacity</w:t>
            </w:r>
            <w:r w:rsidRPr="00345D72">
              <w:t xml:space="preserve"> Estimation-</w:t>
            </w:r>
          </w:p>
          <w:p w:rsidR="00AE0B1A" w:rsidRPr="00345D72" w:rsidRDefault="00AE0B1A" w:rsidP="00AE0B1A">
            <w:pPr>
              <w:pStyle w:val="Tabletextleft"/>
            </w:pPr>
            <w:r w:rsidRPr="00345D72">
              <w:t>Data Quality</w:t>
            </w:r>
          </w:p>
        </w:tc>
        <w:tc>
          <w:tcPr>
            <w:tcW w:w="4876" w:type="dxa"/>
          </w:tcPr>
          <w:p w:rsidR="00AE0B1A" w:rsidRPr="00345D72" w:rsidRDefault="00AE0B1A" w:rsidP="00AE0B1A">
            <w:pPr>
              <w:pStyle w:val="Tabletextleft"/>
            </w:pPr>
            <w:r w:rsidRPr="00345D72">
              <w:t>Comments</w:t>
            </w:r>
          </w:p>
        </w:tc>
      </w:tr>
      <w:tr w:rsidR="00AE0B1A" w:rsidTr="00AE0B1A">
        <w:trPr>
          <w:cnfStyle w:val="000000100000" w:firstRow="0" w:lastRow="0" w:firstColumn="0" w:lastColumn="0" w:oddVBand="0" w:evenVBand="0" w:oddHBand="1" w:evenHBand="0" w:firstRowFirstColumn="0" w:firstRowLastColumn="0" w:lastRowFirstColumn="0" w:lastRowLastColumn="0"/>
        </w:trPr>
        <w:tc>
          <w:tcPr>
            <w:tcW w:w="2694" w:type="dxa"/>
          </w:tcPr>
          <w:p w:rsidR="00AE0B1A" w:rsidRPr="00345D72" w:rsidRDefault="00AE0B1A" w:rsidP="00AE0B1A">
            <w:pPr>
              <w:pStyle w:val="Tabletextleft"/>
            </w:pPr>
            <w:r w:rsidRPr="00345D72">
              <w:t>Structural surface constraints</w:t>
            </w:r>
          </w:p>
        </w:tc>
        <w:tc>
          <w:tcPr>
            <w:tcW w:w="1559" w:type="dxa"/>
          </w:tcPr>
          <w:p w:rsidR="00AE0B1A" w:rsidRPr="00345D72" w:rsidRDefault="00AE0B1A" w:rsidP="00AE0B1A">
            <w:pPr>
              <w:pStyle w:val="Tabletextleft"/>
            </w:pPr>
            <w:r w:rsidRPr="00345D72">
              <w:t>Good</w:t>
            </w:r>
          </w:p>
        </w:tc>
        <w:tc>
          <w:tcPr>
            <w:tcW w:w="4876" w:type="dxa"/>
          </w:tcPr>
          <w:p w:rsidR="00AE0B1A" w:rsidRPr="00345D72" w:rsidRDefault="00AE0B1A" w:rsidP="00AE0B1A">
            <w:pPr>
              <w:pStyle w:val="Tabletextleft"/>
            </w:pPr>
            <w:r w:rsidRPr="00345D72">
              <w:t>Extrapolated from well data using 2D seismic surveys (average spacing 2-5 km), but sub-basin is structurally simple.</w:t>
            </w:r>
          </w:p>
        </w:tc>
      </w:tr>
      <w:tr w:rsidR="00AE0B1A" w:rsidTr="00AE0B1A">
        <w:trPr>
          <w:cnfStyle w:val="000000010000" w:firstRow="0" w:lastRow="0" w:firstColumn="0" w:lastColumn="0" w:oddVBand="0" w:evenVBand="0" w:oddHBand="0" w:evenHBand="1" w:firstRowFirstColumn="0" w:firstRowLastColumn="0" w:lastRowFirstColumn="0" w:lastRowLastColumn="0"/>
        </w:trPr>
        <w:tc>
          <w:tcPr>
            <w:tcW w:w="2694" w:type="dxa"/>
          </w:tcPr>
          <w:p w:rsidR="00AE0B1A" w:rsidRPr="00345D72" w:rsidRDefault="00AE0B1A" w:rsidP="00AE0B1A">
            <w:pPr>
              <w:pStyle w:val="Tabletextleft"/>
            </w:pPr>
            <w:r w:rsidRPr="00345D72">
              <w:t>Reservoir thickness constraints</w:t>
            </w:r>
          </w:p>
        </w:tc>
        <w:tc>
          <w:tcPr>
            <w:tcW w:w="1559" w:type="dxa"/>
          </w:tcPr>
          <w:p w:rsidR="00AE0B1A" w:rsidRPr="00345D72" w:rsidRDefault="00AE0B1A" w:rsidP="00AE0B1A">
            <w:pPr>
              <w:pStyle w:val="Tabletextleft"/>
            </w:pPr>
            <w:r w:rsidRPr="00345D72">
              <w:t>Good</w:t>
            </w:r>
          </w:p>
        </w:tc>
        <w:tc>
          <w:tcPr>
            <w:tcW w:w="4876" w:type="dxa"/>
          </w:tcPr>
          <w:p w:rsidR="00AE0B1A" w:rsidRPr="00345D72" w:rsidRDefault="00AE0B1A" w:rsidP="00AE0B1A">
            <w:pPr>
              <w:pStyle w:val="Tabletextleft"/>
            </w:pPr>
            <w:r w:rsidRPr="00345D72">
              <w:t xml:space="preserve">As above; net reservoir </w:t>
            </w:r>
            <w:proofErr w:type="spellStart"/>
            <w:r w:rsidRPr="00345D72">
              <w:t>isopachs</w:t>
            </w:r>
            <w:proofErr w:type="spellEnd"/>
            <w:r w:rsidRPr="00345D72">
              <w:t xml:space="preserve"> derived from geological model.</w:t>
            </w:r>
          </w:p>
        </w:tc>
      </w:tr>
      <w:tr w:rsidR="00AE0B1A" w:rsidTr="00AE0B1A">
        <w:trPr>
          <w:cnfStyle w:val="000000100000" w:firstRow="0" w:lastRow="0" w:firstColumn="0" w:lastColumn="0" w:oddVBand="0" w:evenVBand="0" w:oddHBand="1" w:evenHBand="0" w:firstRowFirstColumn="0" w:firstRowLastColumn="0" w:lastRowFirstColumn="0" w:lastRowLastColumn="0"/>
        </w:trPr>
        <w:tc>
          <w:tcPr>
            <w:tcW w:w="2694" w:type="dxa"/>
          </w:tcPr>
          <w:p w:rsidR="00AE0B1A" w:rsidRPr="00345D72" w:rsidRDefault="00AE0B1A" w:rsidP="00AE0B1A">
            <w:pPr>
              <w:pStyle w:val="Tabletextleft"/>
            </w:pPr>
            <w:r w:rsidRPr="00345D72">
              <w:t>Reservoir porosity constraints</w:t>
            </w:r>
          </w:p>
        </w:tc>
        <w:tc>
          <w:tcPr>
            <w:tcW w:w="1559" w:type="dxa"/>
          </w:tcPr>
          <w:p w:rsidR="00AE0B1A" w:rsidRPr="00345D72" w:rsidRDefault="00AE0B1A" w:rsidP="00AE0B1A">
            <w:pPr>
              <w:pStyle w:val="Tabletextleft"/>
            </w:pPr>
            <w:r w:rsidRPr="00345D72">
              <w:t>Fair</w:t>
            </w:r>
          </w:p>
        </w:tc>
        <w:tc>
          <w:tcPr>
            <w:tcW w:w="4876" w:type="dxa"/>
          </w:tcPr>
          <w:p w:rsidR="00AE0B1A" w:rsidRPr="00345D72" w:rsidRDefault="00AE0B1A" w:rsidP="00AE0B1A">
            <w:pPr>
              <w:pStyle w:val="Tabletextleft"/>
            </w:pPr>
            <w:r>
              <w:t>Geological model-derived extrapolation of sparse well data</w:t>
            </w:r>
            <w:r w:rsidRPr="00345D72">
              <w:t xml:space="preserve">; porosity values derived </w:t>
            </w:r>
            <w:proofErr w:type="spellStart"/>
            <w:r w:rsidRPr="00345D72">
              <w:t>petrophysical</w:t>
            </w:r>
            <w:proofErr w:type="spellEnd"/>
            <w:r w:rsidRPr="00345D72">
              <w:t xml:space="preserve"> analysis and rare core measurements. </w:t>
            </w:r>
          </w:p>
        </w:tc>
      </w:tr>
      <w:tr w:rsidR="00AE0B1A" w:rsidTr="00A96950">
        <w:trPr>
          <w:cnfStyle w:val="000000010000" w:firstRow="0" w:lastRow="0" w:firstColumn="0" w:lastColumn="0" w:oddVBand="0" w:evenVBand="0" w:oddHBand="0" w:evenHBand="1" w:firstRowFirstColumn="0" w:firstRowLastColumn="0" w:lastRowFirstColumn="0" w:lastRowLastColumn="0"/>
        </w:trPr>
        <w:tc>
          <w:tcPr>
            <w:tcW w:w="2694" w:type="dxa"/>
          </w:tcPr>
          <w:p w:rsidR="00AE0B1A" w:rsidRPr="00345D72" w:rsidRDefault="00AE0B1A" w:rsidP="00AE0B1A">
            <w:pPr>
              <w:pStyle w:val="Tabletextleft"/>
            </w:pPr>
            <w:r w:rsidRPr="00345D72">
              <w:t>Reservoir gas saturation constraints</w:t>
            </w:r>
          </w:p>
        </w:tc>
        <w:tc>
          <w:tcPr>
            <w:tcW w:w="1559" w:type="dxa"/>
          </w:tcPr>
          <w:p w:rsidR="00AE0B1A" w:rsidRPr="00345D72" w:rsidRDefault="00AE0B1A" w:rsidP="00AE0B1A">
            <w:pPr>
              <w:pStyle w:val="Tabletextleft"/>
            </w:pPr>
            <w:r w:rsidRPr="00345D72">
              <w:t>Average</w:t>
            </w:r>
          </w:p>
        </w:tc>
        <w:tc>
          <w:tcPr>
            <w:tcW w:w="4876" w:type="dxa"/>
          </w:tcPr>
          <w:p w:rsidR="00AE0B1A" w:rsidRPr="00345D72" w:rsidRDefault="00AE0B1A" w:rsidP="00AE0B1A">
            <w:pPr>
              <w:pStyle w:val="Tabletextleft"/>
            </w:pPr>
            <w:r w:rsidRPr="00345D72">
              <w:t>Maximum residual gas saturation</w:t>
            </w:r>
            <w:r>
              <w:t xml:space="preserve"> used</w:t>
            </w:r>
            <w:r w:rsidRPr="00345D72">
              <w:t xml:space="preserve">; derived from the </w:t>
            </w:r>
            <w:proofErr w:type="spellStart"/>
            <w:r w:rsidRPr="00345D72">
              <w:t>petrophysical</w:t>
            </w:r>
            <w:proofErr w:type="spellEnd"/>
            <w:r w:rsidRPr="00345D72">
              <w:t xml:space="preserve"> defined porosity of this study and the theoretical residual gas saturation correlation of </w:t>
            </w:r>
            <w:r w:rsidRPr="00345D72">
              <w:rPr>
                <w:noProof/>
              </w:rPr>
              <w:t>Holtz (2002)</w:t>
            </w:r>
            <w:r w:rsidRPr="00345D72">
              <w:t>.</w:t>
            </w:r>
          </w:p>
        </w:tc>
      </w:tr>
      <w:tr w:rsidR="00AE0B1A" w:rsidRPr="00B62D71" w:rsidTr="00A96950">
        <w:trPr>
          <w:cnfStyle w:val="000000100000" w:firstRow="0" w:lastRow="0" w:firstColumn="0" w:lastColumn="0" w:oddVBand="0" w:evenVBand="0" w:oddHBand="1" w:evenHBand="0" w:firstRowFirstColumn="0" w:firstRowLastColumn="0" w:lastRowFirstColumn="0" w:lastRowLastColumn="0"/>
        </w:trPr>
        <w:tc>
          <w:tcPr>
            <w:tcW w:w="4253" w:type="dxa"/>
            <w:gridSpan w:val="2"/>
            <w:shd w:val="clear" w:color="auto" w:fill="7F7F7F" w:themeFill="text1" w:themeFillTint="80"/>
          </w:tcPr>
          <w:p w:rsidR="00AE0B1A" w:rsidRPr="00F60B69" w:rsidRDefault="00AE0B1A" w:rsidP="00F60B69">
            <w:pPr>
              <w:pStyle w:val="Tabletextleft"/>
            </w:pPr>
            <w:r w:rsidRPr="00F60B69">
              <w:t>Carbon Dioxide Density Estimation- Data Quality</w:t>
            </w:r>
          </w:p>
        </w:tc>
        <w:tc>
          <w:tcPr>
            <w:tcW w:w="4876" w:type="dxa"/>
            <w:shd w:val="clear" w:color="auto" w:fill="7F7F7F" w:themeFill="text1" w:themeFillTint="80"/>
          </w:tcPr>
          <w:p w:rsidR="00AE0B1A" w:rsidRPr="00F60B69" w:rsidRDefault="00AE0B1A" w:rsidP="00F60B69">
            <w:pPr>
              <w:pStyle w:val="Tabletextleft"/>
            </w:pPr>
            <w:r w:rsidRPr="00F60B69">
              <w:t>Comments</w:t>
            </w:r>
          </w:p>
        </w:tc>
      </w:tr>
      <w:tr w:rsidR="00AE0B1A" w:rsidTr="00AE0B1A">
        <w:trPr>
          <w:cnfStyle w:val="000000010000" w:firstRow="0" w:lastRow="0" w:firstColumn="0" w:lastColumn="0" w:oddVBand="0" w:evenVBand="0" w:oddHBand="0" w:evenHBand="1" w:firstRowFirstColumn="0" w:firstRowLastColumn="0" w:lastRowFirstColumn="0" w:lastRowLastColumn="0"/>
        </w:trPr>
        <w:tc>
          <w:tcPr>
            <w:tcW w:w="2694" w:type="dxa"/>
          </w:tcPr>
          <w:p w:rsidR="00AE0B1A" w:rsidRPr="00345D72" w:rsidRDefault="00AE0B1A" w:rsidP="00AE0B1A">
            <w:pPr>
              <w:pStyle w:val="Tabletextleft"/>
            </w:pPr>
            <w:r w:rsidRPr="00345D72">
              <w:t>Temperature Profile Constraints</w:t>
            </w:r>
          </w:p>
        </w:tc>
        <w:tc>
          <w:tcPr>
            <w:tcW w:w="1559" w:type="dxa"/>
          </w:tcPr>
          <w:p w:rsidR="00AE0B1A" w:rsidRPr="00345D72" w:rsidRDefault="00AE0B1A" w:rsidP="00AE0B1A">
            <w:pPr>
              <w:pStyle w:val="Tabletextleft"/>
            </w:pPr>
            <w:r w:rsidRPr="00345D72">
              <w:t>Probable</w:t>
            </w:r>
          </w:p>
        </w:tc>
        <w:tc>
          <w:tcPr>
            <w:tcW w:w="4876" w:type="dxa"/>
          </w:tcPr>
          <w:p w:rsidR="00AE0B1A" w:rsidRPr="00345D72" w:rsidRDefault="00AE0B1A" w:rsidP="00AE0B1A">
            <w:pPr>
              <w:pStyle w:val="Tabletextleft"/>
            </w:pPr>
            <w:r w:rsidRPr="00345D72">
              <w:t>Well completion report data using Horner corrected temperatures.</w:t>
            </w:r>
          </w:p>
        </w:tc>
      </w:tr>
      <w:tr w:rsidR="00AE0B1A" w:rsidTr="00AE0B1A">
        <w:trPr>
          <w:cnfStyle w:val="000000100000" w:firstRow="0" w:lastRow="0" w:firstColumn="0" w:lastColumn="0" w:oddVBand="0" w:evenVBand="0" w:oddHBand="1" w:evenHBand="0" w:firstRowFirstColumn="0" w:firstRowLastColumn="0" w:lastRowFirstColumn="0" w:lastRowLastColumn="0"/>
        </w:trPr>
        <w:tc>
          <w:tcPr>
            <w:tcW w:w="2694" w:type="dxa"/>
          </w:tcPr>
          <w:p w:rsidR="00AE0B1A" w:rsidRPr="00345D72" w:rsidRDefault="00AE0B1A" w:rsidP="00AE0B1A">
            <w:pPr>
              <w:pStyle w:val="Tabletextleft"/>
            </w:pPr>
            <w:r w:rsidRPr="00345D72">
              <w:t>Pressure Profile Constraints</w:t>
            </w:r>
          </w:p>
        </w:tc>
        <w:tc>
          <w:tcPr>
            <w:tcW w:w="1559" w:type="dxa"/>
          </w:tcPr>
          <w:p w:rsidR="00AE0B1A" w:rsidRPr="00345D72" w:rsidRDefault="00AE0B1A" w:rsidP="00AE0B1A">
            <w:pPr>
              <w:pStyle w:val="Tabletextleft"/>
            </w:pPr>
            <w:r w:rsidRPr="00345D72">
              <w:t>Probable</w:t>
            </w:r>
          </w:p>
        </w:tc>
        <w:tc>
          <w:tcPr>
            <w:tcW w:w="4876" w:type="dxa"/>
          </w:tcPr>
          <w:p w:rsidR="00AE0B1A" w:rsidRPr="00345D72" w:rsidRDefault="00AE0B1A" w:rsidP="00AE0B1A">
            <w:pPr>
              <w:pStyle w:val="Tabletextleft"/>
            </w:pPr>
            <w:r w:rsidRPr="00345D72">
              <w:t>Well Completion Reports (wireline and DST tools).</w:t>
            </w:r>
          </w:p>
        </w:tc>
      </w:tr>
      <w:tr w:rsidR="00AE0B1A" w:rsidTr="00AE0B1A">
        <w:trPr>
          <w:cnfStyle w:val="000000010000" w:firstRow="0" w:lastRow="0" w:firstColumn="0" w:lastColumn="0" w:oddVBand="0" w:evenVBand="0" w:oddHBand="0" w:evenHBand="1" w:firstRowFirstColumn="0" w:firstRowLastColumn="0" w:lastRowFirstColumn="0" w:lastRowLastColumn="0"/>
        </w:trPr>
        <w:tc>
          <w:tcPr>
            <w:tcW w:w="2694" w:type="dxa"/>
          </w:tcPr>
          <w:p w:rsidR="00AE0B1A" w:rsidRPr="00DC065F" w:rsidRDefault="00AE0B1A" w:rsidP="00DC065F">
            <w:pPr>
              <w:pStyle w:val="Tabletextleft"/>
            </w:pPr>
            <w:r w:rsidRPr="00DC065F">
              <w:t>Estimated regional potential storage</w:t>
            </w:r>
          </w:p>
        </w:tc>
        <w:tc>
          <w:tcPr>
            <w:tcW w:w="1559" w:type="dxa"/>
          </w:tcPr>
          <w:p w:rsidR="00AE0B1A" w:rsidRPr="00DC065F" w:rsidRDefault="00AE0B1A" w:rsidP="00DC065F">
            <w:pPr>
              <w:pStyle w:val="Tabletextleft"/>
            </w:pPr>
            <w:r w:rsidRPr="00DC065F">
              <w:t>15.93</w:t>
            </w:r>
          </w:p>
        </w:tc>
        <w:tc>
          <w:tcPr>
            <w:tcW w:w="4876" w:type="dxa"/>
          </w:tcPr>
          <w:p w:rsidR="00AE0B1A" w:rsidRPr="00DC065F" w:rsidRDefault="00AE0B1A" w:rsidP="00DC065F">
            <w:pPr>
              <w:pStyle w:val="Tabletextleft"/>
            </w:pPr>
            <w:proofErr w:type="spellStart"/>
            <w:r w:rsidRPr="00DC065F">
              <w:t>Gigatonnes</w:t>
            </w:r>
            <w:proofErr w:type="spellEnd"/>
            <w:r w:rsidRPr="00DC065F">
              <w:t xml:space="preserve"> (effective storage capacity)</w:t>
            </w:r>
          </w:p>
        </w:tc>
      </w:tr>
      <w:tr w:rsidR="00AE0B1A" w:rsidTr="00AE0B1A">
        <w:trPr>
          <w:cnfStyle w:val="000000100000" w:firstRow="0" w:lastRow="0" w:firstColumn="0" w:lastColumn="0" w:oddVBand="0" w:evenVBand="0" w:oddHBand="1" w:evenHBand="0" w:firstRowFirstColumn="0" w:firstRowLastColumn="0" w:lastRowFirstColumn="0" w:lastRowLastColumn="0"/>
        </w:trPr>
        <w:tc>
          <w:tcPr>
            <w:tcW w:w="2694" w:type="dxa"/>
          </w:tcPr>
          <w:p w:rsidR="00AE0B1A" w:rsidRPr="00DC065F" w:rsidRDefault="00AE0B1A" w:rsidP="00DC065F">
            <w:pPr>
              <w:pStyle w:val="Tabletextleft"/>
            </w:pPr>
            <w:r w:rsidRPr="00DC065F">
              <w:t>Estimated potential storage</w:t>
            </w:r>
          </w:p>
        </w:tc>
        <w:tc>
          <w:tcPr>
            <w:tcW w:w="1559" w:type="dxa"/>
          </w:tcPr>
          <w:p w:rsidR="00AE0B1A" w:rsidRPr="00DC065F" w:rsidRDefault="00AE0B1A" w:rsidP="00DC065F">
            <w:pPr>
              <w:pStyle w:val="Tabletextleft"/>
            </w:pPr>
            <w:r w:rsidRPr="00DC065F">
              <w:t>300</w:t>
            </w:r>
          </w:p>
        </w:tc>
        <w:tc>
          <w:tcPr>
            <w:tcW w:w="4876" w:type="dxa"/>
          </w:tcPr>
          <w:p w:rsidR="00AE0B1A" w:rsidRPr="00DC065F" w:rsidRDefault="00AE0B1A" w:rsidP="00DC065F">
            <w:pPr>
              <w:pStyle w:val="Tabletextleft"/>
            </w:pPr>
            <w:r w:rsidRPr="00DC065F">
              <w:t>TCF</w:t>
            </w:r>
          </w:p>
        </w:tc>
      </w:tr>
    </w:tbl>
    <w:p w:rsidR="00AE0B1A" w:rsidRPr="00C94C2F" w:rsidRDefault="00AE0B1A" w:rsidP="00AE0B1A">
      <w:pPr>
        <w:pStyle w:val="Heading1"/>
      </w:pPr>
      <w:bookmarkStart w:id="965" w:name="_Toc372790315"/>
      <w:bookmarkStart w:id="966" w:name="_Toc378252907"/>
      <w:bookmarkStart w:id="967" w:name="_Toc378253231"/>
      <w:bookmarkStart w:id="968" w:name="_Toc378253555"/>
      <w:bookmarkStart w:id="969" w:name="_Toc378253879"/>
      <w:bookmarkStart w:id="970" w:name="_Toc378254203"/>
      <w:bookmarkStart w:id="971" w:name="_Toc378254527"/>
      <w:bookmarkStart w:id="972" w:name="_Toc378254851"/>
      <w:bookmarkStart w:id="973" w:name="_Toc378255175"/>
      <w:bookmarkStart w:id="974" w:name="_Toc383758233"/>
      <w:r w:rsidRPr="00C94C2F">
        <w:lastRenderedPageBreak/>
        <w:t>CO</w:t>
      </w:r>
      <w:r w:rsidRPr="00255748">
        <w:rPr>
          <w:rStyle w:val="Subscript"/>
        </w:rPr>
        <w:t>2</w:t>
      </w:r>
      <w:r w:rsidRPr="00C94C2F">
        <w:t xml:space="preserve"> </w:t>
      </w:r>
      <w:r w:rsidRPr="006B5A62">
        <w:t>Geological</w:t>
      </w:r>
      <w:r>
        <w:t xml:space="preserve"> </w:t>
      </w:r>
      <w:r w:rsidRPr="00C94C2F">
        <w:t>Storage Potential of the Petrel Sub-basin</w:t>
      </w:r>
      <w:bookmarkEnd w:id="965"/>
      <w:bookmarkEnd w:id="966"/>
      <w:bookmarkEnd w:id="967"/>
      <w:bookmarkEnd w:id="968"/>
      <w:bookmarkEnd w:id="969"/>
      <w:bookmarkEnd w:id="970"/>
      <w:bookmarkEnd w:id="971"/>
      <w:bookmarkEnd w:id="972"/>
      <w:bookmarkEnd w:id="973"/>
      <w:bookmarkEnd w:id="974"/>
    </w:p>
    <w:p w:rsidR="00AE0B1A" w:rsidRPr="00C94C2F" w:rsidRDefault="00AE0B1A" w:rsidP="00AE0B1A">
      <w:pPr>
        <w:pStyle w:val="BodyText"/>
        <w:rPr>
          <w:lang w:val="en-US"/>
        </w:rPr>
      </w:pPr>
      <w:r>
        <w:rPr>
          <w:lang w:val="en-US"/>
        </w:rPr>
        <w:t>Migration-</w:t>
      </w:r>
      <w:r w:rsidRPr="00C94C2F">
        <w:rPr>
          <w:lang w:val="en-US"/>
        </w:rPr>
        <w:t xml:space="preserve">assisted storage (MAS) </w:t>
      </w:r>
      <w:r>
        <w:rPr>
          <w:lang w:val="en-US"/>
        </w:rPr>
        <w:t>has been</w:t>
      </w:r>
      <w:r w:rsidRPr="00C94C2F">
        <w:rPr>
          <w:lang w:val="en-US"/>
        </w:rPr>
        <w:t xml:space="preserve"> identified by migration pathway analysis </w:t>
      </w:r>
      <w:r>
        <w:rPr>
          <w:lang w:val="en-US"/>
        </w:rPr>
        <w:t xml:space="preserve">on the eastern flank of the Petrel Sub-basin </w:t>
      </w:r>
      <w:r w:rsidRPr="00C94C2F">
        <w:rPr>
          <w:lang w:val="en-US"/>
        </w:rPr>
        <w:t xml:space="preserve">as the only potential </w:t>
      </w:r>
      <w:r>
        <w:rPr>
          <w:lang w:val="en-US"/>
        </w:rPr>
        <w:t>CO</w:t>
      </w:r>
      <w:r w:rsidRPr="009D5B2E">
        <w:rPr>
          <w:rStyle w:val="Subscript"/>
        </w:rPr>
        <w:t>2</w:t>
      </w:r>
      <w:r>
        <w:rPr>
          <w:lang w:val="en-US"/>
        </w:rPr>
        <w:t xml:space="preserve"> geological </w:t>
      </w:r>
      <w:r w:rsidRPr="00C94C2F">
        <w:rPr>
          <w:lang w:val="en-US"/>
        </w:rPr>
        <w:t>storage play</w:t>
      </w:r>
      <w:r>
        <w:rPr>
          <w:lang w:val="en-US"/>
        </w:rPr>
        <w:t xml:space="preserve"> in the Petrel Sub-basin</w:t>
      </w:r>
      <w:r w:rsidRPr="00C94C2F">
        <w:rPr>
          <w:lang w:val="en-US"/>
        </w:rPr>
        <w:t xml:space="preserve">. No large structural traps </w:t>
      </w:r>
      <w:r>
        <w:rPr>
          <w:lang w:val="en-US"/>
        </w:rPr>
        <w:t>were</w:t>
      </w:r>
      <w:r w:rsidRPr="00C94C2F">
        <w:rPr>
          <w:lang w:val="en-US"/>
        </w:rPr>
        <w:t xml:space="preserve"> identified away from the known </w:t>
      </w:r>
      <w:proofErr w:type="spellStart"/>
      <w:r w:rsidRPr="00C94C2F">
        <w:rPr>
          <w:lang w:val="en-US"/>
        </w:rPr>
        <w:t>halokinetic</w:t>
      </w:r>
      <w:proofErr w:type="spellEnd"/>
      <w:r w:rsidRPr="00C94C2F">
        <w:rPr>
          <w:lang w:val="en-US"/>
        </w:rPr>
        <w:t xml:space="preserve"> traps at </w:t>
      </w:r>
      <w:r w:rsidRPr="00F75FB9">
        <w:rPr>
          <w:lang w:val="en-US"/>
        </w:rPr>
        <w:t>Gull 1</w:t>
      </w:r>
      <w:r w:rsidRPr="00C94C2F">
        <w:rPr>
          <w:lang w:val="en-US"/>
        </w:rPr>
        <w:t xml:space="preserve"> and </w:t>
      </w:r>
      <w:r w:rsidRPr="00F75FB9">
        <w:rPr>
          <w:lang w:val="en-US"/>
        </w:rPr>
        <w:t>Curlew 1</w:t>
      </w:r>
      <w:r w:rsidRPr="00C94C2F">
        <w:rPr>
          <w:lang w:val="en-US"/>
        </w:rPr>
        <w:t xml:space="preserve">. </w:t>
      </w:r>
      <w:r>
        <w:rPr>
          <w:lang w:val="en-US"/>
        </w:rPr>
        <w:t xml:space="preserve">The general migration of </w:t>
      </w:r>
      <w:r w:rsidRPr="00C91A6B">
        <w:rPr>
          <w:lang w:val="en-US"/>
        </w:rPr>
        <w:t>CO</w:t>
      </w:r>
      <w:r w:rsidRPr="009D5B2E">
        <w:rPr>
          <w:rStyle w:val="Subscript"/>
        </w:rPr>
        <w:t>2</w:t>
      </w:r>
      <w:r>
        <w:rPr>
          <w:lang w:val="en-US"/>
        </w:rPr>
        <w:t xml:space="preserve"> was up dip (i.e., to the southeast, towards the margins) and controlled by the overall northwest dip of the sub-basin,</w:t>
      </w:r>
      <w:r w:rsidRPr="002E123B">
        <w:rPr>
          <w:lang w:val="en-US"/>
        </w:rPr>
        <w:t xml:space="preserve"> </w:t>
      </w:r>
      <w:r>
        <w:rPr>
          <w:lang w:val="en-US"/>
        </w:rPr>
        <w:t>as defined by the hydrodynamic analysis (Appendix J) and dynamic reservoir simulation (Appendix L).</w:t>
      </w:r>
    </w:p>
    <w:p w:rsidR="00AE0B1A" w:rsidRDefault="00AE0B1A" w:rsidP="00AE0B1A">
      <w:pPr>
        <w:pStyle w:val="BodyText"/>
        <w:rPr>
          <w:lang w:val="en-US"/>
        </w:rPr>
      </w:pPr>
      <w:r>
        <w:rPr>
          <w:lang w:val="en-US"/>
        </w:rPr>
        <w:t>Overall, the Petrel S</w:t>
      </w:r>
      <w:r w:rsidRPr="00C94C2F">
        <w:rPr>
          <w:lang w:val="en-US"/>
        </w:rPr>
        <w:t xml:space="preserve">ub-basin </w:t>
      </w:r>
      <w:r>
        <w:rPr>
          <w:lang w:val="en-US"/>
        </w:rPr>
        <w:t>study area is</w:t>
      </w:r>
      <w:r w:rsidRPr="00C94C2F">
        <w:rPr>
          <w:lang w:val="en-US"/>
        </w:rPr>
        <w:t xml:space="preserve"> evaluated as </w:t>
      </w:r>
      <w:r>
        <w:rPr>
          <w:lang w:val="en-US"/>
        </w:rPr>
        <w:t>h</w:t>
      </w:r>
      <w:r w:rsidRPr="00C94C2F">
        <w:rPr>
          <w:lang w:val="en-US"/>
        </w:rPr>
        <w:t xml:space="preserve">ighly </w:t>
      </w:r>
      <w:r>
        <w:rPr>
          <w:lang w:val="en-US"/>
        </w:rPr>
        <w:t>p</w:t>
      </w:r>
      <w:r w:rsidRPr="00C94C2F">
        <w:rPr>
          <w:lang w:val="en-US"/>
        </w:rPr>
        <w:t xml:space="preserve">rospective for </w:t>
      </w:r>
      <w:r w:rsidRPr="000615F8">
        <w:rPr>
          <w:lang w:val="en-US"/>
        </w:rPr>
        <w:t>CO</w:t>
      </w:r>
      <w:r w:rsidRPr="009D5B2E">
        <w:rPr>
          <w:rStyle w:val="Subscript"/>
        </w:rPr>
        <w:t>2</w:t>
      </w:r>
      <w:r>
        <w:rPr>
          <w:lang w:val="en-US"/>
        </w:rPr>
        <w:t xml:space="preserve"> geological storage </w:t>
      </w:r>
      <w:r w:rsidRPr="00C94C2F">
        <w:rPr>
          <w:lang w:val="en-US"/>
        </w:rPr>
        <w:t>based on geological evidence</w:t>
      </w:r>
      <w:r>
        <w:rPr>
          <w:lang w:val="en-US"/>
        </w:rPr>
        <w:t xml:space="preserve">. The study area meets a standard set of criteria for regional </w:t>
      </w:r>
      <w:r w:rsidRPr="000615F8">
        <w:rPr>
          <w:lang w:val="en-US"/>
        </w:rPr>
        <w:t>CO</w:t>
      </w:r>
      <w:r w:rsidRPr="009D5B2E">
        <w:rPr>
          <w:rStyle w:val="Subscript"/>
        </w:rPr>
        <w:t>2</w:t>
      </w:r>
      <w:r>
        <w:rPr>
          <w:lang w:val="en-US"/>
        </w:rPr>
        <w:t xml:space="preserve"> storage</w:t>
      </w:r>
      <w:r w:rsidRPr="00C94C2F">
        <w:rPr>
          <w:lang w:val="en-US"/>
        </w:rPr>
        <w:t xml:space="preserve"> assessment</w:t>
      </w:r>
      <w:r>
        <w:rPr>
          <w:lang w:val="en-US"/>
        </w:rPr>
        <w:t>, as follows:</w:t>
      </w:r>
    </w:p>
    <w:p w:rsidR="00AE0B1A" w:rsidRPr="002D3E0E" w:rsidRDefault="00AE0B1A" w:rsidP="00AE0B1A">
      <w:pPr>
        <w:pStyle w:val="Listbulletlevel1numbered"/>
        <w:numPr>
          <w:ilvl w:val="0"/>
          <w:numId w:val="25"/>
        </w:numPr>
        <w:rPr>
          <w:lang w:val="en-US"/>
        </w:rPr>
      </w:pPr>
      <w:r w:rsidRPr="002D3E0E">
        <w:rPr>
          <w:lang w:val="en-US"/>
        </w:rPr>
        <w:t>Adequate seal:</w:t>
      </w:r>
    </w:p>
    <w:p w:rsidR="00AE0B1A" w:rsidRDefault="00AE0B1A" w:rsidP="00AE0B1A">
      <w:pPr>
        <w:pStyle w:val="Listbulletlevel2"/>
        <w:rPr>
          <w:lang w:val="en-US"/>
        </w:rPr>
      </w:pPr>
      <w:r>
        <w:rPr>
          <w:lang w:val="en-US"/>
        </w:rPr>
        <w:t xml:space="preserve">Seal Quality: a seal with sufficient </w:t>
      </w:r>
      <w:r w:rsidRPr="00C94C2F">
        <w:rPr>
          <w:lang w:val="en-US"/>
        </w:rPr>
        <w:t>thickness and lateral extent</w:t>
      </w:r>
      <w:r>
        <w:rPr>
          <w:lang w:val="en-US"/>
        </w:rPr>
        <w:t xml:space="preserve"> to restrict CO</w:t>
      </w:r>
      <w:r w:rsidRPr="00255748">
        <w:rPr>
          <w:rStyle w:val="Subscript"/>
        </w:rPr>
        <w:t>2</w:t>
      </w:r>
      <w:r>
        <w:rPr>
          <w:lang w:val="en-US"/>
        </w:rPr>
        <w:t xml:space="preserve"> to the underlying reservoir over a large area.</w:t>
      </w:r>
    </w:p>
    <w:p w:rsidR="00AE0B1A" w:rsidRDefault="00AE0B1A" w:rsidP="00AE0B1A">
      <w:pPr>
        <w:pStyle w:val="Listbulletlevel2"/>
        <w:rPr>
          <w:lang w:val="en-US"/>
        </w:rPr>
      </w:pPr>
      <w:r>
        <w:rPr>
          <w:lang w:val="en-US"/>
        </w:rPr>
        <w:t xml:space="preserve">Seal Capacity: an ability to withstand additional </w:t>
      </w:r>
      <w:r w:rsidRPr="00C94C2F">
        <w:rPr>
          <w:lang w:val="en-US"/>
        </w:rPr>
        <w:t>pressure</w:t>
      </w:r>
      <w:r>
        <w:rPr>
          <w:lang w:val="en-US"/>
        </w:rPr>
        <w:t>s from CO</w:t>
      </w:r>
      <w:r w:rsidRPr="00255748">
        <w:rPr>
          <w:rStyle w:val="Subscript"/>
        </w:rPr>
        <w:t>2</w:t>
      </w:r>
      <w:r>
        <w:rPr>
          <w:lang w:val="en-US"/>
        </w:rPr>
        <w:t xml:space="preserve"> buoyancy and injection.</w:t>
      </w:r>
    </w:p>
    <w:p w:rsidR="00AE0B1A" w:rsidRDefault="00AE0B1A" w:rsidP="00AE0B1A">
      <w:pPr>
        <w:pStyle w:val="Listbulletlevel2"/>
        <w:rPr>
          <w:lang w:val="en-US"/>
        </w:rPr>
      </w:pPr>
      <w:r>
        <w:rPr>
          <w:lang w:val="en-US"/>
        </w:rPr>
        <w:t>S</w:t>
      </w:r>
      <w:r w:rsidRPr="000615F8">
        <w:rPr>
          <w:lang w:val="en-US"/>
        </w:rPr>
        <w:t>eal</w:t>
      </w:r>
      <w:r>
        <w:rPr>
          <w:lang w:val="en-US"/>
        </w:rPr>
        <w:t xml:space="preserve"> I</w:t>
      </w:r>
      <w:r w:rsidRPr="000615F8">
        <w:rPr>
          <w:lang w:val="en-US"/>
        </w:rPr>
        <w:t>ntegrity</w:t>
      </w:r>
      <w:r>
        <w:rPr>
          <w:lang w:val="en-US"/>
        </w:rPr>
        <w:t xml:space="preserve">: an absence of faulting and / or the benign </w:t>
      </w:r>
      <w:proofErr w:type="spellStart"/>
      <w:r w:rsidRPr="000615F8">
        <w:rPr>
          <w:lang w:val="en-US"/>
        </w:rPr>
        <w:t>geomechanical</w:t>
      </w:r>
      <w:proofErr w:type="spellEnd"/>
      <w:r w:rsidRPr="000615F8">
        <w:rPr>
          <w:lang w:val="en-US"/>
        </w:rPr>
        <w:t xml:space="preserve"> response</w:t>
      </w:r>
      <w:r>
        <w:rPr>
          <w:lang w:val="en-US"/>
        </w:rPr>
        <w:t xml:space="preserve"> of the faults to the addition of CO</w:t>
      </w:r>
      <w:r w:rsidRPr="00255748">
        <w:rPr>
          <w:rStyle w:val="Subscript"/>
        </w:rPr>
        <w:t>2</w:t>
      </w:r>
      <w:r w:rsidRPr="000615F8">
        <w:rPr>
          <w:lang w:val="en-US"/>
        </w:rPr>
        <w:t xml:space="preserve">. </w:t>
      </w:r>
    </w:p>
    <w:p w:rsidR="00AE0B1A" w:rsidRDefault="00AE0B1A" w:rsidP="00AE0B1A">
      <w:pPr>
        <w:pStyle w:val="Listbulletlevel1numbered"/>
        <w:rPr>
          <w:lang w:val="en-US"/>
        </w:rPr>
      </w:pPr>
      <w:r>
        <w:rPr>
          <w:lang w:val="en-US"/>
        </w:rPr>
        <w:t>Reservoir quality:</w:t>
      </w:r>
    </w:p>
    <w:p w:rsidR="00AE0B1A" w:rsidRDefault="00AE0B1A" w:rsidP="00AE0B1A">
      <w:pPr>
        <w:pStyle w:val="Listbulletlevel2"/>
        <w:rPr>
          <w:lang w:val="en-US"/>
        </w:rPr>
      </w:pPr>
      <w:r>
        <w:rPr>
          <w:lang w:val="en-US"/>
        </w:rPr>
        <w:t>Reservoir</w:t>
      </w:r>
      <w:r w:rsidRPr="000615F8">
        <w:rPr>
          <w:lang w:val="en-US"/>
        </w:rPr>
        <w:t xml:space="preserve"> </w:t>
      </w:r>
      <w:proofErr w:type="spellStart"/>
      <w:r>
        <w:rPr>
          <w:lang w:val="en-US"/>
        </w:rPr>
        <w:t>Injectivity</w:t>
      </w:r>
      <w:proofErr w:type="spellEnd"/>
      <w:r>
        <w:rPr>
          <w:lang w:val="en-US"/>
        </w:rPr>
        <w:t xml:space="preserve">: sufficient extent, </w:t>
      </w:r>
      <w:r w:rsidRPr="000615F8">
        <w:rPr>
          <w:lang w:val="en-US"/>
        </w:rPr>
        <w:t>thickness and permeability</w:t>
      </w:r>
      <w:r>
        <w:rPr>
          <w:lang w:val="en-US"/>
        </w:rPr>
        <w:t xml:space="preserve"> for 100% injection.</w:t>
      </w:r>
    </w:p>
    <w:p w:rsidR="00AE0B1A" w:rsidRDefault="00AE0B1A" w:rsidP="00AE0B1A">
      <w:pPr>
        <w:pStyle w:val="Listbulletlevel2"/>
        <w:rPr>
          <w:lang w:val="en-US"/>
        </w:rPr>
      </w:pPr>
      <w:r>
        <w:rPr>
          <w:lang w:val="en-US"/>
        </w:rPr>
        <w:t>Reservoir C</w:t>
      </w:r>
      <w:r w:rsidRPr="000615F8">
        <w:rPr>
          <w:lang w:val="en-US"/>
        </w:rPr>
        <w:t>apacity</w:t>
      </w:r>
      <w:r>
        <w:rPr>
          <w:lang w:val="en-US"/>
        </w:rPr>
        <w:t>:</w:t>
      </w:r>
      <w:r w:rsidRPr="000615F8">
        <w:rPr>
          <w:lang w:val="en-US"/>
        </w:rPr>
        <w:t xml:space="preserve"> </w:t>
      </w:r>
      <w:r>
        <w:rPr>
          <w:lang w:val="en-US"/>
        </w:rPr>
        <w:t>sufficient</w:t>
      </w:r>
      <w:r w:rsidRPr="000615F8">
        <w:rPr>
          <w:lang w:val="en-US"/>
        </w:rPr>
        <w:t xml:space="preserve"> volume of pore-space </w:t>
      </w:r>
      <w:r>
        <w:rPr>
          <w:lang w:val="en-US"/>
        </w:rPr>
        <w:t>available</w:t>
      </w:r>
      <w:r w:rsidRPr="000615F8">
        <w:rPr>
          <w:lang w:val="en-US"/>
        </w:rPr>
        <w:t>.</w:t>
      </w:r>
    </w:p>
    <w:p w:rsidR="00AE0B1A" w:rsidRDefault="00AE0B1A" w:rsidP="00AE0B1A">
      <w:pPr>
        <w:pStyle w:val="BodyText"/>
      </w:pPr>
      <w:r>
        <w:t>Based on the above criteria and analysis of the geological and geophysical data, different regions of the Petrel Sub-basin are classified as Highly Suitable (28% of the total study area), Suitable (15%), Possible (20%), and Unlikely (37%) for CO</w:t>
      </w:r>
      <w:r w:rsidRPr="009D5B2E">
        <w:rPr>
          <w:rStyle w:val="Subscript"/>
        </w:rPr>
        <w:t>2</w:t>
      </w:r>
      <w:r>
        <w:t xml:space="preserve"> geological storage (</w:t>
      </w:r>
      <w:r>
        <w:fldChar w:fldCharType="begin"/>
      </w:r>
      <w:r>
        <w:instrText xml:space="preserve"> REF _Ref372288945 \h </w:instrText>
      </w:r>
      <w:r>
        <w:fldChar w:fldCharType="separate"/>
      </w:r>
      <w:r w:rsidR="00F64E4F">
        <w:t xml:space="preserve">Figure </w:t>
      </w:r>
      <w:r w:rsidR="00F64E4F">
        <w:rPr>
          <w:noProof/>
        </w:rPr>
        <w:t>8</w:t>
      </w:r>
      <w:r w:rsidR="00F64E4F">
        <w:t>.</w:t>
      </w:r>
      <w:r w:rsidR="00F64E4F">
        <w:rPr>
          <w:noProof/>
        </w:rPr>
        <w:t>1</w:t>
      </w:r>
      <w:r>
        <w:fldChar w:fldCharType="end"/>
      </w:r>
      <w:r>
        <w:t>).</w:t>
      </w:r>
    </w:p>
    <w:p w:rsidR="00AE0B1A" w:rsidRPr="0084278C" w:rsidRDefault="00AE0B1A" w:rsidP="00AE0B1A">
      <w:pPr>
        <w:pStyle w:val="Heading2"/>
      </w:pPr>
      <w:bookmarkStart w:id="975" w:name="_Toc372790316"/>
      <w:bookmarkStart w:id="976" w:name="_Toc378252908"/>
      <w:bookmarkStart w:id="977" w:name="_Toc378253232"/>
      <w:bookmarkStart w:id="978" w:name="_Toc378253556"/>
      <w:bookmarkStart w:id="979" w:name="_Toc378253880"/>
      <w:bookmarkStart w:id="980" w:name="_Toc378254204"/>
      <w:bookmarkStart w:id="981" w:name="_Toc378254528"/>
      <w:bookmarkStart w:id="982" w:name="_Toc378254852"/>
      <w:bookmarkStart w:id="983" w:name="_Toc378255176"/>
      <w:bookmarkStart w:id="984" w:name="_Toc383758234"/>
      <w:r w:rsidRPr="0084278C">
        <w:t>Highly Suitable</w:t>
      </w:r>
      <w:bookmarkEnd w:id="975"/>
      <w:bookmarkEnd w:id="976"/>
      <w:bookmarkEnd w:id="977"/>
      <w:bookmarkEnd w:id="978"/>
      <w:bookmarkEnd w:id="979"/>
      <w:bookmarkEnd w:id="980"/>
      <w:bookmarkEnd w:id="981"/>
      <w:bookmarkEnd w:id="982"/>
      <w:bookmarkEnd w:id="983"/>
      <w:bookmarkEnd w:id="984"/>
    </w:p>
    <w:p w:rsidR="00AE0B1A" w:rsidRDefault="00AE0B1A" w:rsidP="00AE0B1A">
      <w:pPr>
        <w:pStyle w:val="BodyText"/>
      </w:pPr>
      <w:r>
        <w:t xml:space="preserve">The centre </w:t>
      </w:r>
      <w:r w:rsidRPr="00C94C2F">
        <w:t xml:space="preserve">of the </w:t>
      </w:r>
      <w:r>
        <w:t>Petrel S</w:t>
      </w:r>
      <w:r w:rsidRPr="00C94C2F">
        <w:t>ub-basin</w:t>
      </w:r>
      <w:r>
        <w:t xml:space="preserve">, extending </w:t>
      </w:r>
      <w:r w:rsidRPr="00C94C2F">
        <w:t>between 50-70 km to the north, east and south of the Petrel gas field</w:t>
      </w:r>
      <w:r>
        <w:t>, has the greatest potential for CO</w:t>
      </w:r>
      <w:r w:rsidRPr="008912CC">
        <w:rPr>
          <w:rStyle w:val="Subscript"/>
        </w:rPr>
        <w:t>2</w:t>
      </w:r>
      <w:r>
        <w:t xml:space="preserve"> geological storage and is therefore classified as Highly Suitable (</w:t>
      </w:r>
      <w:r>
        <w:fldChar w:fldCharType="begin"/>
      </w:r>
      <w:r>
        <w:instrText xml:space="preserve"> REF _Ref372288945 \h </w:instrText>
      </w:r>
      <w:r>
        <w:fldChar w:fldCharType="separate"/>
      </w:r>
      <w:r w:rsidR="00F64E4F">
        <w:t xml:space="preserve">Figure </w:t>
      </w:r>
      <w:r w:rsidR="00F64E4F">
        <w:rPr>
          <w:noProof/>
        </w:rPr>
        <w:t>8</w:t>
      </w:r>
      <w:r w:rsidR="00F64E4F">
        <w:t>.</w:t>
      </w:r>
      <w:r w:rsidR="00F64E4F">
        <w:rPr>
          <w:noProof/>
        </w:rPr>
        <w:t>1</w:t>
      </w:r>
      <w:r>
        <w:fldChar w:fldCharType="end"/>
      </w:r>
      <w:r>
        <w:t xml:space="preserve">). </w:t>
      </w:r>
    </w:p>
    <w:p w:rsidR="00F5033A" w:rsidRDefault="00F5033A" w:rsidP="00F5033A">
      <w:pPr>
        <w:pStyle w:val="Figuresandimagescentred"/>
      </w:pPr>
      <w:r>
        <w:rPr>
          <w:noProof/>
        </w:rPr>
        <w:lastRenderedPageBreak/>
        <w:drawing>
          <wp:inline distT="0" distB="0" distL="0" distR="0" wp14:anchorId="01B2DC33" wp14:editId="45B63445">
            <wp:extent cx="4457700" cy="4286250"/>
            <wp:effectExtent l="0" t="0" r="0" b="0"/>
            <wp:docPr id="62" name="Picture 62" descr="Due to the complexity of this document and the niche scientific target audience, no alternative description has been provided. Please email Geoscience Australia at clientservices@ga.gov.au for an alternative description." title="Fig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6finaldocs\0.REVIEW GA Record Summary + Appendices Internal  Review\Reviewed Draft\New folder\13-7199-38.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1422" t="27003" r="11100" b="20196"/>
                    <a:stretch/>
                  </pic:blipFill>
                  <pic:spPr bwMode="auto">
                    <a:xfrm>
                      <a:off x="0" y="0"/>
                      <a:ext cx="4463226" cy="4291563"/>
                    </a:xfrm>
                    <a:prstGeom prst="rect">
                      <a:avLst/>
                    </a:prstGeom>
                    <a:noFill/>
                    <a:ln>
                      <a:noFill/>
                    </a:ln>
                    <a:extLst>
                      <a:ext uri="{53640926-AAD7-44D8-BBD7-CCE9431645EC}">
                        <a14:shadowObscured xmlns:a14="http://schemas.microsoft.com/office/drawing/2010/main"/>
                      </a:ext>
                    </a:extLst>
                  </pic:spPr>
                </pic:pic>
              </a:graphicData>
            </a:graphic>
          </wp:inline>
        </w:drawing>
      </w:r>
    </w:p>
    <w:p w:rsidR="00F5033A" w:rsidRPr="00C94C2F" w:rsidRDefault="00F5033A" w:rsidP="00F5033A">
      <w:pPr>
        <w:pStyle w:val="Caption"/>
      </w:pPr>
      <w:bookmarkStart w:id="985" w:name="_Ref372288945"/>
      <w:bookmarkStart w:id="986" w:name="_Toc373095035"/>
      <w:bookmarkStart w:id="987" w:name="_Toc378252765"/>
      <w:bookmarkStart w:id="988" w:name="_Toc378253089"/>
      <w:bookmarkStart w:id="989" w:name="_Toc378253413"/>
      <w:bookmarkStart w:id="990" w:name="_Toc378253737"/>
      <w:bookmarkStart w:id="991" w:name="_Toc378254061"/>
      <w:bookmarkStart w:id="992" w:name="_Toc378254385"/>
      <w:bookmarkStart w:id="993" w:name="_Toc378254709"/>
      <w:bookmarkStart w:id="994" w:name="_Toc378255033"/>
      <w:bookmarkStart w:id="995" w:name="_Toc378255382"/>
      <w:bookmarkStart w:id="996" w:name="_Ref380571727"/>
      <w:r>
        <w:t xml:space="preserve">Figure </w:t>
      </w:r>
      <w:fldSimple w:instr=" STYLEREF 1 \s ">
        <w:r w:rsidR="00F64E4F">
          <w:rPr>
            <w:noProof/>
          </w:rPr>
          <w:t>8</w:t>
        </w:r>
      </w:fldSimple>
      <w:r w:rsidR="00AE5C2D">
        <w:t>.</w:t>
      </w:r>
      <w:fldSimple w:instr=" SEQ Figure \* ARABIC \s 1 ">
        <w:r w:rsidR="00F64E4F">
          <w:rPr>
            <w:noProof/>
          </w:rPr>
          <w:t>1</w:t>
        </w:r>
      </w:fldSimple>
      <w:bookmarkEnd w:id="985"/>
      <w:r>
        <w:t xml:space="preserve"> </w:t>
      </w:r>
      <w:r w:rsidRPr="0084387C">
        <w:t>CO</w:t>
      </w:r>
      <w:r w:rsidRPr="00F27064">
        <w:rPr>
          <w:rStyle w:val="Subscript"/>
        </w:rPr>
        <w:t>2</w:t>
      </w:r>
      <w:r w:rsidRPr="0084387C">
        <w:t xml:space="preserve"> storage potential of the study area.</w:t>
      </w:r>
      <w:bookmarkEnd w:id="986"/>
      <w:bookmarkEnd w:id="987"/>
      <w:bookmarkEnd w:id="988"/>
      <w:bookmarkEnd w:id="989"/>
      <w:bookmarkEnd w:id="990"/>
      <w:bookmarkEnd w:id="991"/>
      <w:bookmarkEnd w:id="992"/>
      <w:bookmarkEnd w:id="993"/>
      <w:bookmarkEnd w:id="994"/>
      <w:bookmarkEnd w:id="995"/>
      <w:bookmarkEnd w:id="996"/>
    </w:p>
    <w:p w:rsidR="00AE0B1A" w:rsidRDefault="00AE0B1A" w:rsidP="00AE0B1A">
      <w:pPr>
        <w:pStyle w:val="BodyText"/>
      </w:pPr>
      <w:r>
        <w:t xml:space="preserve">In this area, the composite Jurassic reservoir comprises extensive, high quality sandstones with good connectivity. Thin, localised siltstones and mudstones within this reservoir act as potential baffles to vertical plume migration. This could increase the overall displacement of the </w:t>
      </w:r>
      <w:r w:rsidRPr="003E7003">
        <w:t>CO</w:t>
      </w:r>
      <w:r w:rsidRPr="009D5B2E">
        <w:rPr>
          <w:rStyle w:val="Subscript"/>
        </w:rPr>
        <w:t>2</w:t>
      </w:r>
      <w:r>
        <w:t xml:space="preserve"> plume and increase the rate of solution and residual trapping. This composite reservoir is effectively sealed by the upper Frigate Shale. </w:t>
      </w:r>
      <w:r w:rsidRPr="00C94C2F">
        <w:t xml:space="preserve">Well </w:t>
      </w:r>
      <w:r>
        <w:t xml:space="preserve">and seismic data, including seismic inversion analysis, </w:t>
      </w:r>
      <w:r w:rsidRPr="00C94C2F">
        <w:t>indicate that the mudstone</w:t>
      </w:r>
      <w:r>
        <w:t xml:space="preserve"> </w:t>
      </w:r>
      <w:proofErr w:type="spellStart"/>
      <w:r w:rsidRPr="00C94C2F">
        <w:t>facies</w:t>
      </w:r>
      <w:proofErr w:type="spellEnd"/>
      <w:r w:rsidRPr="00C94C2F">
        <w:t xml:space="preserve"> of the upper Frigate </w:t>
      </w:r>
      <w:r>
        <w:t>Shale</w:t>
      </w:r>
      <w:r w:rsidRPr="00C94C2F">
        <w:t xml:space="preserve"> cover</w:t>
      </w:r>
      <w:r>
        <w:t>s</w:t>
      </w:r>
      <w:r w:rsidRPr="00C94C2F">
        <w:t xml:space="preserve"> </w:t>
      </w:r>
      <w:r>
        <w:t xml:space="preserve">the majority </w:t>
      </w:r>
      <w:r w:rsidRPr="00C94C2F">
        <w:t>of the deeper Petrel Sub-basin.</w:t>
      </w:r>
      <w:r>
        <w:t xml:space="preserve"> Geological modelling predicts that the seal capacity of the mudstone </w:t>
      </w:r>
      <w:proofErr w:type="spellStart"/>
      <w:r>
        <w:t>facies</w:t>
      </w:r>
      <w:proofErr w:type="spellEnd"/>
      <w:r>
        <w:t xml:space="preserve"> to be </w:t>
      </w:r>
      <w:r w:rsidRPr="00C94C2F">
        <w:t>sufficient to contain the expected CO</w:t>
      </w:r>
      <w:r w:rsidRPr="009D5B2E">
        <w:rPr>
          <w:rStyle w:val="Subscript"/>
        </w:rPr>
        <w:t>2</w:t>
      </w:r>
      <w:r w:rsidRPr="00C94C2F">
        <w:t xml:space="preserve"> column</w:t>
      </w:r>
      <w:r>
        <w:t xml:space="preserve"> in the underlying reservoir</w:t>
      </w:r>
      <w:r w:rsidRPr="00C94C2F">
        <w:t>. This is based on two factors</w:t>
      </w:r>
      <w:r>
        <w:t>: (1)</w:t>
      </w:r>
      <w:r w:rsidRPr="00C94C2F">
        <w:t xml:space="preserve"> the storage </w:t>
      </w:r>
      <w:r>
        <w:t>play</w:t>
      </w:r>
      <w:r w:rsidRPr="00C94C2F">
        <w:t xml:space="preserve"> for the Petrel Sub-basin is MAS and therefore a very high CO</w:t>
      </w:r>
      <w:r w:rsidRPr="009D5B2E">
        <w:rPr>
          <w:rStyle w:val="Subscript"/>
        </w:rPr>
        <w:t>2</w:t>
      </w:r>
      <w:r w:rsidRPr="00C94C2F">
        <w:t xml:space="preserve"> column height will not be encountered</w:t>
      </w:r>
      <w:r>
        <w:t xml:space="preserve">. This is in contrast to the high </w:t>
      </w:r>
      <w:r w:rsidRPr="003E7003">
        <w:t>CO</w:t>
      </w:r>
      <w:r w:rsidRPr="009D5B2E">
        <w:rPr>
          <w:rStyle w:val="Subscript"/>
        </w:rPr>
        <w:t>2</w:t>
      </w:r>
      <w:r>
        <w:t xml:space="preserve"> column heights which would be found in a structural storage play; and (2) </w:t>
      </w:r>
      <w:r w:rsidRPr="00C94C2F">
        <w:t xml:space="preserve">the </w:t>
      </w:r>
      <w:r>
        <w:t xml:space="preserve">seal capacity </w:t>
      </w:r>
      <w:r w:rsidRPr="00C94C2F">
        <w:t xml:space="preserve">measurement </w:t>
      </w:r>
      <w:r>
        <w:t>was</w:t>
      </w:r>
      <w:r w:rsidRPr="00C94C2F">
        <w:t xml:space="preserve"> taken from a sandier section of the </w:t>
      </w:r>
      <w:r>
        <w:t>Frigate Shale</w:t>
      </w:r>
      <w:r w:rsidRPr="00C94C2F">
        <w:t xml:space="preserve"> near the contact with the </w:t>
      </w:r>
      <w:r>
        <w:t>Sandpiper Sandstone</w:t>
      </w:r>
      <w:r w:rsidRPr="00C94C2F">
        <w:t xml:space="preserve"> and therefore it is conservative to predict higher threshold pressures in the mudstones </w:t>
      </w:r>
      <w:r>
        <w:t>in the lower section</w:t>
      </w:r>
      <w:r w:rsidRPr="00C94C2F">
        <w:t xml:space="preserve">. </w:t>
      </w:r>
      <w:r>
        <w:t>Finally, s</w:t>
      </w:r>
      <w:r w:rsidRPr="00C94C2F">
        <w:t>imulation modelling predict</w:t>
      </w:r>
      <w:r>
        <w:t>s</w:t>
      </w:r>
      <w:r w:rsidRPr="00C94C2F">
        <w:t xml:space="preserve"> that an injection rate of 14 </w:t>
      </w:r>
      <w:r>
        <w:t>MTPA</w:t>
      </w:r>
      <w:r w:rsidRPr="00C94C2F">
        <w:t xml:space="preserve"> over 30 years</w:t>
      </w:r>
      <w:r>
        <w:t xml:space="preserve"> (total 420 MT)</w:t>
      </w:r>
      <w:r w:rsidRPr="00C94C2F">
        <w:t xml:space="preserve"> could be achieved in the </w:t>
      </w:r>
      <w:r>
        <w:t xml:space="preserve">Jurassic </w:t>
      </w:r>
      <w:r w:rsidRPr="00C94C2F">
        <w:t>reservoir</w:t>
      </w:r>
      <w:r w:rsidRPr="00B12893">
        <w:t xml:space="preserve"> </w:t>
      </w:r>
      <w:r w:rsidRPr="00C94C2F">
        <w:t>and that th</w:t>
      </w:r>
      <w:r>
        <w:t xml:space="preserve">e injected </w:t>
      </w:r>
      <w:r w:rsidRPr="00C94C2F">
        <w:t>CO</w:t>
      </w:r>
      <w:r w:rsidRPr="009D5B2E">
        <w:rPr>
          <w:rStyle w:val="Subscript"/>
        </w:rPr>
        <w:t>2</w:t>
      </w:r>
      <w:r w:rsidRPr="00C94C2F">
        <w:t xml:space="preserve"> plume would not migrate beyond the </w:t>
      </w:r>
      <w:r>
        <w:t xml:space="preserve">mapped </w:t>
      </w:r>
      <w:r w:rsidRPr="00C94C2F">
        <w:t xml:space="preserve">extent of the mudstone </w:t>
      </w:r>
      <w:proofErr w:type="spellStart"/>
      <w:r w:rsidRPr="00C94C2F">
        <w:t>facies</w:t>
      </w:r>
      <w:proofErr w:type="spellEnd"/>
      <w:r>
        <w:t xml:space="preserve"> of the upper Frigate Shale. </w:t>
      </w:r>
    </w:p>
    <w:p w:rsidR="00AE0B1A" w:rsidRPr="00C94C2F" w:rsidRDefault="00AE0B1A" w:rsidP="00AE0B1A">
      <w:pPr>
        <w:pStyle w:val="BodyText"/>
      </w:pPr>
      <w:r>
        <w:t xml:space="preserve">The Cretaceous Sandpiper Sandstone and Bathurst Island Group form the second reservoir-seal pair. The </w:t>
      </w:r>
      <w:r w:rsidRPr="00C94C2F">
        <w:t xml:space="preserve">reservoir </w:t>
      </w:r>
      <w:r>
        <w:t xml:space="preserve">comprises extensive, porous and permeable sandstones but its shallow depth and relatively thin extent means that it can only accommodate lower injection rates </w:t>
      </w:r>
      <w:r w:rsidRPr="00C94C2F">
        <w:t xml:space="preserve">of 5 </w:t>
      </w:r>
      <w:r>
        <w:t>MTPA</w:t>
      </w:r>
      <w:r w:rsidRPr="00C94C2F">
        <w:t xml:space="preserve"> of CO</w:t>
      </w:r>
      <w:r w:rsidRPr="009D5B2E">
        <w:rPr>
          <w:rStyle w:val="Subscript"/>
        </w:rPr>
        <w:t>2</w:t>
      </w:r>
      <w:r>
        <w:t xml:space="preserve"> for</w:t>
      </w:r>
      <w:r w:rsidRPr="00C94C2F">
        <w:t xml:space="preserve"> 30 years </w:t>
      </w:r>
      <w:r>
        <w:t xml:space="preserve">(for a total of 150 MT). </w:t>
      </w:r>
      <w:r w:rsidRPr="00C94C2F">
        <w:t xml:space="preserve">The Bathurst Island </w:t>
      </w:r>
      <w:r>
        <w:t xml:space="preserve">Group is an effective seal for this reservoir. Seal </w:t>
      </w:r>
      <w:r>
        <w:lastRenderedPageBreak/>
        <w:t xml:space="preserve">capacity measurements, </w:t>
      </w:r>
      <w:r w:rsidRPr="00C94C2F">
        <w:t>determined from</w:t>
      </w:r>
      <w:r>
        <w:t xml:space="preserve"> numerous</w:t>
      </w:r>
      <w:r w:rsidRPr="00C94C2F">
        <w:t xml:space="preserve"> threshold pressure </w:t>
      </w:r>
      <w:r>
        <w:t>tests</w:t>
      </w:r>
      <w:r w:rsidRPr="00C94C2F">
        <w:t xml:space="preserve">, </w:t>
      </w:r>
      <w:r>
        <w:t xml:space="preserve">show </w:t>
      </w:r>
      <w:r w:rsidRPr="00C94C2F">
        <w:t>CO</w:t>
      </w:r>
      <w:r w:rsidRPr="009D5B2E">
        <w:rPr>
          <w:rStyle w:val="Subscript"/>
        </w:rPr>
        <w:t>2</w:t>
      </w:r>
      <w:r w:rsidRPr="00C94C2F">
        <w:t xml:space="preserve"> column reten</w:t>
      </w:r>
      <w:r>
        <w:t>tion heights ranging from 137</w:t>
      </w:r>
      <w:r w:rsidRPr="00C94C2F">
        <w:t xml:space="preserve"> to 365 m</w:t>
      </w:r>
      <w:r>
        <w:t xml:space="preserve">, an </w:t>
      </w:r>
      <w:r w:rsidRPr="00C94C2F">
        <w:t>averaging around</w:t>
      </w:r>
      <w:r>
        <w:t xml:space="preserve"> 225</w:t>
      </w:r>
      <w:r w:rsidRPr="00C94C2F">
        <w:t xml:space="preserve"> m</w:t>
      </w:r>
      <w:r>
        <w:t xml:space="preserve"> </w:t>
      </w:r>
      <w:r w:rsidRPr="00DE0603">
        <w:t>(</w:t>
      </w:r>
      <w:r>
        <w:fldChar w:fldCharType="begin"/>
      </w:r>
      <w:r>
        <w:instrText xml:space="preserve"> REF _Ref372804805 \h </w:instrText>
      </w:r>
      <w:r>
        <w:fldChar w:fldCharType="separate"/>
      </w:r>
      <w:r w:rsidR="00F64E4F">
        <w:t xml:space="preserve">Figure </w:t>
      </w:r>
      <w:r w:rsidR="00F64E4F">
        <w:rPr>
          <w:noProof/>
        </w:rPr>
        <w:t>6</w:t>
      </w:r>
      <w:r w:rsidR="00F64E4F">
        <w:t>.</w:t>
      </w:r>
      <w:r w:rsidR="00F64E4F">
        <w:rPr>
          <w:noProof/>
        </w:rPr>
        <w:t>9</w:t>
      </w:r>
      <w:r>
        <w:fldChar w:fldCharType="end"/>
      </w:r>
      <w:r w:rsidRPr="00DE0603">
        <w:t>). The</w:t>
      </w:r>
      <w:r>
        <w:t xml:space="preserve"> thickness of the underlying reservoir in a MAS scenario would not be higher than the predicted </w:t>
      </w:r>
      <w:r w:rsidRPr="003E7003">
        <w:t>CO</w:t>
      </w:r>
      <w:r w:rsidRPr="009D5B2E">
        <w:rPr>
          <w:rStyle w:val="Subscript"/>
        </w:rPr>
        <w:t>2</w:t>
      </w:r>
      <w:r>
        <w:t xml:space="preserve"> column retained. </w:t>
      </w:r>
      <w:r w:rsidRPr="00C94C2F">
        <w:t xml:space="preserve">With respect to seal integrity, </w:t>
      </w:r>
      <w:r>
        <w:t xml:space="preserve">the seal </w:t>
      </w:r>
      <w:r w:rsidRPr="00C94C2F">
        <w:t xml:space="preserve">contains only one set of faults </w:t>
      </w:r>
      <w:r>
        <w:t>that</w:t>
      </w:r>
      <w:r w:rsidRPr="00C94C2F">
        <w:t xml:space="preserve"> could affect the CO</w:t>
      </w:r>
      <w:r w:rsidRPr="009D5B2E">
        <w:rPr>
          <w:rStyle w:val="Subscript"/>
        </w:rPr>
        <w:t>2</w:t>
      </w:r>
      <w:r w:rsidRPr="00C94C2F">
        <w:t xml:space="preserve"> </w:t>
      </w:r>
      <w:r>
        <w:t xml:space="preserve">geological </w:t>
      </w:r>
      <w:r w:rsidRPr="00C94C2F">
        <w:t xml:space="preserve">storage potential. </w:t>
      </w:r>
      <w:proofErr w:type="spellStart"/>
      <w:r w:rsidRPr="00C94C2F">
        <w:t>Geomechanical</w:t>
      </w:r>
      <w:proofErr w:type="spellEnd"/>
      <w:r w:rsidRPr="00C94C2F">
        <w:t xml:space="preserve"> analysis </w:t>
      </w:r>
      <w:r>
        <w:t>indicates</w:t>
      </w:r>
      <w:r w:rsidRPr="00C94C2F">
        <w:t xml:space="preserve"> that the </w:t>
      </w:r>
      <w:r>
        <w:t>northwest</w:t>
      </w:r>
      <w:r w:rsidRPr="00C94C2F">
        <w:t>-</w:t>
      </w:r>
      <w:r>
        <w:t>southeast</w:t>
      </w:r>
      <w:r w:rsidRPr="00C94C2F">
        <w:t xml:space="preserve"> striking faults of </w:t>
      </w:r>
      <w:r>
        <w:t>Province I</w:t>
      </w:r>
      <w:r w:rsidRPr="00C94C2F">
        <w:t xml:space="preserve"> have a low tendency for slip and dilation, with high fracture and seal stability. </w:t>
      </w:r>
      <w:r>
        <w:t>Fault</w:t>
      </w:r>
      <w:r w:rsidRPr="00C94C2F">
        <w:t xml:space="preserve"> stability decreases slightly up</w:t>
      </w:r>
      <w:r>
        <w:t>-</w:t>
      </w:r>
      <w:r w:rsidRPr="00C94C2F">
        <w:t>section</w:t>
      </w:r>
      <w:r>
        <w:t xml:space="preserve"> on faults present in the Bathurst Island Group, b</w:t>
      </w:r>
      <w:r w:rsidRPr="00C94C2F">
        <w:t>ut</w:t>
      </w:r>
      <w:r>
        <w:t xml:space="preserve"> any reservoir pressure changes associated with </w:t>
      </w:r>
      <w:r w:rsidRPr="003E7003">
        <w:t>CO</w:t>
      </w:r>
      <w:r w:rsidRPr="009D5B2E">
        <w:rPr>
          <w:rStyle w:val="Subscript"/>
        </w:rPr>
        <w:t>2</w:t>
      </w:r>
      <w:r>
        <w:t xml:space="preserve"> storage are unlikely to affect these faults. </w:t>
      </w:r>
      <w:r w:rsidRPr="00C94C2F">
        <w:t xml:space="preserve">This is supported by the dynamic reservoir simulations, which indicate that the </w:t>
      </w:r>
      <w:r>
        <w:t xml:space="preserve">predicted </w:t>
      </w:r>
      <w:r w:rsidRPr="00C94C2F">
        <w:t>pore pressures</w:t>
      </w:r>
      <w:r>
        <w:t xml:space="preserve"> changes required for fault reactivation would not be achieved even in the reservoirs. </w:t>
      </w:r>
    </w:p>
    <w:p w:rsidR="00AE0B1A" w:rsidRPr="0084278C" w:rsidRDefault="00AE0B1A" w:rsidP="00AE0B1A">
      <w:pPr>
        <w:pStyle w:val="Heading2"/>
      </w:pPr>
      <w:bookmarkStart w:id="997" w:name="_Toc372790317"/>
      <w:bookmarkStart w:id="998" w:name="_Toc378252909"/>
      <w:bookmarkStart w:id="999" w:name="_Toc378253233"/>
      <w:bookmarkStart w:id="1000" w:name="_Toc378253557"/>
      <w:bookmarkStart w:id="1001" w:name="_Toc378253881"/>
      <w:bookmarkStart w:id="1002" w:name="_Toc378254205"/>
      <w:bookmarkStart w:id="1003" w:name="_Toc378254529"/>
      <w:bookmarkStart w:id="1004" w:name="_Toc378254853"/>
      <w:bookmarkStart w:id="1005" w:name="_Toc378255177"/>
      <w:bookmarkStart w:id="1006" w:name="_Toc383758235"/>
      <w:r w:rsidRPr="0084278C">
        <w:t>Suitable</w:t>
      </w:r>
      <w:bookmarkEnd w:id="997"/>
      <w:bookmarkEnd w:id="998"/>
      <w:bookmarkEnd w:id="999"/>
      <w:bookmarkEnd w:id="1000"/>
      <w:bookmarkEnd w:id="1001"/>
      <w:bookmarkEnd w:id="1002"/>
      <w:bookmarkEnd w:id="1003"/>
      <w:bookmarkEnd w:id="1004"/>
      <w:bookmarkEnd w:id="1005"/>
      <w:bookmarkEnd w:id="1006"/>
    </w:p>
    <w:p w:rsidR="00AE0B1A" w:rsidRPr="00C94C2F" w:rsidRDefault="00AE0B1A" w:rsidP="00AE0B1A">
      <w:pPr>
        <w:pStyle w:val="BodyText"/>
      </w:pPr>
      <w:r>
        <w:t xml:space="preserve">Two areas are identified as Suitable for </w:t>
      </w:r>
      <w:r w:rsidRPr="003E7003">
        <w:t>CO</w:t>
      </w:r>
      <w:r w:rsidRPr="009D5B2E">
        <w:rPr>
          <w:rStyle w:val="Subscript"/>
        </w:rPr>
        <w:t>2</w:t>
      </w:r>
      <w:r>
        <w:t xml:space="preserve"> geological </w:t>
      </w:r>
      <w:r w:rsidRPr="00DE0603">
        <w:t xml:space="preserve">storage </w:t>
      </w:r>
      <w:r>
        <w:t xml:space="preserve">in the Petrel Sub-basin </w:t>
      </w:r>
      <w:r w:rsidRPr="00DE0603">
        <w:t>(</w:t>
      </w:r>
      <w:r>
        <w:fldChar w:fldCharType="begin"/>
      </w:r>
      <w:r>
        <w:instrText xml:space="preserve"> REF _Ref372288945 \h </w:instrText>
      </w:r>
      <w:r>
        <w:fldChar w:fldCharType="separate"/>
      </w:r>
      <w:r w:rsidR="00F64E4F">
        <w:t xml:space="preserve">Figure </w:t>
      </w:r>
      <w:r w:rsidR="00F64E4F">
        <w:rPr>
          <w:noProof/>
        </w:rPr>
        <w:t>8</w:t>
      </w:r>
      <w:r w:rsidR="00F64E4F">
        <w:t>.</w:t>
      </w:r>
      <w:r w:rsidR="00F64E4F">
        <w:rPr>
          <w:noProof/>
        </w:rPr>
        <w:t>1</w:t>
      </w:r>
      <w:r>
        <w:fldChar w:fldCharType="end"/>
      </w:r>
      <w:r w:rsidRPr="00DE0603">
        <w:t xml:space="preserve">). The first </w:t>
      </w:r>
      <w:r>
        <w:t xml:space="preserve">is located to the east of the Petrel gas field and is </w:t>
      </w:r>
      <w:r w:rsidRPr="00DE0603">
        <w:t>define</w:t>
      </w:r>
      <w:r>
        <w:t>d by</w:t>
      </w:r>
      <w:r w:rsidRPr="00DE0603">
        <w:t xml:space="preserve"> the transition zone from the upper Frigate Shale mudstone </w:t>
      </w:r>
      <w:proofErr w:type="spellStart"/>
      <w:r w:rsidRPr="00DE0603">
        <w:t>facies</w:t>
      </w:r>
      <w:proofErr w:type="spellEnd"/>
      <w:r w:rsidRPr="00DE0603">
        <w:t xml:space="preserve"> to the</w:t>
      </w:r>
      <w:r w:rsidRPr="00C94C2F">
        <w:t xml:space="preserve"> sandy </w:t>
      </w:r>
      <w:proofErr w:type="spellStart"/>
      <w:r w:rsidRPr="00C94C2F">
        <w:t>facies</w:t>
      </w:r>
      <w:proofErr w:type="spellEnd"/>
      <w:r w:rsidRPr="00C94C2F">
        <w:t xml:space="preserve">. This transition zone is </w:t>
      </w:r>
      <w:r>
        <w:t>marked</w:t>
      </w:r>
      <w:r w:rsidRPr="00C94C2F">
        <w:t xml:space="preserve"> by the toe of the </w:t>
      </w:r>
      <w:proofErr w:type="spellStart"/>
      <w:r w:rsidRPr="00C94C2F">
        <w:t>progrades</w:t>
      </w:r>
      <w:proofErr w:type="spellEnd"/>
      <w:r w:rsidRPr="00C94C2F">
        <w:t xml:space="preserve"> of the upper Frigate </w:t>
      </w:r>
      <w:r>
        <w:t>Shale</w:t>
      </w:r>
      <w:r w:rsidRPr="00C94C2F">
        <w:t xml:space="preserve">, </w:t>
      </w:r>
      <w:r>
        <w:t>representing</w:t>
      </w:r>
      <w:r w:rsidRPr="00C94C2F">
        <w:t xml:space="preserve"> the minimum mudstone extent</w:t>
      </w:r>
      <w:r>
        <w:t xml:space="preserve">. The top of the </w:t>
      </w:r>
      <w:proofErr w:type="spellStart"/>
      <w:r>
        <w:t>progrades</w:t>
      </w:r>
      <w:proofErr w:type="spellEnd"/>
      <w:r>
        <w:t xml:space="preserve"> was</w:t>
      </w:r>
      <w:r w:rsidRPr="00C94C2F">
        <w:t xml:space="preserve"> define</w:t>
      </w:r>
      <w:r>
        <w:t>d</w:t>
      </w:r>
      <w:r w:rsidRPr="00C94C2F">
        <w:t xml:space="preserve"> as the maximum</w:t>
      </w:r>
      <w:r>
        <w:t xml:space="preserve"> probable extent (</w:t>
      </w:r>
      <w:r>
        <w:fldChar w:fldCharType="begin"/>
      </w:r>
      <w:r>
        <w:instrText xml:space="preserve"> REF _Ref372804773 \h </w:instrText>
      </w:r>
      <w:r>
        <w:fldChar w:fldCharType="separate"/>
      </w:r>
      <w:r w:rsidR="00F64E4F">
        <w:t xml:space="preserve">Figure </w:t>
      </w:r>
      <w:r w:rsidR="00F64E4F">
        <w:rPr>
          <w:noProof/>
        </w:rPr>
        <w:t>6</w:t>
      </w:r>
      <w:r w:rsidR="00F64E4F">
        <w:t>.</w:t>
      </w:r>
      <w:r w:rsidR="00F64E4F">
        <w:rPr>
          <w:noProof/>
        </w:rPr>
        <w:t>8</w:t>
      </w:r>
      <w:r>
        <w:fldChar w:fldCharType="end"/>
      </w:r>
      <w:r>
        <w:t>)</w:t>
      </w:r>
      <w:r w:rsidRPr="00C94C2F">
        <w:t xml:space="preserve">. This </w:t>
      </w:r>
      <w:r>
        <w:t xml:space="preserve">seismic </w:t>
      </w:r>
      <w:proofErr w:type="spellStart"/>
      <w:r>
        <w:t>facies</w:t>
      </w:r>
      <w:proofErr w:type="spellEnd"/>
      <w:r w:rsidRPr="00C94C2F">
        <w:t xml:space="preserve"> interpretation is supported by seismic inversion analysis</w:t>
      </w:r>
      <w:r>
        <w:t xml:space="preserve"> (</w:t>
      </w:r>
      <w:r>
        <w:fldChar w:fldCharType="begin"/>
      </w:r>
      <w:r>
        <w:instrText xml:space="preserve"> REF _Ref372804713 \h </w:instrText>
      </w:r>
      <w:r>
        <w:fldChar w:fldCharType="separate"/>
      </w:r>
      <w:r w:rsidR="00F64E4F">
        <w:t xml:space="preserve">Figure </w:t>
      </w:r>
      <w:r w:rsidR="00F64E4F">
        <w:rPr>
          <w:noProof/>
        </w:rPr>
        <w:t>6</w:t>
      </w:r>
      <w:r w:rsidR="00F64E4F">
        <w:t>.</w:t>
      </w:r>
      <w:r w:rsidR="00F64E4F">
        <w:rPr>
          <w:noProof/>
        </w:rPr>
        <w:t>5</w:t>
      </w:r>
      <w:r>
        <w:fldChar w:fldCharType="end"/>
      </w:r>
      <w:r>
        <w:t>)</w:t>
      </w:r>
      <w:r w:rsidRPr="00C94C2F">
        <w:t xml:space="preserve">. </w:t>
      </w:r>
      <w:r>
        <w:t>The second area is located t</w:t>
      </w:r>
      <w:r w:rsidRPr="00C94C2F">
        <w:t>o the north</w:t>
      </w:r>
      <w:r>
        <w:t xml:space="preserve"> of the study area</w:t>
      </w:r>
      <w:r w:rsidRPr="00C94C2F">
        <w:t xml:space="preserve">, </w:t>
      </w:r>
      <w:r>
        <w:t xml:space="preserve">centred on the salt </w:t>
      </w:r>
      <w:proofErr w:type="spellStart"/>
      <w:r>
        <w:t>diapirs</w:t>
      </w:r>
      <w:proofErr w:type="spellEnd"/>
      <w:r>
        <w:t>, and comprises two reservoir-seal pairs. This area</w:t>
      </w:r>
      <w:r w:rsidRPr="00C94C2F">
        <w:t xml:space="preserve"> was </w:t>
      </w:r>
      <w:r>
        <w:t xml:space="preserve">classed as Suitable based on the </w:t>
      </w:r>
      <w:r w:rsidRPr="00C94C2F">
        <w:t>findings</w:t>
      </w:r>
      <w:r>
        <w:t xml:space="preserve"> of the </w:t>
      </w:r>
      <w:proofErr w:type="spellStart"/>
      <w:r>
        <w:t>geomechanical</w:t>
      </w:r>
      <w:proofErr w:type="spellEnd"/>
      <w:r>
        <w:t xml:space="preserve"> fault study which predicted</w:t>
      </w:r>
      <w:r w:rsidRPr="00C94C2F">
        <w:t xml:space="preserve"> that th</w:t>
      </w:r>
      <w:r>
        <w:t>e faults have</w:t>
      </w:r>
      <w:r w:rsidRPr="00C94C2F">
        <w:t xml:space="preserve"> increase</w:t>
      </w:r>
      <w:r>
        <w:t>d</w:t>
      </w:r>
      <w:r w:rsidRPr="00C94C2F">
        <w:t xml:space="preserve"> </w:t>
      </w:r>
      <w:r>
        <w:t>reactivation susceptibility in this area</w:t>
      </w:r>
      <w:r w:rsidRPr="00C94C2F">
        <w:t xml:space="preserve">. </w:t>
      </w:r>
      <w:r>
        <w:t>Furthermore, w</w:t>
      </w:r>
      <w:r w:rsidRPr="00C94C2F">
        <w:t xml:space="preserve">ell data </w:t>
      </w:r>
      <w:r>
        <w:t>indicate</w:t>
      </w:r>
      <w:r w:rsidRPr="00C94C2F">
        <w:t xml:space="preserve"> that the reservoir quality is </w:t>
      </w:r>
      <w:r>
        <w:t>diminished</w:t>
      </w:r>
      <w:r w:rsidRPr="00C94C2F">
        <w:t xml:space="preserve"> in </w:t>
      </w:r>
      <w:r>
        <w:t>the deeper parts of the Petrel Sub-basin</w:t>
      </w:r>
      <w:r w:rsidRPr="00C94C2F">
        <w:t xml:space="preserve"> </w:t>
      </w:r>
      <w:r>
        <w:t xml:space="preserve">due </w:t>
      </w:r>
      <w:r w:rsidRPr="00C94C2F">
        <w:t xml:space="preserve">to burial and compaction. </w:t>
      </w:r>
      <w:r>
        <w:t>Despite this, t</w:t>
      </w:r>
      <w:r w:rsidRPr="00C94C2F">
        <w:t xml:space="preserve">he </w:t>
      </w:r>
      <w:r>
        <w:t xml:space="preserve">two </w:t>
      </w:r>
      <w:r w:rsidRPr="00C94C2F">
        <w:t>reservoirs and seals</w:t>
      </w:r>
      <w:r>
        <w:t xml:space="preserve"> in this area</w:t>
      </w:r>
      <w:r w:rsidRPr="00C94C2F">
        <w:t xml:space="preserve"> are deemed effective for CO</w:t>
      </w:r>
      <w:r w:rsidRPr="009D5B2E">
        <w:rPr>
          <w:rStyle w:val="Subscript"/>
        </w:rPr>
        <w:t>2</w:t>
      </w:r>
      <w:r w:rsidRPr="00C94C2F">
        <w:t xml:space="preserve"> </w:t>
      </w:r>
      <w:r>
        <w:t xml:space="preserve">geological </w:t>
      </w:r>
      <w:r w:rsidRPr="00C94C2F">
        <w:t xml:space="preserve">storage. </w:t>
      </w:r>
    </w:p>
    <w:p w:rsidR="00AE0B1A" w:rsidRPr="0084278C" w:rsidRDefault="00AE0B1A" w:rsidP="00AE0B1A">
      <w:pPr>
        <w:pStyle w:val="Heading2"/>
      </w:pPr>
      <w:bookmarkStart w:id="1007" w:name="_Toc372790318"/>
      <w:bookmarkStart w:id="1008" w:name="_Toc378252910"/>
      <w:bookmarkStart w:id="1009" w:name="_Toc378253234"/>
      <w:bookmarkStart w:id="1010" w:name="_Toc378253558"/>
      <w:bookmarkStart w:id="1011" w:name="_Toc378253882"/>
      <w:bookmarkStart w:id="1012" w:name="_Toc378254206"/>
      <w:bookmarkStart w:id="1013" w:name="_Toc378254530"/>
      <w:bookmarkStart w:id="1014" w:name="_Toc378254854"/>
      <w:bookmarkStart w:id="1015" w:name="_Toc378255178"/>
      <w:bookmarkStart w:id="1016" w:name="_Toc383758236"/>
      <w:r w:rsidRPr="0084278C">
        <w:t>Possible</w:t>
      </w:r>
      <w:bookmarkEnd w:id="1007"/>
      <w:bookmarkEnd w:id="1008"/>
      <w:bookmarkEnd w:id="1009"/>
      <w:bookmarkEnd w:id="1010"/>
      <w:bookmarkEnd w:id="1011"/>
      <w:bookmarkEnd w:id="1012"/>
      <w:bookmarkEnd w:id="1013"/>
      <w:bookmarkEnd w:id="1014"/>
      <w:bookmarkEnd w:id="1015"/>
      <w:bookmarkEnd w:id="1016"/>
    </w:p>
    <w:p w:rsidR="00AE0B1A" w:rsidRDefault="00AE0B1A" w:rsidP="00AE0B1A">
      <w:pPr>
        <w:pStyle w:val="BodyText"/>
      </w:pPr>
      <w:r>
        <w:t>One area</w:t>
      </w:r>
      <w:r w:rsidRPr="00C94C2F">
        <w:t xml:space="preserve"> </w:t>
      </w:r>
      <w:r>
        <w:t>of the Petrel Sub-basin was classified as Possible for CO</w:t>
      </w:r>
      <w:r w:rsidRPr="009D5B2E">
        <w:rPr>
          <w:rStyle w:val="Subscript"/>
        </w:rPr>
        <w:t>2</w:t>
      </w:r>
      <w:r>
        <w:t xml:space="preserve"> geological storage (</w:t>
      </w:r>
      <w:r>
        <w:fldChar w:fldCharType="begin"/>
      </w:r>
      <w:r>
        <w:instrText xml:space="preserve"> REF _Ref372288945 \h </w:instrText>
      </w:r>
      <w:r>
        <w:fldChar w:fldCharType="separate"/>
      </w:r>
      <w:r w:rsidR="00F64E4F">
        <w:t xml:space="preserve">Figure </w:t>
      </w:r>
      <w:r w:rsidR="00F64E4F">
        <w:rPr>
          <w:noProof/>
        </w:rPr>
        <w:t>8</w:t>
      </w:r>
      <w:r w:rsidR="00F64E4F">
        <w:t>.</w:t>
      </w:r>
      <w:r w:rsidR="00F64E4F">
        <w:rPr>
          <w:noProof/>
        </w:rPr>
        <w:t>1</w:t>
      </w:r>
      <w:r>
        <w:fldChar w:fldCharType="end"/>
      </w:r>
      <w:r>
        <w:t xml:space="preserve">). This area occurs only </w:t>
      </w:r>
      <w:r w:rsidRPr="00C94C2F">
        <w:t xml:space="preserve">where </w:t>
      </w:r>
      <w:r>
        <w:t>a single reservoir-seal pair exists</w:t>
      </w:r>
      <w:r w:rsidRPr="00C94C2F">
        <w:t xml:space="preserve">. Well and seismic data </w:t>
      </w:r>
      <w:r>
        <w:t>indicate</w:t>
      </w:r>
      <w:r w:rsidRPr="00C94C2F">
        <w:t xml:space="preserve"> that a single reservoir, from the lowermost Plover Formation through to the </w:t>
      </w:r>
      <w:r w:rsidRPr="002C2490">
        <w:t>top of the Sandpiper Sandstone</w:t>
      </w:r>
      <w:r>
        <w:t>,</w:t>
      </w:r>
      <w:r w:rsidRPr="002C2490">
        <w:t xml:space="preserve"> exist</w:t>
      </w:r>
      <w:r>
        <w:t>s</w:t>
      </w:r>
      <w:r w:rsidRPr="002C2490">
        <w:t xml:space="preserve"> in this </w:t>
      </w:r>
      <w:r>
        <w:t>area</w:t>
      </w:r>
      <w:r w:rsidRPr="002C2490">
        <w:t xml:space="preserve"> and </w:t>
      </w:r>
      <w:r>
        <w:t xml:space="preserve">is </w:t>
      </w:r>
      <w:r w:rsidRPr="002C2490">
        <w:t xml:space="preserve">sealed by the </w:t>
      </w:r>
      <w:r>
        <w:t xml:space="preserve">overlying </w:t>
      </w:r>
      <w:r w:rsidRPr="002C2490">
        <w:t xml:space="preserve">Bathurst Island Group. The geological model </w:t>
      </w:r>
      <w:r>
        <w:t>predicts that</w:t>
      </w:r>
      <w:r w:rsidRPr="002C2490">
        <w:t xml:space="preserve"> the reservoir quality </w:t>
      </w:r>
      <w:r>
        <w:t xml:space="preserve">is </w:t>
      </w:r>
      <w:r w:rsidRPr="002C2490">
        <w:t>good</w:t>
      </w:r>
      <w:r w:rsidRPr="00367911">
        <w:t xml:space="preserve"> to</w:t>
      </w:r>
      <w:r w:rsidRPr="002C2490">
        <w:t xml:space="preserve"> excellent for injection</w:t>
      </w:r>
      <w:r>
        <w:t xml:space="preserve">, </w:t>
      </w:r>
      <w:r w:rsidRPr="002C2490">
        <w:t xml:space="preserve">based on the well data at </w:t>
      </w:r>
      <w:r w:rsidRPr="00F75FB9">
        <w:t>Bougainville 1</w:t>
      </w:r>
      <w:r w:rsidRPr="002C2490">
        <w:t xml:space="preserve"> and </w:t>
      </w:r>
      <w:r w:rsidRPr="00F75FB9">
        <w:t>Flat Top 1</w:t>
      </w:r>
      <w:r w:rsidRPr="002C2490">
        <w:t xml:space="preserve">. Seismic mapping shows the Bathurst Island Group is still present as a thick, continuous mudstone across this area. Therefore, given that this area comprises a good reservoir and effective seal, it </w:t>
      </w:r>
      <w:r>
        <w:t>is a</w:t>
      </w:r>
      <w:r w:rsidRPr="002C2490">
        <w:t xml:space="preserve"> plausible site for CO</w:t>
      </w:r>
      <w:r w:rsidRPr="009D5B2E">
        <w:rPr>
          <w:rStyle w:val="Subscript"/>
        </w:rPr>
        <w:t>2</w:t>
      </w:r>
      <w:r w:rsidRPr="002C2490">
        <w:t xml:space="preserve"> </w:t>
      </w:r>
      <w:r>
        <w:t xml:space="preserve">geological </w:t>
      </w:r>
      <w:r w:rsidRPr="002C2490">
        <w:t xml:space="preserve">storage </w:t>
      </w:r>
      <w:r>
        <w:t>despite consisting</w:t>
      </w:r>
      <w:r w:rsidRPr="002C2490">
        <w:t xml:space="preserve"> of a single reservoir-seal pair. </w:t>
      </w:r>
      <w:r>
        <w:t xml:space="preserve">In addition, </w:t>
      </w:r>
      <w:r w:rsidRPr="002C2490">
        <w:t xml:space="preserve">much of the area </w:t>
      </w:r>
      <w:r>
        <w:t>classified as Possible for CO</w:t>
      </w:r>
      <w:r w:rsidRPr="009D5B2E">
        <w:rPr>
          <w:rStyle w:val="Subscript"/>
        </w:rPr>
        <w:t>2</w:t>
      </w:r>
      <w:r>
        <w:t xml:space="preserve"> geological storage </w:t>
      </w:r>
      <w:r w:rsidRPr="002C2490">
        <w:t xml:space="preserve">is proximal to the supercritical </w:t>
      </w:r>
      <w:r>
        <w:t>CO</w:t>
      </w:r>
      <w:r w:rsidRPr="009D5B2E">
        <w:rPr>
          <w:rStyle w:val="Subscript"/>
        </w:rPr>
        <w:t>2</w:t>
      </w:r>
      <w:r>
        <w:t xml:space="preserve"> </w:t>
      </w:r>
      <w:r w:rsidRPr="002C2490">
        <w:t>boundary depth</w:t>
      </w:r>
      <w:r>
        <w:t xml:space="preserve"> of 800 m. This increases the likelihood that a CO</w:t>
      </w:r>
      <w:r w:rsidRPr="009D5B2E">
        <w:rPr>
          <w:rStyle w:val="Subscript"/>
        </w:rPr>
        <w:t>2</w:t>
      </w:r>
      <w:r>
        <w:t xml:space="preserve"> plume could migrate into shallow depths and the </w:t>
      </w:r>
      <w:r w:rsidRPr="003E7003">
        <w:t>CO</w:t>
      </w:r>
      <w:r w:rsidRPr="009D5B2E">
        <w:rPr>
          <w:rStyle w:val="Subscript"/>
        </w:rPr>
        <w:t>2</w:t>
      </w:r>
      <w:r>
        <w:t xml:space="preserve"> could transform from a supercritical phase into a sub-critical phase. This</w:t>
      </w:r>
      <w:r w:rsidRPr="00C94C2F">
        <w:t xml:space="preserve"> reduc</w:t>
      </w:r>
      <w:r>
        <w:t>es</w:t>
      </w:r>
      <w:r w:rsidRPr="00C94C2F">
        <w:t xml:space="preserve"> the overall </w:t>
      </w:r>
      <w:r>
        <w:t xml:space="preserve">storage </w:t>
      </w:r>
      <w:r w:rsidRPr="00C94C2F">
        <w:t>efficiency for the</w:t>
      </w:r>
      <w:r>
        <w:t xml:space="preserve"> </w:t>
      </w:r>
      <w:r w:rsidRPr="00C94C2F">
        <w:t>reservoir</w:t>
      </w:r>
      <w:r>
        <w:t>s in this location.</w:t>
      </w:r>
    </w:p>
    <w:p w:rsidR="00AE0B1A" w:rsidRPr="0084278C" w:rsidRDefault="00AE0B1A" w:rsidP="00AE0B1A">
      <w:pPr>
        <w:pStyle w:val="Heading2"/>
      </w:pPr>
      <w:bookmarkStart w:id="1017" w:name="_Toc372790319"/>
      <w:bookmarkStart w:id="1018" w:name="_Toc378252911"/>
      <w:bookmarkStart w:id="1019" w:name="_Toc378253235"/>
      <w:bookmarkStart w:id="1020" w:name="_Toc378253559"/>
      <w:bookmarkStart w:id="1021" w:name="_Toc378253883"/>
      <w:bookmarkStart w:id="1022" w:name="_Toc378254207"/>
      <w:bookmarkStart w:id="1023" w:name="_Toc378254531"/>
      <w:bookmarkStart w:id="1024" w:name="_Toc378254855"/>
      <w:bookmarkStart w:id="1025" w:name="_Toc378255179"/>
      <w:bookmarkStart w:id="1026" w:name="_Toc383758237"/>
      <w:r w:rsidRPr="0084278C">
        <w:t>Unlikely</w:t>
      </w:r>
      <w:bookmarkEnd w:id="1017"/>
      <w:bookmarkEnd w:id="1018"/>
      <w:bookmarkEnd w:id="1019"/>
      <w:bookmarkEnd w:id="1020"/>
      <w:bookmarkEnd w:id="1021"/>
      <w:bookmarkEnd w:id="1022"/>
      <w:bookmarkEnd w:id="1023"/>
      <w:bookmarkEnd w:id="1024"/>
      <w:bookmarkEnd w:id="1025"/>
      <w:bookmarkEnd w:id="1026"/>
    </w:p>
    <w:p w:rsidR="00AE0B1A" w:rsidRDefault="00AE0B1A" w:rsidP="00AE0B1A">
      <w:pPr>
        <w:pStyle w:val="BodyText"/>
      </w:pPr>
      <w:r>
        <w:t>T</w:t>
      </w:r>
      <w:r w:rsidRPr="00C94C2F">
        <w:t xml:space="preserve">he </w:t>
      </w:r>
      <w:r>
        <w:t>remainder of the Petrel Sub-basin</w:t>
      </w:r>
      <w:r w:rsidRPr="00C94C2F">
        <w:t xml:space="preserve"> </w:t>
      </w:r>
      <w:r>
        <w:t xml:space="preserve">reservoirs are </w:t>
      </w:r>
      <w:r w:rsidRPr="00C94C2F">
        <w:t xml:space="preserve">shallower than the 800 m supercritical </w:t>
      </w:r>
      <w:r>
        <w:t>CO</w:t>
      </w:r>
      <w:r w:rsidRPr="009D5B2E">
        <w:rPr>
          <w:rStyle w:val="Subscript"/>
        </w:rPr>
        <w:t>2</w:t>
      </w:r>
      <w:r>
        <w:t xml:space="preserve"> </w:t>
      </w:r>
      <w:r w:rsidRPr="00C94C2F">
        <w:t xml:space="preserve">depth and </w:t>
      </w:r>
      <w:r>
        <w:t>have been classified as U</w:t>
      </w:r>
      <w:r w:rsidRPr="00C94C2F">
        <w:t>nlikely</w:t>
      </w:r>
      <w:r>
        <w:t xml:space="preserve"> for CO</w:t>
      </w:r>
      <w:r w:rsidRPr="009D5B2E">
        <w:rPr>
          <w:rStyle w:val="Subscript"/>
        </w:rPr>
        <w:t>2</w:t>
      </w:r>
      <w:r>
        <w:t xml:space="preserve"> geological storage (</w:t>
      </w:r>
      <w:r w:rsidR="00AC3742">
        <w:fldChar w:fldCharType="begin"/>
      </w:r>
      <w:r w:rsidR="00AC3742">
        <w:instrText xml:space="preserve"> REF _Ref372288945 \h </w:instrText>
      </w:r>
      <w:r w:rsidR="00AC3742">
        <w:fldChar w:fldCharType="separate"/>
      </w:r>
      <w:r w:rsidR="00F64E4F">
        <w:t xml:space="preserve">Figure </w:t>
      </w:r>
      <w:r w:rsidR="00F64E4F">
        <w:rPr>
          <w:noProof/>
        </w:rPr>
        <w:t>8</w:t>
      </w:r>
      <w:r w:rsidR="00F64E4F">
        <w:t>.</w:t>
      </w:r>
      <w:r w:rsidR="00F64E4F">
        <w:rPr>
          <w:noProof/>
        </w:rPr>
        <w:t>1</w:t>
      </w:r>
      <w:r w:rsidR="00AC3742">
        <w:fldChar w:fldCharType="end"/>
      </w:r>
      <w:r>
        <w:t>).</w:t>
      </w:r>
      <w:r w:rsidRPr="00C94C2F">
        <w:t xml:space="preserve"> </w:t>
      </w:r>
      <w:r>
        <w:t>H</w:t>
      </w:r>
      <w:r w:rsidRPr="00C94C2F">
        <w:t>owever, CO</w:t>
      </w:r>
      <w:r w:rsidRPr="009D5B2E">
        <w:rPr>
          <w:rStyle w:val="Subscript"/>
        </w:rPr>
        <w:t>2</w:t>
      </w:r>
      <w:r w:rsidRPr="00C94C2F">
        <w:t xml:space="preserve"> </w:t>
      </w:r>
      <w:r>
        <w:t xml:space="preserve">geological </w:t>
      </w:r>
      <w:r w:rsidRPr="00C94C2F">
        <w:lastRenderedPageBreak/>
        <w:t>storage is still technologically feasible</w:t>
      </w:r>
      <w:r>
        <w:t xml:space="preserve"> above 800 m</w:t>
      </w:r>
      <w:r w:rsidRPr="00C94C2F">
        <w:t xml:space="preserve"> </w:t>
      </w:r>
      <w:r>
        <w:t>depth if the plume can be permanently trapped and does not migrate to the large basin-bounding faults where there is a higher risk of leakage.</w:t>
      </w:r>
    </w:p>
    <w:p w:rsidR="00AE0B1A" w:rsidRPr="0084278C" w:rsidRDefault="00AE0B1A" w:rsidP="00AE0B1A">
      <w:pPr>
        <w:pStyle w:val="Heading2"/>
      </w:pPr>
      <w:bookmarkStart w:id="1027" w:name="_Toc372790320"/>
      <w:bookmarkStart w:id="1028" w:name="_Toc378252912"/>
      <w:bookmarkStart w:id="1029" w:name="_Toc378253236"/>
      <w:bookmarkStart w:id="1030" w:name="_Toc378253560"/>
      <w:bookmarkStart w:id="1031" w:name="_Toc378253884"/>
      <w:bookmarkStart w:id="1032" w:name="_Toc378254208"/>
      <w:bookmarkStart w:id="1033" w:name="_Toc378254532"/>
      <w:bookmarkStart w:id="1034" w:name="_Toc378254856"/>
      <w:bookmarkStart w:id="1035" w:name="_Toc378255180"/>
      <w:bookmarkStart w:id="1036" w:name="_Toc383758238"/>
      <w:r w:rsidRPr="0084278C">
        <w:t>Remaining Uncertainty</w:t>
      </w:r>
      <w:bookmarkEnd w:id="1027"/>
      <w:bookmarkEnd w:id="1028"/>
      <w:bookmarkEnd w:id="1029"/>
      <w:bookmarkEnd w:id="1030"/>
      <w:bookmarkEnd w:id="1031"/>
      <w:bookmarkEnd w:id="1032"/>
      <w:bookmarkEnd w:id="1033"/>
      <w:bookmarkEnd w:id="1034"/>
      <w:bookmarkEnd w:id="1035"/>
      <w:bookmarkEnd w:id="1036"/>
    </w:p>
    <w:p w:rsidR="00AE0B1A" w:rsidRPr="00C94C2F" w:rsidRDefault="00AE0B1A" w:rsidP="00AE0B1A">
      <w:pPr>
        <w:pStyle w:val="BodyText"/>
      </w:pPr>
      <w:r>
        <w:t xml:space="preserve">Although the </w:t>
      </w:r>
      <w:r w:rsidRPr="00C94C2F">
        <w:t xml:space="preserve">polygonal faulting </w:t>
      </w:r>
      <w:r>
        <w:t>in</w:t>
      </w:r>
      <w:r w:rsidRPr="00C94C2F">
        <w:t xml:space="preserve"> the Bathurst Island Group </w:t>
      </w:r>
      <w:r>
        <w:t xml:space="preserve">has been studied in detail and the potential that the </w:t>
      </w:r>
      <w:r w:rsidRPr="00C94C2F">
        <w:t xml:space="preserve">faults </w:t>
      </w:r>
      <w:r>
        <w:t>may</w:t>
      </w:r>
      <w:r w:rsidRPr="00C94C2F">
        <w:t xml:space="preserve"> compromise</w:t>
      </w:r>
      <w:r>
        <w:t xml:space="preserve"> the regional</w:t>
      </w:r>
      <w:r w:rsidRPr="00C94C2F">
        <w:t xml:space="preserve"> </w:t>
      </w:r>
      <w:r>
        <w:t>seal</w:t>
      </w:r>
      <w:r w:rsidRPr="00C94C2F">
        <w:t xml:space="preserve"> integrity</w:t>
      </w:r>
      <w:r>
        <w:t xml:space="preserve"> remains unresolved, </w:t>
      </w:r>
      <w:r w:rsidRPr="00C94C2F">
        <w:t xml:space="preserve">it </w:t>
      </w:r>
      <w:r>
        <w:t>is</w:t>
      </w:r>
      <w:r w:rsidRPr="00C94C2F">
        <w:t xml:space="preserve"> concluded that the Bathurst Island is still an effective regional seal</w:t>
      </w:r>
      <w:r>
        <w:t>. This finding is</w:t>
      </w:r>
      <w:r w:rsidRPr="00D3646F">
        <w:t xml:space="preserve"> </w:t>
      </w:r>
      <w:r>
        <w:t>b</w:t>
      </w:r>
      <w:r w:rsidRPr="00C94C2F">
        <w:t xml:space="preserve">ased on the existing data coverage and current </w:t>
      </w:r>
      <w:r>
        <w:t xml:space="preserve">general </w:t>
      </w:r>
      <w:r w:rsidRPr="00C94C2F">
        <w:t xml:space="preserve">knowledge of polygonal faults. As </w:t>
      </w:r>
      <w:r>
        <w:t>described</w:t>
      </w:r>
      <w:r w:rsidRPr="00C94C2F">
        <w:t xml:space="preserve"> in </w:t>
      </w:r>
      <w:r>
        <w:t>Appendix N</w:t>
      </w:r>
      <w:r w:rsidRPr="00C94C2F">
        <w:t xml:space="preserve">, the evidence of polygonal faults extending into the </w:t>
      </w:r>
      <w:r>
        <w:t>Sandpiper Sandstone</w:t>
      </w:r>
      <w:r w:rsidRPr="00C94C2F">
        <w:t xml:space="preserve"> was inconclusive and the fault density distribution suggests faulting dissipates towards the critical reservoir-seal </w:t>
      </w:r>
      <w:r>
        <w:t>boundary</w:t>
      </w:r>
      <w:r w:rsidRPr="00C94C2F">
        <w:t xml:space="preserve">. It should be noted that </w:t>
      </w:r>
      <w:r>
        <w:t xml:space="preserve">across the majority of the Petrel Sub-basin, the </w:t>
      </w:r>
      <w:r w:rsidRPr="00C94C2F">
        <w:t>polygonal fault</w:t>
      </w:r>
      <w:r>
        <w:t>ing</w:t>
      </w:r>
      <w:r w:rsidRPr="00C94C2F">
        <w:t xml:space="preserve"> only occurs in the lower section of the Bathurst Island Group and does not extend to the top of the formation.</w:t>
      </w:r>
      <w:r>
        <w:t xml:space="preserve"> On the shallow margins, there is some evidence of polygonal faulting in the top section of the Bathurst Island Group, although further work is required to define the total extent.</w:t>
      </w:r>
      <w:r w:rsidRPr="00C94C2F">
        <w:t xml:space="preserve"> The marine surveys </w:t>
      </w:r>
      <w:r>
        <w:t>conducted as part of</w:t>
      </w:r>
      <w:r w:rsidRPr="00C94C2F">
        <w:t xml:space="preserve"> this study did not identify any evidence of fluid or hydrocarbon leakage from the deeper formations</w:t>
      </w:r>
      <w:r>
        <w:t xml:space="preserve">, which suggests that the Bathurst Island Group is an effective </w:t>
      </w:r>
      <w:proofErr w:type="spellStart"/>
      <w:r>
        <w:t>caprock</w:t>
      </w:r>
      <w:proofErr w:type="spellEnd"/>
      <w:r>
        <w:t xml:space="preserve"> for fluids in the Mesozoic sections</w:t>
      </w:r>
      <w:r w:rsidRPr="00C94C2F">
        <w:t>.</w:t>
      </w:r>
    </w:p>
    <w:p w:rsidR="00AE0B1A" w:rsidRPr="00C94C2F" w:rsidRDefault="00AE0B1A" w:rsidP="00AE0B1A">
      <w:pPr>
        <w:pStyle w:val="Heading1"/>
      </w:pPr>
      <w:bookmarkStart w:id="1037" w:name="_Toc372790321"/>
      <w:bookmarkStart w:id="1038" w:name="_Toc378252913"/>
      <w:bookmarkStart w:id="1039" w:name="_Toc378253237"/>
      <w:bookmarkStart w:id="1040" w:name="_Toc378253561"/>
      <w:bookmarkStart w:id="1041" w:name="_Toc378253885"/>
      <w:bookmarkStart w:id="1042" w:name="_Toc378254209"/>
      <w:bookmarkStart w:id="1043" w:name="_Toc378254533"/>
      <w:bookmarkStart w:id="1044" w:name="_Toc378254857"/>
      <w:bookmarkStart w:id="1045" w:name="_Toc378255181"/>
      <w:bookmarkStart w:id="1046" w:name="_Toc383758239"/>
      <w:r w:rsidRPr="006B5A62">
        <w:lastRenderedPageBreak/>
        <w:t>Conclusions</w:t>
      </w:r>
      <w:bookmarkEnd w:id="1037"/>
      <w:bookmarkEnd w:id="1038"/>
      <w:bookmarkEnd w:id="1039"/>
      <w:bookmarkEnd w:id="1040"/>
      <w:bookmarkEnd w:id="1041"/>
      <w:bookmarkEnd w:id="1042"/>
      <w:bookmarkEnd w:id="1043"/>
      <w:bookmarkEnd w:id="1044"/>
      <w:bookmarkEnd w:id="1045"/>
      <w:bookmarkEnd w:id="1046"/>
    </w:p>
    <w:p w:rsidR="00AE0B1A" w:rsidRDefault="00AE0B1A" w:rsidP="00AE0B1A">
      <w:pPr>
        <w:pStyle w:val="BodyText"/>
      </w:pPr>
      <w:r>
        <w:t xml:space="preserve">The Petrel Sub-basin is suitable for the geological storage of </w:t>
      </w:r>
      <w:r w:rsidRPr="003E7003">
        <w:t>CO</w:t>
      </w:r>
      <w:r w:rsidRPr="009D5B2E">
        <w:rPr>
          <w:rStyle w:val="Subscript"/>
        </w:rPr>
        <w:t>2</w:t>
      </w:r>
      <w:r>
        <w:t>. Acquisition of pre-competitive data and a comprehensive analysis of the sub-basin geology identified t</w:t>
      </w:r>
      <w:r w:rsidRPr="00C94C2F">
        <w:t>wo</w:t>
      </w:r>
      <w:r>
        <w:t xml:space="preserve"> Mesozoic</w:t>
      </w:r>
      <w:r w:rsidRPr="00C94C2F">
        <w:t xml:space="preserve"> </w:t>
      </w:r>
      <w:r>
        <w:t>r</w:t>
      </w:r>
      <w:r w:rsidRPr="00C94C2F">
        <w:t xml:space="preserve">eservoir-seal </w:t>
      </w:r>
      <w:r>
        <w:t>pairs over the central axis and eastern flank of the s</w:t>
      </w:r>
      <w:r w:rsidRPr="00C94C2F">
        <w:t>ub-basin</w:t>
      </w:r>
      <w:r>
        <w:t xml:space="preserve"> as suitable for CO</w:t>
      </w:r>
      <w:r w:rsidRPr="002E2122">
        <w:rPr>
          <w:rStyle w:val="Subscript"/>
        </w:rPr>
        <w:t>2</w:t>
      </w:r>
      <w:r>
        <w:t xml:space="preserve"> geological storage</w:t>
      </w:r>
      <w:r w:rsidRPr="00C94C2F">
        <w:t>.</w:t>
      </w:r>
      <w:r>
        <w:t xml:space="preserve"> The oldest reservoir-seal pair is the Jurassic reservoir, comprising the </w:t>
      </w:r>
      <w:r w:rsidRPr="00C94C2F">
        <w:t>Plover</w:t>
      </w:r>
      <w:r>
        <w:t xml:space="preserve"> and</w:t>
      </w:r>
      <w:r w:rsidRPr="00C94C2F">
        <w:t xml:space="preserve"> </w:t>
      </w:r>
      <w:proofErr w:type="spellStart"/>
      <w:r w:rsidRPr="00C94C2F">
        <w:t>Elang</w:t>
      </w:r>
      <w:proofErr w:type="spellEnd"/>
      <w:r>
        <w:t xml:space="preserve"> formations and</w:t>
      </w:r>
      <w:r w:rsidRPr="00C94C2F">
        <w:t xml:space="preserve"> </w:t>
      </w:r>
      <w:r>
        <w:t>the lower Frigate Shale, and the Jurassic seal comprising the upper Frigate Shale. The younger reservoir-seal pair comprises the Cretaceous Sandpiper Sandstone reservoir and t</w:t>
      </w:r>
      <w:r w:rsidRPr="00C94C2F">
        <w:t xml:space="preserve">he </w:t>
      </w:r>
      <w:r>
        <w:t xml:space="preserve">Cretaceous </w:t>
      </w:r>
      <w:r w:rsidRPr="00C94C2F">
        <w:t>Bathurst Island Group</w:t>
      </w:r>
      <w:r>
        <w:t xml:space="preserve"> regional seal</w:t>
      </w:r>
      <w:r w:rsidRPr="00C94C2F">
        <w:t>.</w:t>
      </w:r>
      <w:r>
        <w:t xml:space="preserve"> The reservoirs both have sufficient quality and are thick and laterally extensive enough to inject and store </w:t>
      </w:r>
      <w:r w:rsidRPr="003E7003">
        <w:t>CO</w:t>
      </w:r>
      <w:r w:rsidRPr="002E2122">
        <w:rPr>
          <w:rStyle w:val="Subscript"/>
        </w:rPr>
        <w:t>2</w:t>
      </w:r>
      <w:r>
        <w:t xml:space="preserve"> at a large-scale (multiple MTPA). The Bathurst Island Group seal was determined to be an effective regional seal being both laterally extensive and able to hold back the expected </w:t>
      </w:r>
      <w:r w:rsidRPr="003E7003">
        <w:t>CO</w:t>
      </w:r>
      <w:r w:rsidRPr="002E2122">
        <w:rPr>
          <w:rStyle w:val="Subscript"/>
        </w:rPr>
        <w:t>2</w:t>
      </w:r>
      <w:r>
        <w:t xml:space="preserve"> column height of the reservoirs below. This study has concluded that the upper Frigate Shale is an effective seal, despite some remaining unknowns regarding its quality and extent.</w:t>
      </w:r>
    </w:p>
    <w:p w:rsidR="00AE0B1A" w:rsidRDefault="00AE0B1A" w:rsidP="00AE0B1A">
      <w:pPr>
        <w:pStyle w:val="BodyText"/>
      </w:pPr>
      <w:r>
        <w:t xml:space="preserve">A </w:t>
      </w:r>
      <w:proofErr w:type="spellStart"/>
      <w:r>
        <w:t>geomechanical</w:t>
      </w:r>
      <w:proofErr w:type="spellEnd"/>
      <w:r>
        <w:t xml:space="preserve"> study of the major tectonic faults in the sub-basin reveals that, under the current stress regime, these do not compromise the integrity of the seals for CO</w:t>
      </w:r>
      <w:r w:rsidRPr="009D5B2E">
        <w:rPr>
          <w:rStyle w:val="Subscript"/>
        </w:rPr>
        <w:t>2</w:t>
      </w:r>
      <w:r>
        <w:t xml:space="preserve"> geological storage, with the higher risk faults located on the outer or marginal areas of the sub-basin. Importantly, very high pore pressures (greater than 5 </w:t>
      </w:r>
      <w:proofErr w:type="spellStart"/>
      <w:r>
        <w:t>MPa</w:t>
      </w:r>
      <w:proofErr w:type="spellEnd"/>
      <w:r>
        <w:t>) are required to induce failure the in the faults in the most prospective parts of the sub-basin.</w:t>
      </w:r>
      <w:r w:rsidRPr="00767274">
        <w:t xml:space="preserve"> </w:t>
      </w:r>
      <w:r>
        <w:t>Extensive polygonal faulting within the layers of the Bathurst Island Group may compromise the integrity of the lower section of the seal. However, further analysis is needed to fully understand their impact on the seal properties. No compelling link was found between faulting and geochemical or physical evidence of fluid migration or surface leakage, suggesting that the faults do not propagate through the Bathurst Island Group regional seal.</w:t>
      </w:r>
    </w:p>
    <w:p w:rsidR="00AE0B1A" w:rsidRDefault="00AE0B1A" w:rsidP="00AE0B1A">
      <w:pPr>
        <w:pStyle w:val="BodyText"/>
      </w:pPr>
      <w:r>
        <w:t>Dynamic reservoir simulations show that migration-assisted trapping is the dominant CO</w:t>
      </w:r>
      <w:r w:rsidRPr="009D5B2E">
        <w:rPr>
          <w:rStyle w:val="Subscript"/>
        </w:rPr>
        <w:t>2</w:t>
      </w:r>
      <w:r>
        <w:t xml:space="preserve"> trapping mechanism in both plays, with residual and dissolution trapping mechanisms the dominant process for permanent storage. CO</w:t>
      </w:r>
      <w:r w:rsidRPr="009D5B2E">
        <w:rPr>
          <w:rStyle w:val="Subscript"/>
        </w:rPr>
        <w:t>2</w:t>
      </w:r>
      <w:r>
        <w:t xml:space="preserve"> injection reservoir simulations predict that </w:t>
      </w:r>
      <w:r w:rsidRPr="00C94C2F">
        <w:t xml:space="preserve">a total of </w:t>
      </w:r>
      <w:r>
        <w:t>420</w:t>
      </w:r>
      <w:r w:rsidRPr="00C94C2F">
        <w:t xml:space="preserve"> </w:t>
      </w:r>
      <w:r>
        <w:t>MT</w:t>
      </w:r>
      <w:r w:rsidRPr="00C94C2F">
        <w:t xml:space="preserve"> </w:t>
      </w:r>
      <w:r>
        <w:t>of CO</w:t>
      </w:r>
      <w:r w:rsidRPr="009D5B2E">
        <w:rPr>
          <w:rStyle w:val="Subscript"/>
        </w:rPr>
        <w:t>2</w:t>
      </w:r>
      <w:r>
        <w:t xml:space="preserve"> can be injected into Jurassic reservoir</w:t>
      </w:r>
      <w:r w:rsidRPr="008713E0">
        <w:t xml:space="preserve"> </w:t>
      </w:r>
      <w:r w:rsidRPr="00C94C2F">
        <w:t xml:space="preserve">at a rate of 14 </w:t>
      </w:r>
      <w:r>
        <w:t>MTPA</w:t>
      </w:r>
      <w:r w:rsidRPr="00C94C2F">
        <w:t xml:space="preserve"> over 30 years</w:t>
      </w:r>
      <w:r>
        <w:t xml:space="preserve">, a rate commensurate with the predicted emissions from </w:t>
      </w:r>
      <w:r w:rsidRPr="00C94C2F">
        <w:t xml:space="preserve">the Darwin </w:t>
      </w:r>
      <w:r>
        <w:t>LNG hub</w:t>
      </w:r>
      <w:r w:rsidRPr="00C94C2F">
        <w:t xml:space="preserve"> in 2020 by the </w:t>
      </w:r>
      <w:r>
        <w:rPr>
          <w:noProof/>
        </w:rPr>
        <w:t xml:space="preserve">Carbon Storage Taskforce (2009). </w:t>
      </w:r>
      <w:r>
        <w:t>A second simulation predicts that an a</w:t>
      </w:r>
      <w:r w:rsidRPr="00C94C2F">
        <w:t>dditional</w:t>
      </w:r>
      <w:r>
        <w:t xml:space="preserve"> total</w:t>
      </w:r>
      <w:r w:rsidRPr="00C94C2F">
        <w:t xml:space="preserve"> 150 </w:t>
      </w:r>
      <w:r>
        <w:t>MT</w:t>
      </w:r>
      <w:r w:rsidRPr="00C94C2F">
        <w:t xml:space="preserve"> </w:t>
      </w:r>
      <w:r>
        <w:t>of CO</w:t>
      </w:r>
      <w:r w:rsidRPr="009D5B2E">
        <w:rPr>
          <w:rStyle w:val="Subscript"/>
        </w:rPr>
        <w:t>2</w:t>
      </w:r>
      <w:r>
        <w:t xml:space="preserve"> can be injected </w:t>
      </w:r>
      <w:r w:rsidRPr="00C94C2F">
        <w:t xml:space="preserve">into the </w:t>
      </w:r>
      <w:r>
        <w:t>Cretaceous reservoir</w:t>
      </w:r>
      <w:r w:rsidRPr="00C94C2F">
        <w:t>.</w:t>
      </w:r>
      <w:r>
        <w:t xml:space="preserve"> After </w:t>
      </w:r>
      <w:r w:rsidRPr="00B80DF5">
        <w:t xml:space="preserve">100 years over 50% of the </w:t>
      </w:r>
      <w:r w:rsidRPr="003E7003">
        <w:t>CO</w:t>
      </w:r>
      <w:r w:rsidRPr="009D5B2E">
        <w:rPr>
          <w:rStyle w:val="Subscript"/>
        </w:rPr>
        <w:t>2</w:t>
      </w:r>
      <w:r>
        <w:t xml:space="preserve"> is</w:t>
      </w:r>
      <w:r w:rsidRPr="00B80DF5">
        <w:t xml:space="preserve"> permanently trapped through residual and dissolution processes</w:t>
      </w:r>
      <w:r>
        <w:t>,</w:t>
      </w:r>
      <w:r w:rsidRPr="00B80DF5">
        <w:t xml:space="preserve"> and after 1,700 years, over 83% of the total injected </w:t>
      </w:r>
      <w:r w:rsidRPr="003E7003">
        <w:t>CO</w:t>
      </w:r>
      <w:r w:rsidRPr="009D5B2E">
        <w:rPr>
          <w:rStyle w:val="Subscript"/>
        </w:rPr>
        <w:t>2</w:t>
      </w:r>
      <w:r>
        <w:t xml:space="preserve"> is</w:t>
      </w:r>
      <w:r w:rsidRPr="00B80DF5">
        <w:t xml:space="preserve"> trapped.</w:t>
      </w:r>
      <w:r>
        <w:t xml:space="preserve"> </w:t>
      </w:r>
      <w:r w:rsidRPr="00C94C2F">
        <w:t>When taking into account the spatial and physical properties</w:t>
      </w:r>
      <w:r>
        <w:t xml:space="preserve"> of the reservoirs and seals</w:t>
      </w:r>
      <w:r w:rsidRPr="00C94C2F">
        <w:t>, the combined effective storage capacity of the two reservoirs</w:t>
      </w:r>
      <w:r>
        <w:t>,</w:t>
      </w:r>
      <w:r w:rsidRPr="00C94C2F">
        <w:t xml:space="preserve"> using the methodology of </w:t>
      </w:r>
      <w:r>
        <w:rPr>
          <w:noProof/>
        </w:rPr>
        <w:t>Bradshaw et al. (2009),</w:t>
      </w:r>
      <w:r>
        <w:t xml:space="preserve"> was 15,930 MT (P50 or best estimate)</w:t>
      </w:r>
      <w:r w:rsidRPr="00C94C2F">
        <w:t xml:space="preserve">. </w:t>
      </w:r>
    </w:p>
    <w:p w:rsidR="00AE0B1A" w:rsidRDefault="00AE0B1A" w:rsidP="00AE0B1A">
      <w:pPr>
        <w:pStyle w:val="BodyText"/>
      </w:pPr>
      <w:r>
        <w:t>The combined results of this study were used to assess the reservoir and seal quality throughout the Petrel S</w:t>
      </w:r>
      <w:r w:rsidRPr="00C94C2F">
        <w:t>ub-basin</w:t>
      </w:r>
      <w:r>
        <w:t>. This assessment identified an area Highly Suitable for CO</w:t>
      </w:r>
      <w:r w:rsidRPr="009D5B2E">
        <w:rPr>
          <w:rStyle w:val="Subscript"/>
        </w:rPr>
        <w:t>2</w:t>
      </w:r>
      <w:r>
        <w:t xml:space="preserve"> storage in the centre </w:t>
      </w:r>
      <w:r w:rsidRPr="00C94C2F">
        <w:t xml:space="preserve">of the </w:t>
      </w:r>
      <w:r>
        <w:t>s</w:t>
      </w:r>
      <w:r w:rsidRPr="00C94C2F">
        <w:t>ub-basin</w:t>
      </w:r>
      <w:r>
        <w:t>,</w:t>
      </w:r>
      <w:r w:rsidRPr="00EE3D76">
        <w:t xml:space="preserve"> </w:t>
      </w:r>
      <w:r>
        <w:t xml:space="preserve">comprising around 27% of the study area and </w:t>
      </w:r>
      <w:r w:rsidRPr="00C94C2F">
        <w:t>extending between 50-70 km to the north, east and south of the Petrel gas fie</w:t>
      </w:r>
      <w:r>
        <w:t xml:space="preserve">ld. This study of the Petrel Sub-basin adds to the ongoing progress of understanding the </w:t>
      </w:r>
      <w:r w:rsidRPr="003E7003">
        <w:t>CO</w:t>
      </w:r>
      <w:r w:rsidRPr="002E2122">
        <w:rPr>
          <w:rStyle w:val="Subscript"/>
        </w:rPr>
        <w:t>2</w:t>
      </w:r>
      <w:r>
        <w:t xml:space="preserve"> storage potential of Australia’s sedimentary basins and to the development of the CCS industry. </w:t>
      </w:r>
    </w:p>
    <w:p w:rsidR="00AE0B1A" w:rsidRPr="00C94C2F" w:rsidRDefault="00AE0B1A" w:rsidP="00AE0B1A">
      <w:pPr>
        <w:pStyle w:val="Heading1"/>
      </w:pPr>
      <w:bookmarkStart w:id="1047" w:name="_Toc372790322"/>
      <w:bookmarkStart w:id="1048" w:name="_Toc378252914"/>
      <w:bookmarkStart w:id="1049" w:name="_Toc378253238"/>
      <w:bookmarkStart w:id="1050" w:name="_Toc378253562"/>
      <w:bookmarkStart w:id="1051" w:name="_Toc378253886"/>
      <w:bookmarkStart w:id="1052" w:name="_Toc378254210"/>
      <w:bookmarkStart w:id="1053" w:name="_Toc378254534"/>
      <w:bookmarkStart w:id="1054" w:name="_Toc378254858"/>
      <w:bookmarkStart w:id="1055" w:name="_Toc378255182"/>
      <w:bookmarkStart w:id="1056" w:name="_Toc383758240"/>
      <w:r w:rsidRPr="006B5A62">
        <w:lastRenderedPageBreak/>
        <w:t>Acknowledgements</w:t>
      </w:r>
      <w:bookmarkEnd w:id="1047"/>
      <w:bookmarkEnd w:id="1048"/>
      <w:bookmarkEnd w:id="1049"/>
      <w:bookmarkEnd w:id="1050"/>
      <w:bookmarkEnd w:id="1051"/>
      <w:bookmarkEnd w:id="1052"/>
      <w:bookmarkEnd w:id="1053"/>
      <w:bookmarkEnd w:id="1054"/>
      <w:bookmarkEnd w:id="1055"/>
      <w:bookmarkEnd w:id="1056"/>
    </w:p>
    <w:p w:rsidR="00C11560" w:rsidRPr="00C94C2F" w:rsidRDefault="00AE0B1A" w:rsidP="00C11560">
      <w:pPr>
        <w:pStyle w:val="BodyText"/>
      </w:pPr>
      <w:r w:rsidRPr="00C94C2F">
        <w:t xml:space="preserve">Firstly, the authors thank Alfredo </w:t>
      </w:r>
      <w:proofErr w:type="spellStart"/>
      <w:r w:rsidRPr="00C94C2F">
        <w:t>Chirinos</w:t>
      </w:r>
      <w:proofErr w:type="spellEnd"/>
      <w:r w:rsidRPr="00C94C2F">
        <w:t xml:space="preserve"> who designed </w:t>
      </w:r>
      <w:r>
        <w:t>the initial</w:t>
      </w:r>
      <w:r w:rsidRPr="00C94C2F">
        <w:t xml:space="preserve"> study</w:t>
      </w:r>
      <w:r>
        <w:t xml:space="preserve"> and for</w:t>
      </w:r>
      <w:r w:rsidRPr="00C94C2F">
        <w:t xml:space="preserve"> providing mentorship </w:t>
      </w:r>
      <w:r>
        <w:t>throughout the project</w:t>
      </w:r>
      <w:r w:rsidRPr="00C94C2F">
        <w:t xml:space="preserve">. </w:t>
      </w:r>
      <w:r w:rsidRPr="004922A8">
        <w:t xml:space="preserve">The authors thank Anne Fleming, Leonie Jones, Andrea </w:t>
      </w:r>
      <w:proofErr w:type="spellStart"/>
      <w:r w:rsidRPr="004922A8">
        <w:t>Cortese</w:t>
      </w:r>
      <w:proofErr w:type="spellEnd"/>
      <w:r w:rsidRPr="004922A8">
        <w:t xml:space="preserve">, </w:t>
      </w:r>
      <w:r>
        <w:t xml:space="preserve">and </w:t>
      </w:r>
      <w:r w:rsidRPr="004922A8">
        <w:t>Morgan T</w:t>
      </w:r>
      <w:r>
        <w:t>ully for assisting with planning</w:t>
      </w:r>
      <w:r w:rsidRPr="00F72377">
        <w:t xml:space="preserve"> </w:t>
      </w:r>
      <w:r w:rsidRPr="004922A8">
        <w:t>the GA336 seismic survey</w:t>
      </w:r>
      <w:r>
        <w:t xml:space="preserve"> and also processing of the data collected.</w:t>
      </w:r>
      <w:r w:rsidRPr="004922A8">
        <w:t xml:space="preserve"> </w:t>
      </w:r>
      <w:r>
        <w:t xml:space="preserve">Dr </w:t>
      </w:r>
      <w:r w:rsidRPr="004922A8">
        <w:t xml:space="preserve">Riko Hashimoto, </w:t>
      </w:r>
      <w:r>
        <w:t xml:space="preserve">Dr </w:t>
      </w:r>
      <w:r w:rsidRPr="004922A8">
        <w:t xml:space="preserve">Tony Nicholas, </w:t>
      </w:r>
      <w:r>
        <w:t xml:space="preserve">Dr </w:t>
      </w:r>
      <w:r w:rsidRPr="004922A8">
        <w:t>Andrew Carroll</w:t>
      </w:r>
      <w:r>
        <w:t xml:space="preserve"> are thanked for planning and undertaking the marine survey (SOL5463/GA335)</w:t>
      </w:r>
      <w:r w:rsidRPr="004922A8">
        <w:t xml:space="preserve">. </w:t>
      </w:r>
      <w:r w:rsidRPr="00C94C2F">
        <w:t>The authors extend thanks to the collaborating researchers that contributed to this study</w:t>
      </w:r>
      <w:r>
        <w:t xml:space="preserve">: </w:t>
      </w:r>
      <w:r w:rsidRPr="00C94C2F">
        <w:rPr>
          <w:bCs/>
        </w:rPr>
        <w:t xml:space="preserve">Jessica </w:t>
      </w:r>
      <w:proofErr w:type="spellStart"/>
      <w:r w:rsidRPr="00C94C2F">
        <w:rPr>
          <w:bCs/>
        </w:rPr>
        <w:t>Byass</w:t>
      </w:r>
      <w:proofErr w:type="spellEnd"/>
      <w:r>
        <w:rPr>
          <w:bCs/>
        </w:rPr>
        <w:t xml:space="preserve">, </w:t>
      </w:r>
      <w:r w:rsidRPr="00C94C2F">
        <w:t>Steve</w:t>
      </w:r>
      <w:r>
        <w:t>n</w:t>
      </w:r>
      <w:r w:rsidRPr="00C94C2F">
        <w:t xml:space="preserve"> Cadman, Helen Dulfer, </w:t>
      </w:r>
      <w:r>
        <w:t xml:space="preserve">Dr </w:t>
      </w:r>
      <w:r w:rsidRPr="00C94C2F">
        <w:t xml:space="preserve">George Gibson, </w:t>
      </w:r>
      <w:r>
        <w:t xml:space="preserve">Dr </w:t>
      </w:r>
      <w:r w:rsidRPr="00C94C2F">
        <w:t xml:space="preserve">Alexey </w:t>
      </w:r>
      <w:proofErr w:type="spellStart"/>
      <w:r w:rsidRPr="00C94C2F">
        <w:t>Go</w:t>
      </w:r>
      <w:r>
        <w:t>nchar</w:t>
      </w:r>
      <w:r w:rsidRPr="00C94C2F">
        <w:t>ov</w:t>
      </w:r>
      <w:proofErr w:type="spellEnd"/>
      <w:r w:rsidRPr="00C94C2F">
        <w:t xml:space="preserve">, Tim Jones, </w:t>
      </w:r>
      <w:r w:rsidRPr="00C94C2F">
        <w:rPr>
          <w:bCs/>
        </w:rPr>
        <w:t>Jamie Lankford</w:t>
      </w:r>
      <w:r>
        <w:rPr>
          <w:bCs/>
        </w:rPr>
        <w:t>,</w:t>
      </w:r>
      <w:r w:rsidRPr="00C94C2F">
        <w:t xml:space="preserve"> Rowan </w:t>
      </w:r>
      <w:proofErr w:type="spellStart"/>
      <w:r w:rsidRPr="00C94C2F">
        <w:t>Romeyn</w:t>
      </w:r>
      <w:proofErr w:type="spellEnd"/>
      <w:r w:rsidRPr="00C94C2F">
        <w:t xml:space="preserve">, </w:t>
      </w:r>
      <w:r w:rsidRPr="00C94C2F">
        <w:rPr>
          <w:bCs/>
        </w:rPr>
        <w:t xml:space="preserve">Chris </w:t>
      </w:r>
      <w:proofErr w:type="spellStart"/>
      <w:r w:rsidRPr="00C94C2F">
        <w:rPr>
          <w:bCs/>
        </w:rPr>
        <w:t>Southby</w:t>
      </w:r>
      <w:proofErr w:type="spellEnd"/>
      <w:r>
        <w:rPr>
          <w:bCs/>
        </w:rPr>
        <w:t>,</w:t>
      </w:r>
      <w:r w:rsidRPr="00C94C2F">
        <w:rPr>
          <w:bCs/>
        </w:rPr>
        <w:t xml:space="preserve"> </w:t>
      </w:r>
      <w:r>
        <w:rPr>
          <w:bCs/>
        </w:rPr>
        <w:t xml:space="preserve">Dr </w:t>
      </w:r>
      <w:r w:rsidRPr="00C94C2F">
        <w:rPr>
          <w:bCs/>
        </w:rPr>
        <w:t xml:space="preserve">Eric </w:t>
      </w:r>
      <w:proofErr w:type="spellStart"/>
      <w:r w:rsidRPr="00C94C2F">
        <w:rPr>
          <w:bCs/>
        </w:rPr>
        <w:t>Tenthorey</w:t>
      </w:r>
      <w:proofErr w:type="spellEnd"/>
      <w:r>
        <w:rPr>
          <w:bCs/>
        </w:rPr>
        <w:t>,</w:t>
      </w:r>
      <w:r w:rsidRPr="00C94C2F">
        <w:rPr>
          <w:bCs/>
        </w:rPr>
        <w:t xml:space="preserve"> </w:t>
      </w:r>
      <w:r w:rsidRPr="00C94C2F">
        <w:t xml:space="preserve">Christian </w:t>
      </w:r>
      <w:proofErr w:type="spellStart"/>
      <w:r w:rsidRPr="00C94C2F">
        <w:t>Thun</w:t>
      </w:r>
      <w:proofErr w:type="spellEnd"/>
      <w:r>
        <w:t xml:space="preserve">, </w:t>
      </w:r>
      <w:r w:rsidRPr="00C94C2F">
        <w:t xml:space="preserve">Jenny Totterdell, </w:t>
      </w:r>
      <w:r w:rsidRPr="00C94C2F">
        <w:rPr>
          <w:bCs/>
        </w:rPr>
        <w:t>and</w:t>
      </w:r>
      <w:r>
        <w:t xml:space="preserve"> Dr </w:t>
      </w:r>
      <w:proofErr w:type="spellStart"/>
      <w:r w:rsidRPr="00C94C2F">
        <w:t>Liuqi</w:t>
      </w:r>
      <w:proofErr w:type="spellEnd"/>
      <w:r w:rsidRPr="00C94C2F">
        <w:t xml:space="preserve"> Wang</w:t>
      </w:r>
      <w:r w:rsidRPr="00C94C2F">
        <w:rPr>
          <w:bCs/>
        </w:rPr>
        <w:t xml:space="preserve">. </w:t>
      </w:r>
      <w:r w:rsidRPr="00C94C2F">
        <w:t xml:space="preserve">We also thank </w:t>
      </w:r>
      <w:r>
        <w:t xml:space="preserve">Rob Kirk </w:t>
      </w:r>
      <w:r w:rsidRPr="00C94C2F">
        <w:t>(Rob Kirk Consultants)</w:t>
      </w:r>
      <w:r>
        <w:t xml:space="preserve"> </w:t>
      </w:r>
      <w:r w:rsidRPr="00C94C2F">
        <w:t xml:space="preserve">for </w:t>
      </w:r>
      <w:r>
        <w:t>undertaking</w:t>
      </w:r>
      <w:r w:rsidRPr="00C94C2F">
        <w:t xml:space="preserve"> the </w:t>
      </w:r>
      <w:r>
        <w:t>sequence stratigraphic analysis and</w:t>
      </w:r>
      <w:r w:rsidRPr="00C94C2F">
        <w:t xml:space="preserve"> interpretation</w:t>
      </w:r>
      <w:r>
        <w:t>; and</w:t>
      </w:r>
      <w:r w:rsidRPr="00C94C2F">
        <w:t xml:space="preserve"> </w:t>
      </w:r>
      <w:r>
        <w:t xml:space="preserve">Dr </w:t>
      </w:r>
      <w:r w:rsidRPr="00C94C2F">
        <w:rPr>
          <w:bCs/>
        </w:rPr>
        <w:t>Andrew Cavanagh</w:t>
      </w:r>
      <w:r>
        <w:rPr>
          <w:bCs/>
        </w:rPr>
        <w:t xml:space="preserve"> (Statoil)</w:t>
      </w:r>
      <w:r w:rsidRPr="00C94C2F">
        <w:rPr>
          <w:bCs/>
        </w:rPr>
        <w:t xml:space="preserve"> for his assistance with </w:t>
      </w:r>
      <w:proofErr w:type="spellStart"/>
      <w:r w:rsidRPr="00C94C2F">
        <w:rPr>
          <w:bCs/>
        </w:rPr>
        <w:t>Permedia</w:t>
      </w:r>
      <w:proofErr w:type="spellEnd"/>
      <w:r w:rsidRPr="00C94C2F">
        <w:rPr>
          <w:bCs/>
        </w:rPr>
        <w:t xml:space="preserve"> training and modelling</w:t>
      </w:r>
      <w:r>
        <w:rPr>
          <w:bCs/>
        </w:rPr>
        <w:t xml:space="preserve">. The authors thank </w:t>
      </w:r>
      <w:r w:rsidRPr="00C94C2F">
        <w:rPr>
          <w:bCs/>
        </w:rPr>
        <w:t xml:space="preserve">the Master and crew of the RV </w:t>
      </w:r>
      <w:r w:rsidRPr="009D5B2E">
        <w:rPr>
          <w:rStyle w:val="Italic"/>
        </w:rPr>
        <w:t>Solander</w:t>
      </w:r>
      <w:r w:rsidRPr="00C94C2F">
        <w:rPr>
          <w:bCs/>
        </w:rPr>
        <w:t>,</w:t>
      </w:r>
      <w:r>
        <w:rPr>
          <w:bCs/>
        </w:rPr>
        <w:t xml:space="preserve"> </w:t>
      </w:r>
      <w:r w:rsidRPr="00C94C2F">
        <w:rPr>
          <w:bCs/>
        </w:rPr>
        <w:t>the scientific staff at AIMS</w:t>
      </w:r>
      <w:r>
        <w:rPr>
          <w:bCs/>
        </w:rPr>
        <w:t>,</w:t>
      </w:r>
      <w:r w:rsidRPr="00C94C2F">
        <w:rPr>
          <w:bCs/>
        </w:rPr>
        <w:t xml:space="preserve"> and the Master and crew of the MV </w:t>
      </w:r>
      <w:r w:rsidRPr="009D5B2E">
        <w:rPr>
          <w:rStyle w:val="Italic"/>
        </w:rPr>
        <w:t>Duke</w:t>
      </w:r>
      <w:r>
        <w:rPr>
          <w:bCs/>
        </w:rPr>
        <w:t xml:space="preserve"> for their assistance in the data collection.</w:t>
      </w:r>
      <w:r w:rsidRPr="00F72377">
        <w:rPr>
          <w:bCs/>
        </w:rPr>
        <w:t xml:space="preserve"> </w:t>
      </w:r>
      <w:r>
        <w:rPr>
          <w:bCs/>
        </w:rPr>
        <w:t>The detailed reviews of</w:t>
      </w:r>
      <w:r w:rsidR="00B91D65">
        <w:rPr>
          <w:bCs/>
        </w:rPr>
        <w:t xml:space="preserve"> Dr Andrew Heap,</w:t>
      </w:r>
      <w:r>
        <w:rPr>
          <w:bCs/>
        </w:rPr>
        <w:t xml:space="preserve"> Dr Clinton Foster and Dr Andrew Jones improved an early version of the report.</w:t>
      </w:r>
      <w:r w:rsidR="00C11560">
        <w:rPr>
          <w:bCs/>
        </w:rPr>
        <w:t xml:space="preserve"> </w:t>
      </w:r>
      <w:r w:rsidR="00C11560" w:rsidRPr="00C94C2F">
        <w:t>The compilation of the final product was made possible through the product design team at G</w:t>
      </w:r>
      <w:r w:rsidR="00C11560">
        <w:t xml:space="preserve">eoscience </w:t>
      </w:r>
      <w:r w:rsidR="00C11560" w:rsidRPr="00C94C2F">
        <w:t>A</w:t>
      </w:r>
      <w:r w:rsidR="00C11560">
        <w:t>ustralia, specificall</w:t>
      </w:r>
      <w:r w:rsidR="00C11560" w:rsidRPr="00C94C2F">
        <w:t>y Silvio Mezzomo</w:t>
      </w:r>
      <w:r w:rsidR="00C11560">
        <w:t xml:space="preserve"> and David Arnold</w:t>
      </w:r>
      <w:r w:rsidR="00C11560" w:rsidRPr="00C94C2F">
        <w:t xml:space="preserve"> for graphic design and Murray Woods for GIS expertise.</w:t>
      </w:r>
    </w:p>
    <w:p w:rsidR="00AE0B1A" w:rsidRPr="00C94C2F" w:rsidRDefault="00AE0B1A" w:rsidP="00AE0B1A">
      <w:pPr>
        <w:pStyle w:val="BodyText"/>
        <w:rPr>
          <w:bCs/>
        </w:rPr>
      </w:pPr>
      <w:r w:rsidRPr="00C94C2F">
        <w:rPr>
          <w:bCs/>
        </w:rPr>
        <w:t xml:space="preserve">Also, in recognition of their contributing reports, </w:t>
      </w:r>
      <w:r>
        <w:rPr>
          <w:bCs/>
        </w:rPr>
        <w:t>the authors acknowledge</w:t>
      </w:r>
      <w:r w:rsidRPr="00C94C2F">
        <w:rPr>
          <w:bCs/>
        </w:rPr>
        <w:t>:</w:t>
      </w:r>
    </w:p>
    <w:p w:rsidR="00AE0B1A" w:rsidRPr="00C94C2F" w:rsidRDefault="00AE0B1A" w:rsidP="00AE0B1A">
      <w:pPr>
        <w:pStyle w:val="Listbulletlevel1"/>
      </w:pPr>
      <w:r w:rsidRPr="006B5A62">
        <w:t xml:space="preserve">Fluid Inclusion </w:t>
      </w:r>
      <w:r w:rsidRPr="006B5A62">
        <w:rPr>
          <w:bCs/>
        </w:rPr>
        <w:t>Technologies</w:t>
      </w:r>
      <w:r w:rsidRPr="006B5A62">
        <w:t xml:space="preserve"> Inc.</w:t>
      </w:r>
      <w:r w:rsidRPr="00C94C2F">
        <w:t xml:space="preserve">, for the </w:t>
      </w:r>
      <w:r>
        <w:t xml:space="preserve">bulk volatile chemistry from fluid inclusions (FIS) </w:t>
      </w:r>
      <w:r w:rsidRPr="00C94C2F">
        <w:t>stud</w:t>
      </w:r>
      <w:r>
        <w:t>ies</w:t>
      </w:r>
      <w:r w:rsidRPr="00C94C2F">
        <w:t xml:space="preserve"> (</w:t>
      </w:r>
      <w:r>
        <w:t>Appendix D</w:t>
      </w:r>
      <w:r w:rsidRPr="00C94C2F">
        <w:t>).</w:t>
      </w:r>
    </w:p>
    <w:p w:rsidR="00AE0B1A" w:rsidRPr="00C94C2F" w:rsidRDefault="00AE0B1A" w:rsidP="00AE0B1A">
      <w:pPr>
        <w:pStyle w:val="Listbulletlevel1"/>
      </w:pPr>
      <w:r>
        <w:t xml:space="preserve">Dr </w:t>
      </w:r>
      <w:r w:rsidRPr="00C94C2F">
        <w:t>Joseph Hamilton (</w:t>
      </w:r>
      <w:proofErr w:type="spellStart"/>
      <w:r w:rsidRPr="00C94C2F">
        <w:t>Lithicon</w:t>
      </w:r>
      <w:proofErr w:type="spellEnd"/>
      <w:r w:rsidRPr="00C94C2F">
        <w:t>), for conducting mineral mapping and petrographic analysis (</w:t>
      </w:r>
      <w:r>
        <w:t>Appendix E</w:t>
      </w:r>
      <w:r w:rsidRPr="00C94C2F">
        <w:t>).</w:t>
      </w:r>
    </w:p>
    <w:p w:rsidR="00AE0B1A" w:rsidRPr="00C94C2F" w:rsidRDefault="00AE0B1A" w:rsidP="00AE0B1A">
      <w:pPr>
        <w:pStyle w:val="Listbulletlevel1"/>
      </w:pPr>
      <w:r>
        <w:t xml:space="preserve">Dr </w:t>
      </w:r>
      <w:r w:rsidRPr="00C94C2F">
        <w:t xml:space="preserve">Sasha </w:t>
      </w:r>
      <w:proofErr w:type="spellStart"/>
      <w:r w:rsidRPr="00C94C2F">
        <w:t>Pontual</w:t>
      </w:r>
      <w:proofErr w:type="spellEnd"/>
      <w:r w:rsidRPr="00C94C2F">
        <w:t xml:space="preserve"> (</w:t>
      </w:r>
      <w:proofErr w:type="spellStart"/>
      <w:r w:rsidRPr="00C94C2F">
        <w:t>AusSpec</w:t>
      </w:r>
      <w:proofErr w:type="spellEnd"/>
      <w:r w:rsidRPr="00C94C2F">
        <w:t xml:space="preserve"> </w:t>
      </w:r>
      <w:r>
        <w:t>International</w:t>
      </w:r>
      <w:r w:rsidRPr="00C94C2F">
        <w:t xml:space="preserve">), for </w:t>
      </w:r>
      <w:proofErr w:type="spellStart"/>
      <w:r>
        <w:t>HyLogger</w:t>
      </w:r>
      <w:proofErr w:type="spellEnd"/>
      <w:r w:rsidRPr="00C94C2F">
        <w:t xml:space="preserve"> interpretation (</w:t>
      </w:r>
      <w:r>
        <w:t>Appendix F</w:t>
      </w:r>
      <w:r w:rsidRPr="00C94C2F">
        <w:t>).</w:t>
      </w:r>
    </w:p>
    <w:p w:rsidR="00AE0B1A" w:rsidRPr="00C94C2F" w:rsidRDefault="00AE0B1A" w:rsidP="00AE0B1A">
      <w:pPr>
        <w:pStyle w:val="Listbulletlevel1"/>
      </w:pPr>
      <w:r>
        <w:t xml:space="preserve">Dr </w:t>
      </w:r>
      <w:proofErr w:type="spellStart"/>
      <w:r w:rsidRPr="00C94C2F">
        <w:t>Yildiray</w:t>
      </w:r>
      <w:proofErr w:type="spellEnd"/>
      <w:r w:rsidRPr="00C94C2F">
        <w:t xml:space="preserve"> </w:t>
      </w:r>
      <w:proofErr w:type="spellStart"/>
      <w:r w:rsidRPr="00C94C2F">
        <w:t>Cinar</w:t>
      </w:r>
      <w:proofErr w:type="spellEnd"/>
      <w:r w:rsidRPr="00C94C2F">
        <w:t xml:space="preserve"> (University of New South Wales), for conducting core tests for porosity, permeability and seal capacity analysis (</w:t>
      </w:r>
      <w:r>
        <w:t>Appendix G</w:t>
      </w:r>
      <w:r w:rsidRPr="00C94C2F">
        <w:t>).</w:t>
      </w:r>
    </w:p>
    <w:p w:rsidR="00AE0B1A" w:rsidRPr="00C94C2F" w:rsidRDefault="00AE0B1A" w:rsidP="00AE0B1A">
      <w:pPr>
        <w:pStyle w:val="Listbulletlevel1"/>
      </w:pPr>
      <w:r>
        <w:t xml:space="preserve">Dr </w:t>
      </w:r>
      <w:r w:rsidRPr="00C94C2F">
        <w:t>Graham Yielding (</w:t>
      </w:r>
      <w:proofErr w:type="spellStart"/>
      <w:r w:rsidRPr="00C94C2F">
        <w:t>Badley</w:t>
      </w:r>
      <w:proofErr w:type="spellEnd"/>
      <w:r w:rsidRPr="00C94C2F">
        <w:t xml:space="preserve"> Geoscience</w:t>
      </w:r>
      <w:r>
        <w:t xml:space="preserve"> Ltd</w:t>
      </w:r>
      <w:r w:rsidRPr="00C94C2F">
        <w:t xml:space="preserve">) and </w:t>
      </w:r>
      <w:r>
        <w:t xml:space="preserve">Dr </w:t>
      </w:r>
      <w:r w:rsidRPr="00C94C2F">
        <w:t xml:space="preserve">Pete </w:t>
      </w:r>
      <w:proofErr w:type="spellStart"/>
      <w:r w:rsidRPr="00C94C2F">
        <w:t>Boult</w:t>
      </w:r>
      <w:proofErr w:type="spellEnd"/>
      <w:r w:rsidRPr="00C94C2F">
        <w:t xml:space="preserve"> (</w:t>
      </w:r>
      <w:proofErr w:type="spellStart"/>
      <w:r w:rsidRPr="00C94C2F">
        <w:t>Badley</w:t>
      </w:r>
      <w:proofErr w:type="spellEnd"/>
      <w:r w:rsidRPr="00C94C2F">
        <w:t xml:space="preserve"> Geoscience </w:t>
      </w:r>
      <w:r>
        <w:t xml:space="preserve">Ltd </w:t>
      </w:r>
      <w:r w:rsidRPr="00C94C2F">
        <w:t xml:space="preserve">and Gingko </w:t>
      </w:r>
      <w:r>
        <w:t>ENP GNG</w:t>
      </w:r>
      <w:r w:rsidRPr="00C94C2F">
        <w:t>) for the fault seal and fault reactivation study (</w:t>
      </w:r>
      <w:r>
        <w:t>Appendix I</w:t>
      </w:r>
      <w:r w:rsidRPr="00C94C2F">
        <w:t>).</w:t>
      </w:r>
    </w:p>
    <w:p w:rsidR="00AE0B1A" w:rsidRPr="00C94C2F" w:rsidRDefault="00AE0B1A" w:rsidP="00AE0B1A">
      <w:pPr>
        <w:pStyle w:val="Listbulletlevel1"/>
      </w:pPr>
      <w:r w:rsidRPr="00C94C2F">
        <w:t xml:space="preserve">Alison </w:t>
      </w:r>
      <w:proofErr w:type="spellStart"/>
      <w:r w:rsidRPr="00C94C2F">
        <w:t>Hortle</w:t>
      </w:r>
      <w:proofErr w:type="spellEnd"/>
      <w:r w:rsidRPr="00C94C2F">
        <w:t xml:space="preserve"> (CSIRO), for the hydrodynamic study (</w:t>
      </w:r>
      <w:r>
        <w:t>Appendix J</w:t>
      </w:r>
      <w:r w:rsidRPr="00C94C2F">
        <w:t>).</w:t>
      </w:r>
    </w:p>
    <w:p w:rsidR="00AE0B1A" w:rsidRPr="00C94C2F" w:rsidRDefault="00AE0B1A" w:rsidP="00AE0B1A">
      <w:pPr>
        <w:pStyle w:val="Listbulletlevel1"/>
      </w:pPr>
      <w:proofErr w:type="spellStart"/>
      <w:r w:rsidRPr="00B477B8">
        <w:rPr>
          <w:bCs/>
        </w:rPr>
        <w:t>Gardline</w:t>
      </w:r>
      <w:proofErr w:type="spellEnd"/>
      <w:r w:rsidRPr="00B477B8">
        <w:rPr>
          <w:bCs/>
        </w:rPr>
        <w:t xml:space="preserve"> CGG Pte Ltd for the acquisition of GA336</w:t>
      </w:r>
      <w:r w:rsidR="00BB387D">
        <w:rPr>
          <w:bCs/>
        </w:rPr>
        <w:t xml:space="preserve">, </w:t>
      </w:r>
      <w:proofErr w:type="spellStart"/>
      <w:r w:rsidRPr="00B477B8">
        <w:rPr>
          <w:bCs/>
        </w:rPr>
        <w:t>Fugro</w:t>
      </w:r>
      <w:proofErr w:type="spellEnd"/>
      <w:r w:rsidRPr="00B477B8">
        <w:rPr>
          <w:bCs/>
        </w:rPr>
        <w:t xml:space="preserve"> Seismic Imaging Pty for processing, depth-conversion and post-migration processing </w:t>
      </w:r>
      <w:r w:rsidR="00BB387D">
        <w:t>(Appendix M</w:t>
      </w:r>
      <w:r w:rsidRPr="00C94C2F">
        <w:t>)</w:t>
      </w:r>
      <w:r>
        <w:t xml:space="preserve"> and </w:t>
      </w:r>
      <w:proofErr w:type="spellStart"/>
      <w:r>
        <w:t>Jahan</w:t>
      </w:r>
      <w:proofErr w:type="spellEnd"/>
      <w:r>
        <w:t xml:space="preserve"> </w:t>
      </w:r>
      <w:proofErr w:type="spellStart"/>
      <w:r>
        <w:t>Zeb</w:t>
      </w:r>
      <w:proofErr w:type="spellEnd"/>
      <w:r>
        <w:t xml:space="preserve"> Ahmed (Jason, a CGG company) for 2D sim</w:t>
      </w:r>
      <w:r w:rsidR="00BB387D">
        <w:t>ultaneous inversion (Appendix M</w:t>
      </w:r>
      <w:r>
        <w:t>).</w:t>
      </w:r>
    </w:p>
    <w:p w:rsidR="00AE0B1A" w:rsidRPr="00C94C2F" w:rsidRDefault="00AE0B1A" w:rsidP="00AE0B1A">
      <w:pPr>
        <w:pStyle w:val="Listbulletlevel1"/>
      </w:pPr>
      <w:r>
        <w:t xml:space="preserve">Dr </w:t>
      </w:r>
      <w:r w:rsidRPr="00C94C2F">
        <w:t xml:space="preserve">Andy </w:t>
      </w:r>
      <w:proofErr w:type="spellStart"/>
      <w:r w:rsidRPr="00C94C2F">
        <w:t>Nicol</w:t>
      </w:r>
      <w:proofErr w:type="spellEnd"/>
      <w:r w:rsidRPr="00C94C2F">
        <w:t xml:space="preserve"> and </w:t>
      </w:r>
      <w:proofErr w:type="spellStart"/>
      <w:r w:rsidRPr="00C94C2F">
        <w:t>Hannu</w:t>
      </w:r>
      <w:proofErr w:type="spellEnd"/>
      <w:r w:rsidRPr="00C94C2F">
        <w:t xml:space="preserve"> Seebeck (GNS Science), for completing the polygonal fault study (</w:t>
      </w:r>
      <w:r>
        <w:t>Appendix N</w:t>
      </w:r>
      <w:r w:rsidRPr="00C94C2F">
        <w:t>).</w:t>
      </w:r>
    </w:p>
    <w:p w:rsidR="00AE0B1A" w:rsidRPr="00C94C2F" w:rsidRDefault="00AE0B1A" w:rsidP="003F6147">
      <w:pPr>
        <w:pStyle w:val="Heading1"/>
      </w:pPr>
      <w:bookmarkStart w:id="1057" w:name="_Toc372790323"/>
      <w:bookmarkStart w:id="1058" w:name="_Toc378252915"/>
      <w:bookmarkStart w:id="1059" w:name="_Toc378253239"/>
      <w:bookmarkStart w:id="1060" w:name="_Toc378253563"/>
      <w:bookmarkStart w:id="1061" w:name="_Toc378253887"/>
      <w:bookmarkStart w:id="1062" w:name="_Toc378254211"/>
      <w:bookmarkStart w:id="1063" w:name="_Toc378254535"/>
      <w:bookmarkStart w:id="1064" w:name="_Toc378254859"/>
      <w:bookmarkStart w:id="1065" w:name="_Toc378255183"/>
      <w:bookmarkStart w:id="1066" w:name="_Toc383758241"/>
      <w:r w:rsidRPr="00C94C2F">
        <w:lastRenderedPageBreak/>
        <w:t>References</w:t>
      </w:r>
      <w:bookmarkEnd w:id="1057"/>
      <w:bookmarkEnd w:id="1058"/>
      <w:bookmarkEnd w:id="1059"/>
      <w:bookmarkEnd w:id="1060"/>
      <w:bookmarkEnd w:id="1061"/>
      <w:bookmarkEnd w:id="1062"/>
      <w:bookmarkEnd w:id="1063"/>
      <w:bookmarkEnd w:id="1064"/>
      <w:bookmarkEnd w:id="1065"/>
      <w:bookmarkEnd w:id="1066"/>
    </w:p>
    <w:p w:rsidR="00AE0B1A" w:rsidRPr="00303A3F" w:rsidRDefault="00AE0B1A" w:rsidP="00AE0B1A">
      <w:pPr>
        <w:pStyle w:val="References"/>
        <w:rPr>
          <w:noProof/>
        </w:rPr>
      </w:pPr>
      <w:r w:rsidRPr="00303A3F">
        <w:rPr>
          <w:noProof/>
        </w:rPr>
        <w:t>Australian Geological Survey Organisation (AGSO) North West Shelf Study Group, 1994</w:t>
      </w:r>
      <w:r>
        <w:rPr>
          <w:noProof/>
        </w:rPr>
        <w:t>.</w:t>
      </w:r>
      <w:r w:rsidRPr="00303A3F">
        <w:rPr>
          <w:noProof/>
        </w:rPr>
        <w:t xml:space="preserve"> Deep reflections on the North West Shelf: Changing perceptions of basin formation. In: Purcell, P.G. and Purcell, R.R. (Editors), The sedimentary basins of Western Australia 2: Proceedings of the Petroleum Exploration Society of Australia Symposium, Perth, 63-76.</w:t>
      </w:r>
    </w:p>
    <w:p w:rsidR="00AE0B1A" w:rsidRPr="00303A3F" w:rsidRDefault="00AE0B1A" w:rsidP="00AE0B1A">
      <w:pPr>
        <w:pStyle w:val="References"/>
        <w:rPr>
          <w:noProof/>
        </w:rPr>
      </w:pPr>
      <w:r w:rsidRPr="00303A3F">
        <w:rPr>
          <w:noProof/>
        </w:rPr>
        <w:t>Bachu, S., Bonijoly, D., Bradshaw, J., Burruss, R., Holloway, S., Christensen, N.P. and Mathiassen, O.M., 2007</w:t>
      </w:r>
      <w:r>
        <w:rPr>
          <w:noProof/>
        </w:rPr>
        <w:t>.</w:t>
      </w:r>
      <w:r w:rsidRPr="00303A3F">
        <w:rPr>
          <w:noProof/>
        </w:rPr>
        <w:t xml:space="preserve"> CO</w:t>
      </w:r>
      <w:r w:rsidRPr="00255748">
        <w:rPr>
          <w:rStyle w:val="Subscript"/>
        </w:rPr>
        <w:t>2</w:t>
      </w:r>
      <w:r w:rsidRPr="00303A3F">
        <w:rPr>
          <w:noProof/>
        </w:rPr>
        <w:t xml:space="preserve"> storage capacity estimation: Methodology and gaps. International Journal of Greenhouse Gas Control, 1</w:t>
      </w:r>
      <w:r>
        <w:rPr>
          <w:noProof/>
        </w:rPr>
        <w:t>(</w:t>
      </w:r>
      <w:r w:rsidRPr="00303A3F">
        <w:rPr>
          <w:noProof/>
        </w:rPr>
        <w:t>4</w:t>
      </w:r>
      <w:r>
        <w:rPr>
          <w:noProof/>
        </w:rPr>
        <w:t>)</w:t>
      </w:r>
      <w:r w:rsidRPr="00303A3F">
        <w:rPr>
          <w:noProof/>
        </w:rPr>
        <w:t>, 430-443.</w:t>
      </w:r>
    </w:p>
    <w:p w:rsidR="00AE0B1A" w:rsidRPr="00303A3F" w:rsidRDefault="00AE0B1A" w:rsidP="00AE0B1A">
      <w:pPr>
        <w:pStyle w:val="References"/>
        <w:rPr>
          <w:noProof/>
        </w:rPr>
      </w:pPr>
      <w:r w:rsidRPr="00303A3F">
        <w:rPr>
          <w:noProof/>
        </w:rPr>
        <w:t>Baldwin, S., White, N. and Mueller, R.D., 2003</w:t>
      </w:r>
      <w:r>
        <w:rPr>
          <w:noProof/>
        </w:rPr>
        <w:t>.</w:t>
      </w:r>
      <w:r w:rsidRPr="00303A3F">
        <w:rPr>
          <w:noProof/>
        </w:rPr>
        <w:t xml:space="preserve"> Resolving multiple rift phases by strain-rate inversion in the Petrel Sub-basin, </w:t>
      </w:r>
      <w:r>
        <w:rPr>
          <w:noProof/>
        </w:rPr>
        <w:t>northwest</w:t>
      </w:r>
      <w:r w:rsidRPr="00303A3F">
        <w:rPr>
          <w:noProof/>
        </w:rPr>
        <w:t xml:space="preserve"> Australia. </w:t>
      </w:r>
      <w:r>
        <w:rPr>
          <w:noProof/>
        </w:rPr>
        <w:t>Geological Society of America, Special Paper</w:t>
      </w:r>
      <w:r w:rsidRPr="00303A3F">
        <w:rPr>
          <w:noProof/>
        </w:rPr>
        <w:t xml:space="preserve"> 372, 245-263.</w:t>
      </w:r>
    </w:p>
    <w:p w:rsidR="00AE0B1A" w:rsidRPr="00303A3F" w:rsidRDefault="00AE0B1A" w:rsidP="00AE0B1A">
      <w:pPr>
        <w:pStyle w:val="References"/>
        <w:rPr>
          <w:noProof/>
        </w:rPr>
      </w:pPr>
      <w:r w:rsidRPr="00303A3F">
        <w:rPr>
          <w:noProof/>
        </w:rPr>
        <w:t>Ballie, P.W., Powell, C.M., LI, Z.X. and Ryall, A.M., 1994</w:t>
      </w:r>
      <w:r>
        <w:rPr>
          <w:noProof/>
        </w:rPr>
        <w:t>.</w:t>
      </w:r>
      <w:r w:rsidRPr="00303A3F">
        <w:rPr>
          <w:noProof/>
        </w:rPr>
        <w:t xml:space="preserve"> The tectonic framework of western Australia’s Neoproterozoic to Recent sedimentary basins. In: Purcell, P.G. and Purcell, R.R. (Editors), The </w:t>
      </w:r>
      <w:r>
        <w:rPr>
          <w:noProof/>
        </w:rPr>
        <w:t>S</w:t>
      </w:r>
      <w:r w:rsidRPr="00303A3F">
        <w:rPr>
          <w:noProof/>
        </w:rPr>
        <w:t xml:space="preserve">edimentary </w:t>
      </w:r>
      <w:r>
        <w:rPr>
          <w:noProof/>
        </w:rPr>
        <w:t>B</w:t>
      </w:r>
      <w:r w:rsidRPr="00303A3F">
        <w:rPr>
          <w:noProof/>
        </w:rPr>
        <w:t>asins of Western Australia</w:t>
      </w:r>
      <w:r>
        <w:rPr>
          <w:noProof/>
        </w:rPr>
        <w:t xml:space="preserve"> 2</w:t>
      </w:r>
      <w:r w:rsidRPr="00303A3F">
        <w:rPr>
          <w:noProof/>
        </w:rPr>
        <w:t>: Proceedings of the Petroleum Exploration Society of Australia Symposium, Perth, 45–62.</w:t>
      </w:r>
    </w:p>
    <w:p w:rsidR="00AE0B1A" w:rsidRPr="00303A3F" w:rsidRDefault="00AE0B1A" w:rsidP="00AE0B1A">
      <w:pPr>
        <w:pStyle w:val="References"/>
        <w:rPr>
          <w:noProof/>
        </w:rPr>
      </w:pPr>
      <w:r w:rsidRPr="00303A3F">
        <w:rPr>
          <w:noProof/>
        </w:rPr>
        <w:t>Barrett, A.G., Hinde, A.L. and Kennard, J.M., 2003</w:t>
      </w:r>
      <w:r>
        <w:rPr>
          <w:noProof/>
        </w:rPr>
        <w:t>.</w:t>
      </w:r>
      <w:r w:rsidRPr="00303A3F">
        <w:rPr>
          <w:noProof/>
        </w:rPr>
        <w:t xml:space="preserve"> Undiscovered resource assessment methodologies and application to the Bonaparte Basin.</w:t>
      </w:r>
      <w:r w:rsidRPr="00303A3F">
        <w:t xml:space="preserve"> </w:t>
      </w:r>
      <w:r w:rsidRPr="00303A3F">
        <w:rPr>
          <w:noProof/>
        </w:rPr>
        <w:t>In: Ellis, G.K., Baillie, P.W. and Munson, T.J. (Editors), Timor Sea Petroleum Geoscience, Proceedings of the Timor Sea Symposium, Darwin. Northern Territory Geological Survey, Special Publication 1, 353–372.</w:t>
      </w:r>
    </w:p>
    <w:p w:rsidR="00AE0B1A" w:rsidRPr="00303A3F" w:rsidRDefault="00AE0B1A" w:rsidP="00AE0B1A">
      <w:pPr>
        <w:pStyle w:val="References"/>
        <w:rPr>
          <w:noProof/>
        </w:rPr>
      </w:pPr>
      <w:r w:rsidRPr="00303A3F">
        <w:rPr>
          <w:noProof/>
        </w:rPr>
        <w:t>Berndt, C., Jacobs, C., Evans, A., Gay, A., Elliot, G., Long, D. and Hitchen, K., 2012</w:t>
      </w:r>
      <w:r>
        <w:rPr>
          <w:noProof/>
        </w:rPr>
        <w:t>.</w:t>
      </w:r>
      <w:r w:rsidRPr="00303A3F">
        <w:rPr>
          <w:noProof/>
        </w:rPr>
        <w:t xml:space="preserve"> Kilometre-scale polygonal seabed depressions in the Hatton Basin, NE Atlantic Ocean: constraints on the origin of polygonal faulting. Marine Geology, 332-334, 126-133.</w:t>
      </w:r>
    </w:p>
    <w:p w:rsidR="00AE0B1A" w:rsidRPr="00303A3F" w:rsidRDefault="00AE0B1A" w:rsidP="00AE0B1A">
      <w:pPr>
        <w:pStyle w:val="References"/>
        <w:rPr>
          <w:noProof/>
        </w:rPr>
      </w:pPr>
      <w:r w:rsidRPr="00303A3F">
        <w:rPr>
          <w:noProof/>
        </w:rPr>
        <w:t>Blevin, J.E., Colwell, J.B., Kennard, J.M., Edwards, D.S., Jones, P.J. and Nicoll, R.S., 1996a</w:t>
      </w:r>
      <w:r>
        <w:rPr>
          <w:noProof/>
        </w:rPr>
        <w:t>.</w:t>
      </w:r>
      <w:r w:rsidRPr="00303A3F">
        <w:rPr>
          <w:noProof/>
        </w:rPr>
        <w:t xml:space="preserve"> Definition of basin phases in the Petrel Sub-basin (Australia); implications for the development of Palaeozoic petroleum systems. Annual Meeting Abstracts - American Association of Petroleum Geologists and Society of Economic Paleontologists and Mineralogists, 5, 16.</w:t>
      </w:r>
    </w:p>
    <w:p w:rsidR="00AE0B1A" w:rsidRPr="00303A3F" w:rsidRDefault="00AE0B1A" w:rsidP="00AE0B1A">
      <w:pPr>
        <w:pStyle w:val="References"/>
        <w:rPr>
          <w:noProof/>
        </w:rPr>
      </w:pPr>
      <w:r w:rsidRPr="00303A3F">
        <w:rPr>
          <w:noProof/>
        </w:rPr>
        <w:t>Blevin, J.E., Colwell, J.B., Edwards, D.S., Foster, C.B., Jones, P.J., Kennard, J.M., Nicoll, R.S., O'Brien, G.W., Shergold, J.H., Summons, R.E. and Wilson, D.J., 1996b</w:t>
      </w:r>
      <w:r>
        <w:rPr>
          <w:noProof/>
        </w:rPr>
        <w:t>.</w:t>
      </w:r>
      <w:r w:rsidRPr="00303A3F">
        <w:rPr>
          <w:noProof/>
        </w:rPr>
        <w:t xml:space="preserve"> Integrated studies of the Petrel Sub-basin (Bonaparte Basin), defining the Palaeozoic foundations of the North West Shelf. Abstracts - Geological Society of Australia, 41, 39.</w:t>
      </w:r>
    </w:p>
    <w:p w:rsidR="00AE0B1A" w:rsidRPr="00303A3F" w:rsidRDefault="00AE0B1A" w:rsidP="00AE0B1A">
      <w:pPr>
        <w:pStyle w:val="References"/>
        <w:rPr>
          <w:noProof/>
        </w:rPr>
      </w:pPr>
      <w:r>
        <w:rPr>
          <w:noProof/>
        </w:rPr>
        <w:t>Borel, G.D. and Stampfli, G.M.</w:t>
      </w:r>
      <w:r w:rsidRPr="00303A3F">
        <w:rPr>
          <w:noProof/>
        </w:rPr>
        <w:t>, 2002</w:t>
      </w:r>
      <w:r>
        <w:rPr>
          <w:noProof/>
        </w:rPr>
        <w:t>.</w:t>
      </w:r>
      <w:r w:rsidRPr="00303A3F">
        <w:rPr>
          <w:noProof/>
        </w:rPr>
        <w:t xml:space="preserve"> Geohistory of the North West Shelf: a tool to assess the Palaeozoic and Mesozoic motion of the Australian Plate. </w:t>
      </w:r>
      <w:r w:rsidRPr="00255748">
        <w:t>In: Keep, M. and Moss, S. (Editors), The Sedimentary Basins of Western Australia 3: Proceedings of the Petroleum Exploration Society of Australia Symposium, Perth, 119-128.</w:t>
      </w:r>
    </w:p>
    <w:p w:rsidR="00AE0B1A" w:rsidRPr="00303A3F" w:rsidRDefault="00AE0B1A" w:rsidP="00AE0B1A">
      <w:pPr>
        <w:pStyle w:val="References"/>
        <w:rPr>
          <w:noProof/>
        </w:rPr>
      </w:pPr>
      <w:r w:rsidRPr="00303A3F">
        <w:rPr>
          <w:noProof/>
        </w:rPr>
        <w:t>Bourget, J., Ainsworth, R.B., Backé, G. and Keep, M., 2012</w:t>
      </w:r>
      <w:r>
        <w:rPr>
          <w:noProof/>
        </w:rPr>
        <w:t>.</w:t>
      </w:r>
      <w:r w:rsidRPr="00303A3F">
        <w:rPr>
          <w:noProof/>
        </w:rPr>
        <w:t xml:space="preserve"> Tectonic evolution of the northern Bonaparte Basin: impact on continental shelf architecture and sediment distribution during the Pleistocene. Australian Journal of Earth Sciences, 59</w:t>
      </w:r>
      <w:r>
        <w:rPr>
          <w:noProof/>
        </w:rPr>
        <w:t>(</w:t>
      </w:r>
      <w:r w:rsidRPr="00303A3F">
        <w:rPr>
          <w:noProof/>
        </w:rPr>
        <w:t>6</w:t>
      </w:r>
      <w:r>
        <w:rPr>
          <w:noProof/>
        </w:rPr>
        <w:t>)</w:t>
      </w:r>
      <w:r w:rsidRPr="00303A3F">
        <w:rPr>
          <w:noProof/>
        </w:rPr>
        <w:t>, 877-897.</w:t>
      </w:r>
    </w:p>
    <w:p w:rsidR="00AE0B1A" w:rsidRPr="00303A3F" w:rsidRDefault="00AE0B1A" w:rsidP="00AE0B1A">
      <w:pPr>
        <w:pStyle w:val="References"/>
        <w:rPr>
          <w:noProof/>
        </w:rPr>
      </w:pPr>
      <w:r w:rsidRPr="00303A3F">
        <w:rPr>
          <w:noProof/>
        </w:rPr>
        <w:t>Bradshaw, B.E., Spencer, L.K., Lahtinen, A.C., Khider, K., Ryan, D.J., Colwell, J.B., Chirinos, A. and Bradshaw, J., 2009</w:t>
      </w:r>
      <w:r>
        <w:rPr>
          <w:noProof/>
        </w:rPr>
        <w:t>.</w:t>
      </w:r>
      <w:r w:rsidRPr="00303A3F">
        <w:rPr>
          <w:noProof/>
        </w:rPr>
        <w:t xml:space="preserve"> Queensland carbon dioxide geological storage atlas. Report by Greenhouse Gas Storage Solutions on behalf of Queensland Department of Employment, Economic Development and Innovation, 311 pp.</w:t>
      </w:r>
    </w:p>
    <w:p w:rsidR="00AE0B1A" w:rsidRPr="00303A3F" w:rsidRDefault="00AE0B1A" w:rsidP="00AE0B1A">
      <w:pPr>
        <w:pStyle w:val="References"/>
        <w:rPr>
          <w:noProof/>
        </w:rPr>
      </w:pPr>
      <w:r w:rsidRPr="00303A3F">
        <w:rPr>
          <w:noProof/>
        </w:rPr>
        <w:t>Bradshaw, J., Bradshaw, B.E., Spencer, L. and Mackie, V., 2000</w:t>
      </w:r>
      <w:r>
        <w:rPr>
          <w:noProof/>
        </w:rPr>
        <w:t>.</w:t>
      </w:r>
      <w:r w:rsidRPr="00303A3F">
        <w:rPr>
          <w:noProof/>
        </w:rPr>
        <w:t xml:space="preserve"> GEODISC: Project 1—Regional Analysis Stage 2 Basins, Version 2.02., Australian Geological Survey Organisation (AGSO), Department of Industry, Science and Resources, </w:t>
      </w:r>
      <w:r>
        <w:rPr>
          <w:noProof/>
        </w:rPr>
        <w:t>Canberra</w:t>
      </w:r>
      <w:r w:rsidRPr="00303A3F">
        <w:rPr>
          <w:noProof/>
        </w:rPr>
        <w:t>.</w:t>
      </w:r>
    </w:p>
    <w:p w:rsidR="00AE0B1A" w:rsidRPr="00303A3F" w:rsidRDefault="00AE0B1A" w:rsidP="00AE0B1A">
      <w:pPr>
        <w:pStyle w:val="References"/>
        <w:rPr>
          <w:noProof/>
        </w:rPr>
      </w:pPr>
      <w:r w:rsidRPr="00303A3F">
        <w:rPr>
          <w:noProof/>
        </w:rPr>
        <w:t>Bradshaw, J. and Rigg, A., 2001</w:t>
      </w:r>
      <w:r>
        <w:rPr>
          <w:noProof/>
        </w:rPr>
        <w:t>.</w:t>
      </w:r>
      <w:r w:rsidRPr="00303A3F">
        <w:rPr>
          <w:noProof/>
        </w:rPr>
        <w:t xml:space="preserve"> The GEODISC Program: Research into Geological Sequestration of CO</w:t>
      </w:r>
      <w:r w:rsidRPr="00255748">
        <w:rPr>
          <w:rStyle w:val="Subscript"/>
        </w:rPr>
        <w:t>2</w:t>
      </w:r>
      <w:r w:rsidRPr="00303A3F">
        <w:rPr>
          <w:noProof/>
        </w:rPr>
        <w:t xml:space="preserve"> in Australia. Environmental Geosciences, 8</w:t>
      </w:r>
      <w:r>
        <w:rPr>
          <w:noProof/>
        </w:rPr>
        <w:t>(</w:t>
      </w:r>
      <w:r w:rsidRPr="00303A3F">
        <w:rPr>
          <w:noProof/>
        </w:rPr>
        <w:t>3</w:t>
      </w:r>
      <w:r>
        <w:rPr>
          <w:noProof/>
        </w:rPr>
        <w:t>)</w:t>
      </w:r>
      <w:r w:rsidRPr="00303A3F">
        <w:rPr>
          <w:noProof/>
        </w:rPr>
        <w:t>, 166-176.</w:t>
      </w:r>
    </w:p>
    <w:p w:rsidR="00AE0B1A" w:rsidRPr="00303A3F" w:rsidRDefault="00AE0B1A" w:rsidP="00AE0B1A">
      <w:pPr>
        <w:pStyle w:val="References"/>
        <w:rPr>
          <w:noProof/>
        </w:rPr>
      </w:pPr>
      <w:r w:rsidRPr="00303A3F">
        <w:rPr>
          <w:noProof/>
        </w:rPr>
        <w:lastRenderedPageBreak/>
        <w:t>Bradshaw, J., Sayers, J., Bradshaw, M., Kneale, R., Ford, C., Spencer, L. and Lisk, M., 1998</w:t>
      </w:r>
      <w:r>
        <w:rPr>
          <w:noProof/>
        </w:rPr>
        <w:t>.</w:t>
      </w:r>
      <w:r w:rsidRPr="00303A3F">
        <w:rPr>
          <w:noProof/>
        </w:rPr>
        <w:t xml:space="preserve"> Palaeogeography and its impact on the petroleum systems of the North West Shelf</w:t>
      </w:r>
      <w:r>
        <w:rPr>
          <w:noProof/>
        </w:rPr>
        <w:t>, Australia. In: Purcell, P.G. and</w:t>
      </w:r>
      <w:r w:rsidRPr="00303A3F">
        <w:rPr>
          <w:noProof/>
        </w:rPr>
        <w:t xml:space="preserve"> Purcell, R.R. (Editors), The Sedimentary Basins of Western Australia 2: Proceedings of the Petroleum Exploration Society of Australia Symposium, Perth, 95-121.</w:t>
      </w:r>
    </w:p>
    <w:p w:rsidR="00AE0B1A" w:rsidRPr="00303A3F" w:rsidRDefault="00AE0B1A" w:rsidP="00AE0B1A">
      <w:pPr>
        <w:pStyle w:val="References"/>
        <w:rPr>
          <w:noProof/>
        </w:rPr>
      </w:pPr>
      <w:r w:rsidRPr="00303A3F">
        <w:rPr>
          <w:noProof/>
        </w:rPr>
        <w:t>Bunch, M.A., 2013</w:t>
      </w:r>
      <w:r>
        <w:rPr>
          <w:noProof/>
        </w:rPr>
        <w:t>.</w:t>
      </w:r>
      <w:r w:rsidRPr="00303A3F">
        <w:rPr>
          <w:noProof/>
        </w:rPr>
        <w:t xml:space="preserve"> Gauging geological characterisation for CO</w:t>
      </w:r>
      <w:r w:rsidRPr="00255748">
        <w:rPr>
          <w:rStyle w:val="Subscript"/>
        </w:rPr>
        <w:t>2</w:t>
      </w:r>
      <w:r w:rsidRPr="00303A3F">
        <w:rPr>
          <w:noProof/>
        </w:rPr>
        <w:t xml:space="preserve"> storage: the Australasian experience so far…. Australian Journ</w:t>
      </w:r>
      <w:r>
        <w:rPr>
          <w:noProof/>
        </w:rPr>
        <w:t xml:space="preserve">al of Earth Sciences, 60, </w:t>
      </w:r>
      <w:r w:rsidRPr="00303A3F">
        <w:rPr>
          <w:noProof/>
        </w:rPr>
        <w:t>5-21.</w:t>
      </w:r>
    </w:p>
    <w:p w:rsidR="00AE0B1A" w:rsidRPr="00303A3F" w:rsidRDefault="00AE0B1A" w:rsidP="00AE0B1A">
      <w:pPr>
        <w:pStyle w:val="References"/>
        <w:rPr>
          <w:noProof/>
        </w:rPr>
      </w:pPr>
      <w:r w:rsidRPr="00303A3F">
        <w:rPr>
          <w:noProof/>
        </w:rPr>
        <w:t>Burbidge, D.R. (Editor), 2012</w:t>
      </w:r>
      <w:r>
        <w:rPr>
          <w:noProof/>
        </w:rPr>
        <w:t>.</w:t>
      </w:r>
      <w:r w:rsidRPr="00303A3F">
        <w:rPr>
          <w:noProof/>
        </w:rPr>
        <w:t xml:space="preserve"> The 2012 Australian Earthquake Hazard Map. Geoscience Australia Record 2012/71. Geoscience Australia, Canberra.</w:t>
      </w:r>
    </w:p>
    <w:p w:rsidR="00AE0B1A" w:rsidRPr="00303A3F" w:rsidRDefault="00AE0B1A" w:rsidP="00AE0B1A">
      <w:pPr>
        <w:pStyle w:val="References"/>
        <w:rPr>
          <w:noProof/>
        </w:rPr>
      </w:pPr>
      <w:r w:rsidRPr="00303A3F">
        <w:rPr>
          <w:noProof/>
        </w:rPr>
        <w:t>Cadman, S.J. and Temple, P.R., 200</w:t>
      </w:r>
      <w:r>
        <w:rPr>
          <w:noProof/>
        </w:rPr>
        <w:t>4.</w:t>
      </w:r>
      <w:r w:rsidRPr="00303A3F">
        <w:rPr>
          <w:noProof/>
        </w:rPr>
        <w:t xml:space="preserve"> Bonaparte Basin, NT, WA, AC and JPDA, Australian Petroleum Accumulations Report 5, 2nd Edition, Geoscience Australia, Canberra. </w:t>
      </w:r>
    </w:p>
    <w:p w:rsidR="00AE0B1A" w:rsidRPr="00303A3F" w:rsidRDefault="00AE0B1A" w:rsidP="00AE0B1A">
      <w:pPr>
        <w:pStyle w:val="References"/>
        <w:rPr>
          <w:noProof/>
        </w:rPr>
      </w:pPr>
      <w:r w:rsidRPr="00303A3F">
        <w:rPr>
          <w:noProof/>
        </w:rPr>
        <w:t>Carbon Seque</w:t>
      </w:r>
      <w:r>
        <w:rPr>
          <w:noProof/>
        </w:rPr>
        <w:t>stration Leadership Forum</w:t>
      </w:r>
      <w:r w:rsidRPr="00303A3F">
        <w:rPr>
          <w:noProof/>
        </w:rPr>
        <w:t>, 2011</w:t>
      </w:r>
      <w:r>
        <w:rPr>
          <w:noProof/>
        </w:rPr>
        <w:t>.</w:t>
      </w:r>
      <w:r w:rsidRPr="00303A3F">
        <w:rPr>
          <w:noProof/>
        </w:rPr>
        <w:t xml:space="preserve"> Carbon Sequestration Leadership Forum Technology Roadmap, 2011, 115 pp.</w:t>
      </w:r>
    </w:p>
    <w:p w:rsidR="00AE0B1A" w:rsidRPr="00303A3F" w:rsidRDefault="00AE0B1A" w:rsidP="00AE0B1A">
      <w:pPr>
        <w:pStyle w:val="References"/>
        <w:rPr>
          <w:noProof/>
        </w:rPr>
      </w:pPr>
      <w:r w:rsidRPr="00303A3F">
        <w:rPr>
          <w:noProof/>
        </w:rPr>
        <w:t>Carbon Storage Taskforce, 2009</w:t>
      </w:r>
      <w:r>
        <w:rPr>
          <w:noProof/>
        </w:rPr>
        <w:t>.</w:t>
      </w:r>
      <w:r w:rsidRPr="00303A3F">
        <w:rPr>
          <w:noProof/>
        </w:rPr>
        <w:t xml:space="preserve"> National Carbon Mapping and Infrastructure Plan – Australia: Full Report, Department of Resources, Energy and Tourism, Canberra.</w:t>
      </w:r>
    </w:p>
    <w:p w:rsidR="00AE0B1A" w:rsidRPr="00303A3F" w:rsidRDefault="00AE0B1A" w:rsidP="00AE0B1A">
      <w:pPr>
        <w:pStyle w:val="References"/>
        <w:rPr>
          <w:noProof/>
        </w:rPr>
      </w:pPr>
      <w:r w:rsidRPr="00303A3F">
        <w:rPr>
          <w:noProof/>
        </w:rPr>
        <w:t xml:space="preserve">Carroll, A.G., Jorgensen, D.C., Siwabessy, P.J.W., Jones, L.E.A., Sexton, M.J., Tran, M., Nicholas, W.A., Radke, L.C., Carey, M.P., Howard, F.J.F., Stowar, M.J., Heyward, A.J., Potter, A. and </w:t>
      </w:r>
      <w:r>
        <w:rPr>
          <w:noProof/>
        </w:rPr>
        <w:t xml:space="preserve">Shipboard </w:t>
      </w:r>
      <w:r w:rsidRPr="00303A3F">
        <w:rPr>
          <w:noProof/>
        </w:rPr>
        <w:t>Party, 2012</w:t>
      </w:r>
      <w:r>
        <w:rPr>
          <w:noProof/>
        </w:rPr>
        <w:t>.</w:t>
      </w:r>
      <w:r w:rsidRPr="00303A3F">
        <w:rPr>
          <w:noProof/>
        </w:rPr>
        <w:t xml:space="preserve"> Seabed environments and shallow geology of the Petrel Sub-Basin, northern Australia: SOL5463 (GA0335) - post survey report, Geoscience Australia Record 2012/66, </w:t>
      </w:r>
      <w:r>
        <w:rPr>
          <w:noProof/>
        </w:rPr>
        <w:t>Canberra.</w:t>
      </w:r>
      <w:r w:rsidRPr="00303A3F">
        <w:rPr>
          <w:noProof/>
        </w:rPr>
        <w:t xml:space="preserve"> </w:t>
      </w:r>
    </w:p>
    <w:p w:rsidR="00AE0B1A" w:rsidRPr="00303A3F" w:rsidRDefault="00AE0B1A" w:rsidP="00AE0B1A">
      <w:pPr>
        <w:pStyle w:val="References"/>
        <w:rPr>
          <w:noProof/>
        </w:rPr>
      </w:pPr>
      <w:r w:rsidRPr="00303A3F">
        <w:rPr>
          <w:noProof/>
        </w:rPr>
        <w:t>Cartwright, J., 2011</w:t>
      </w:r>
      <w:r>
        <w:rPr>
          <w:noProof/>
        </w:rPr>
        <w:t>.</w:t>
      </w:r>
      <w:r w:rsidRPr="00303A3F">
        <w:rPr>
          <w:noProof/>
        </w:rPr>
        <w:t xml:space="preserve"> Diagenetically induced shear failure of fine-grained sediments and the development of polygonal fault systems. Marine and Petroleum Geology, 28</w:t>
      </w:r>
      <w:r>
        <w:rPr>
          <w:noProof/>
        </w:rPr>
        <w:t>(</w:t>
      </w:r>
      <w:r w:rsidRPr="00303A3F">
        <w:rPr>
          <w:noProof/>
        </w:rPr>
        <w:t>9</w:t>
      </w:r>
      <w:r>
        <w:rPr>
          <w:noProof/>
        </w:rPr>
        <w:t>)</w:t>
      </w:r>
      <w:r w:rsidRPr="00303A3F">
        <w:rPr>
          <w:noProof/>
        </w:rPr>
        <w:t>, 1593-1610.</w:t>
      </w:r>
    </w:p>
    <w:p w:rsidR="00AE0B1A" w:rsidRPr="00303A3F" w:rsidRDefault="00AE0B1A" w:rsidP="00AE0B1A">
      <w:pPr>
        <w:pStyle w:val="References"/>
        <w:rPr>
          <w:noProof/>
        </w:rPr>
      </w:pPr>
      <w:r w:rsidRPr="00303A3F">
        <w:rPr>
          <w:noProof/>
        </w:rPr>
        <w:t>Cartwright, J.A. and Dewhurst, D.N., 1998</w:t>
      </w:r>
      <w:r>
        <w:rPr>
          <w:noProof/>
        </w:rPr>
        <w:t>.</w:t>
      </w:r>
      <w:r w:rsidRPr="00303A3F">
        <w:rPr>
          <w:noProof/>
        </w:rPr>
        <w:t xml:space="preserve"> Layer-bound compaction faults in fine-grained sediments. Geological Society of America Bulletin, 110</w:t>
      </w:r>
      <w:r>
        <w:rPr>
          <w:noProof/>
        </w:rPr>
        <w:t>(</w:t>
      </w:r>
      <w:r w:rsidRPr="00303A3F">
        <w:rPr>
          <w:noProof/>
        </w:rPr>
        <w:t>10</w:t>
      </w:r>
      <w:r>
        <w:rPr>
          <w:noProof/>
        </w:rPr>
        <w:t>)</w:t>
      </w:r>
      <w:r w:rsidRPr="00303A3F">
        <w:rPr>
          <w:noProof/>
        </w:rPr>
        <w:t>,</w:t>
      </w:r>
      <w:r>
        <w:rPr>
          <w:noProof/>
        </w:rPr>
        <w:t xml:space="preserve"> </w:t>
      </w:r>
      <w:r w:rsidRPr="00303A3F">
        <w:rPr>
          <w:noProof/>
        </w:rPr>
        <w:t>1242-1257.</w:t>
      </w:r>
    </w:p>
    <w:p w:rsidR="00AE0B1A" w:rsidRPr="00303A3F" w:rsidRDefault="00AE0B1A" w:rsidP="00AE0B1A">
      <w:pPr>
        <w:pStyle w:val="References"/>
        <w:rPr>
          <w:noProof/>
        </w:rPr>
      </w:pPr>
      <w:r w:rsidRPr="00303A3F">
        <w:rPr>
          <w:noProof/>
        </w:rPr>
        <w:t>Cartwright, J.A., James, D. and Bolton, A., 2003</w:t>
      </w:r>
      <w:r>
        <w:rPr>
          <w:noProof/>
        </w:rPr>
        <w:t>.</w:t>
      </w:r>
      <w:r w:rsidRPr="00303A3F">
        <w:rPr>
          <w:noProof/>
        </w:rPr>
        <w:t xml:space="preserve"> The genesis of polygonal fault systems. In: P. Van Rensbergen, R.R. Hillis, A.J. Maltman and C.K. Morley (Editors), Subsurface sediment mobilization. Geological Society of London, Special Publication</w:t>
      </w:r>
      <w:r>
        <w:rPr>
          <w:noProof/>
        </w:rPr>
        <w:t>s,</w:t>
      </w:r>
      <w:r w:rsidRPr="00303A3F">
        <w:rPr>
          <w:noProof/>
        </w:rPr>
        <w:t xml:space="preserve"> </w:t>
      </w:r>
      <w:r>
        <w:rPr>
          <w:noProof/>
        </w:rPr>
        <w:t>216</w:t>
      </w:r>
      <w:r w:rsidRPr="00303A3F">
        <w:rPr>
          <w:noProof/>
        </w:rPr>
        <w:t>, 223-243.</w:t>
      </w:r>
    </w:p>
    <w:p w:rsidR="00AE0B1A" w:rsidRPr="00303A3F" w:rsidRDefault="00AE0B1A" w:rsidP="00AE0B1A">
      <w:pPr>
        <w:pStyle w:val="References"/>
        <w:rPr>
          <w:noProof/>
        </w:rPr>
      </w:pPr>
      <w:r w:rsidRPr="00303A3F">
        <w:rPr>
          <w:noProof/>
        </w:rPr>
        <w:t>Cartwright, J.A. and Lonergan, L., 1996</w:t>
      </w:r>
      <w:r>
        <w:rPr>
          <w:noProof/>
        </w:rPr>
        <w:t>.</w:t>
      </w:r>
      <w:r w:rsidRPr="00303A3F">
        <w:rPr>
          <w:noProof/>
        </w:rPr>
        <w:t xml:space="preserve"> Volumetric contraction during the compaction of mudrocks: A mechanism for the development of regional scale polygonal fault systems. Basin Research, 8, 183-193.</w:t>
      </w:r>
    </w:p>
    <w:p w:rsidR="00AE0B1A" w:rsidRPr="00303A3F" w:rsidRDefault="00AE0B1A" w:rsidP="00AE0B1A">
      <w:pPr>
        <w:pStyle w:val="References"/>
        <w:rPr>
          <w:noProof/>
        </w:rPr>
      </w:pPr>
      <w:r w:rsidRPr="00303A3F">
        <w:rPr>
          <w:noProof/>
        </w:rPr>
        <w:t>Clark, D., McPherson, A. and Collins, C.D.N. 2011</w:t>
      </w:r>
      <w:r>
        <w:rPr>
          <w:noProof/>
        </w:rPr>
        <w:t>.</w:t>
      </w:r>
      <w:r w:rsidRPr="00303A3F">
        <w:rPr>
          <w:noProof/>
        </w:rPr>
        <w:t xml:space="preserve"> Australia’s seismogenic neotectonic record: a case for heterogeneous intraplate deformation. Geoscience Australia Record 2011/11, </w:t>
      </w:r>
      <w:r>
        <w:rPr>
          <w:noProof/>
        </w:rPr>
        <w:t>Canberra</w:t>
      </w:r>
      <w:r w:rsidRPr="00303A3F">
        <w:rPr>
          <w:noProof/>
        </w:rPr>
        <w:t>.</w:t>
      </w:r>
    </w:p>
    <w:p w:rsidR="00AE0B1A" w:rsidRPr="00303A3F" w:rsidRDefault="00AE0B1A" w:rsidP="00AE0B1A">
      <w:pPr>
        <w:pStyle w:val="References"/>
        <w:rPr>
          <w:noProof/>
        </w:rPr>
      </w:pPr>
      <w:r w:rsidRPr="00303A3F">
        <w:rPr>
          <w:noProof/>
        </w:rPr>
        <w:t>CO2CRC, 2008</w:t>
      </w:r>
      <w:r>
        <w:rPr>
          <w:noProof/>
        </w:rPr>
        <w:t>.</w:t>
      </w:r>
      <w:r w:rsidRPr="00303A3F">
        <w:rPr>
          <w:noProof/>
        </w:rPr>
        <w:t xml:space="preserve"> Storage capacity estimation, site selection and characterization for CO</w:t>
      </w:r>
      <w:r w:rsidRPr="00255748">
        <w:rPr>
          <w:rStyle w:val="Subscript"/>
        </w:rPr>
        <w:t xml:space="preserve">2 </w:t>
      </w:r>
      <w:r w:rsidRPr="00303A3F">
        <w:rPr>
          <w:noProof/>
        </w:rPr>
        <w:t xml:space="preserve">storage projects. Cooperative Research Centre for Greenhouse Gas Technologies (CO2CRC), CO2CRC Report RPT08-1001, CO2CRC, </w:t>
      </w:r>
      <w:r>
        <w:rPr>
          <w:noProof/>
        </w:rPr>
        <w:t>Canberra</w:t>
      </w:r>
      <w:r w:rsidRPr="00303A3F">
        <w:rPr>
          <w:noProof/>
        </w:rPr>
        <w:t>.</w:t>
      </w:r>
    </w:p>
    <w:p w:rsidR="00AE0B1A" w:rsidRPr="00303A3F" w:rsidRDefault="00AE0B1A" w:rsidP="00AE0B1A">
      <w:pPr>
        <w:pStyle w:val="References"/>
        <w:rPr>
          <w:noProof/>
        </w:rPr>
      </w:pPr>
      <w:r w:rsidRPr="00303A3F">
        <w:rPr>
          <w:noProof/>
        </w:rPr>
        <w:t xml:space="preserve">Colwell, J.B. and </w:t>
      </w:r>
      <w:r>
        <w:rPr>
          <w:noProof/>
        </w:rPr>
        <w:t>Kennard, J.M. (Compilers), 1996.</w:t>
      </w:r>
      <w:r w:rsidRPr="00303A3F">
        <w:rPr>
          <w:noProof/>
        </w:rPr>
        <w:t xml:space="preserve"> Petrel Sub-basin Study 1995-1996: Summary Report. Australian Geological Survey Organisation Record</w:t>
      </w:r>
      <w:r>
        <w:rPr>
          <w:noProof/>
        </w:rPr>
        <w:t xml:space="preserve"> 1996/40</w:t>
      </w:r>
      <w:r w:rsidRPr="00303A3F">
        <w:rPr>
          <w:noProof/>
        </w:rPr>
        <w:t xml:space="preserve">, </w:t>
      </w:r>
      <w:r>
        <w:rPr>
          <w:noProof/>
        </w:rPr>
        <w:t>Canberra</w:t>
      </w:r>
      <w:r w:rsidRPr="00303A3F">
        <w:rPr>
          <w:noProof/>
        </w:rPr>
        <w:t>, 122 pp.</w:t>
      </w:r>
    </w:p>
    <w:p w:rsidR="00AE0B1A" w:rsidRPr="00303A3F" w:rsidRDefault="00AE0B1A" w:rsidP="00AE0B1A">
      <w:pPr>
        <w:pStyle w:val="References"/>
        <w:rPr>
          <w:noProof/>
        </w:rPr>
      </w:pPr>
      <w:r w:rsidRPr="00303A3F">
        <w:rPr>
          <w:noProof/>
        </w:rPr>
        <w:t>Cook, P. J. 2012</w:t>
      </w:r>
      <w:r>
        <w:rPr>
          <w:noProof/>
        </w:rPr>
        <w:t>.</w:t>
      </w:r>
      <w:r w:rsidRPr="00303A3F">
        <w:rPr>
          <w:noProof/>
        </w:rPr>
        <w:t xml:space="preserve"> Clean Energy, Climate and Carbon. CSIRO Publishing, Melbourne, Australia, 215 pp.</w:t>
      </w:r>
    </w:p>
    <w:p w:rsidR="00AE0B1A" w:rsidRPr="00303A3F" w:rsidRDefault="00AE0B1A" w:rsidP="00AE0B1A">
      <w:pPr>
        <w:pStyle w:val="References"/>
        <w:rPr>
          <w:noProof/>
        </w:rPr>
      </w:pPr>
      <w:r w:rsidRPr="00303A3F">
        <w:rPr>
          <w:noProof/>
        </w:rPr>
        <w:t>Cook, P.J., Rigg, A. and Bradshaw, J., 2000</w:t>
      </w:r>
      <w:r>
        <w:rPr>
          <w:noProof/>
        </w:rPr>
        <w:t>.</w:t>
      </w:r>
      <w:r w:rsidRPr="00303A3F">
        <w:rPr>
          <w:noProof/>
        </w:rPr>
        <w:t xml:space="preserve"> Putting it back where it came from; is geological disposal of carbon dioxide an option for Australia? The APPEA Journal, 40</w:t>
      </w:r>
      <w:r>
        <w:rPr>
          <w:noProof/>
        </w:rPr>
        <w:t>(</w:t>
      </w:r>
      <w:r w:rsidRPr="00303A3F">
        <w:rPr>
          <w:noProof/>
        </w:rPr>
        <w:t>1</w:t>
      </w:r>
      <w:r>
        <w:rPr>
          <w:noProof/>
        </w:rPr>
        <w:t>)</w:t>
      </w:r>
      <w:r w:rsidRPr="00303A3F">
        <w:rPr>
          <w:noProof/>
        </w:rPr>
        <w:t>, 654-666.</w:t>
      </w:r>
    </w:p>
    <w:p w:rsidR="00AE0B1A" w:rsidRPr="00303A3F" w:rsidRDefault="00AE0B1A" w:rsidP="00AE0B1A">
      <w:pPr>
        <w:pStyle w:val="References"/>
        <w:rPr>
          <w:noProof/>
        </w:rPr>
      </w:pPr>
      <w:r w:rsidRPr="00303A3F">
        <w:rPr>
          <w:noProof/>
        </w:rPr>
        <w:t>Department of Energy (DOE), 2007</w:t>
      </w:r>
      <w:r>
        <w:rPr>
          <w:noProof/>
        </w:rPr>
        <w:t>.</w:t>
      </w:r>
      <w:r w:rsidRPr="00303A3F">
        <w:rPr>
          <w:noProof/>
        </w:rPr>
        <w:t xml:space="preserve"> Appendix A: Methodology for development of carbon sequestration capacity estimates, Carbon Sequestration Atlas of the United States and Canada. U.S. Department of Energy, National Energy Technology Laboratory, 71-86.</w:t>
      </w:r>
    </w:p>
    <w:p w:rsidR="00AE0B1A" w:rsidRPr="00303A3F" w:rsidRDefault="00AE0B1A" w:rsidP="00AE0B1A">
      <w:pPr>
        <w:pStyle w:val="References"/>
        <w:rPr>
          <w:noProof/>
        </w:rPr>
      </w:pPr>
      <w:r w:rsidRPr="00303A3F">
        <w:rPr>
          <w:noProof/>
        </w:rPr>
        <w:t>Frankowicz, E. and McClay, K.R., 2010</w:t>
      </w:r>
      <w:r>
        <w:rPr>
          <w:noProof/>
        </w:rPr>
        <w:t>.</w:t>
      </w:r>
      <w:r w:rsidRPr="00303A3F">
        <w:rPr>
          <w:noProof/>
        </w:rPr>
        <w:t xml:space="preserve"> Extenional fault segmentation and linkages, Bonaparte Basin outer North West She</w:t>
      </w:r>
      <w:r>
        <w:rPr>
          <w:noProof/>
        </w:rPr>
        <w:t xml:space="preserve">lf Australia. AAPG Bulletin, </w:t>
      </w:r>
      <w:r w:rsidRPr="00303A3F">
        <w:rPr>
          <w:noProof/>
        </w:rPr>
        <w:t>94</w:t>
      </w:r>
      <w:r>
        <w:rPr>
          <w:noProof/>
        </w:rPr>
        <w:t>(</w:t>
      </w:r>
      <w:r w:rsidRPr="00303A3F">
        <w:rPr>
          <w:noProof/>
        </w:rPr>
        <w:t>7</w:t>
      </w:r>
      <w:r>
        <w:rPr>
          <w:noProof/>
        </w:rPr>
        <w:t>)</w:t>
      </w:r>
      <w:r w:rsidRPr="00303A3F">
        <w:rPr>
          <w:noProof/>
        </w:rPr>
        <w:t>, 977-1010.</w:t>
      </w:r>
    </w:p>
    <w:p w:rsidR="00AE0B1A" w:rsidRPr="00303A3F" w:rsidRDefault="00AE0B1A" w:rsidP="00AE0B1A">
      <w:pPr>
        <w:pStyle w:val="References"/>
        <w:rPr>
          <w:noProof/>
        </w:rPr>
      </w:pPr>
      <w:r w:rsidRPr="00303A3F">
        <w:rPr>
          <w:noProof/>
        </w:rPr>
        <w:t>Gay, A., Lopez, M., Cochonat, P. and Sermondadaz, G., 2004</w:t>
      </w:r>
      <w:r>
        <w:rPr>
          <w:noProof/>
        </w:rPr>
        <w:t>.</w:t>
      </w:r>
      <w:r w:rsidRPr="00303A3F">
        <w:rPr>
          <w:noProof/>
        </w:rPr>
        <w:t xml:space="preserve"> Polygonal faults-furrows system related to early stages of compaction - upper Miocene to recent sediments of the Lower Congo Basin. Basin Research, 16, 101-116.</w:t>
      </w:r>
    </w:p>
    <w:p w:rsidR="00AE0B1A" w:rsidRPr="00303A3F" w:rsidRDefault="00AE0B1A" w:rsidP="00AE0B1A">
      <w:pPr>
        <w:pStyle w:val="References"/>
        <w:rPr>
          <w:noProof/>
        </w:rPr>
      </w:pPr>
      <w:r w:rsidRPr="00303A3F">
        <w:rPr>
          <w:noProof/>
        </w:rPr>
        <w:lastRenderedPageBreak/>
        <w:t>Gibson-Poole, C.M., 2009</w:t>
      </w:r>
      <w:r>
        <w:rPr>
          <w:noProof/>
        </w:rPr>
        <w:t>.</w:t>
      </w:r>
      <w:r w:rsidRPr="00303A3F">
        <w:rPr>
          <w:noProof/>
        </w:rPr>
        <w:t xml:space="preserve"> Site Characterisation for Geological Storage of Carbon Dioxide: Examples of Potential Sites from the North West Shelf, Australia, PhD Thesis, University of Adelaide, Adelaide, Australia.</w:t>
      </w:r>
    </w:p>
    <w:p w:rsidR="00AE0B1A" w:rsidRPr="00303A3F" w:rsidRDefault="00AE0B1A" w:rsidP="00AE0B1A">
      <w:pPr>
        <w:pStyle w:val="References"/>
        <w:rPr>
          <w:noProof/>
        </w:rPr>
      </w:pPr>
      <w:r w:rsidRPr="00303A3F">
        <w:rPr>
          <w:noProof/>
        </w:rPr>
        <w:t>Gibson-Poole, C.M., Lang, S.C., Streit, J.E., Kraishan, G.M. and Hillis, R.R., 2002</w:t>
      </w:r>
      <w:r>
        <w:rPr>
          <w:noProof/>
        </w:rPr>
        <w:t>.</w:t>
      </w:r>
      <w:r w:rsidRPr="00303A3F">
        <w:rPr>
          <w:noProof/>
        </w:rPr>
        <w:t xml:space="preserve"> Assessing a basin's potential for geological sequestration of carbon dioxide; an example from the Mesozoic of the Petrel Sub-basin, NW Australia. In: Keep, M. and Moss, S. (Editors), The Sedimentary Basins of Western Australia 3: Proceedings of the Petroleum Exploration Society of A</w:t>
      </w:r>
      <w:r>
        <w:rPr>
          <w:noProof/>
        </w:rPr>
        <w:t>ustralia Symposium, Perth,</w:t>
      </w:r>
      <w:r w:rsidRPr="00303A3F">
        <w:rPr>
          <w:noProof/>
        </w:rPr>
        <w:t xml:space="preserve"> 439-463.</w:t>
      </w:r>
    </w:p>
    <w:p w:rsidR="00AE0B1A" w:rsidRPr="00303A3F" w:rsidRDefault="00AE0B1A" w:rsidP="00AE0B1A">
      <w:pPr>
        <w:pStyle w:val="References"/>
        <w:rPr>
          <w:noProof/>
        </w:rPr>
      </w:pPr>
      <w:r>
        <w:rPr>
          <w:noProof/>
        </w:rPr>
        <w:t>Global CCS Institute, 2013. The Global Status of CCS: 2013</w:t>
      </w:r>
      <w:r w:rsidRPr="00303A3F">
        <w:rPr>
          <w:noProof/>
        </w:rPr>
        <w:t xml:space="preserve">, </w:t>
      </w:r>
      <w:r>
        <w:rPr>
          <w:noProof/>
        </w:rPr>
        <w:t>Melbourne</w:t>
      </w:r>
      <w:r w:rsidRPr="00303A3F">
        <w:rPr>
          <w:noProof/>
        </w:rPr>
        <w:t>, Australia.</w:t>
      </w:r>
    </w:p>
    <w:p w:rsidR="00AE0B1A" w:rsidRDefault="00AE0B1A" w:rsidP="00AE0B1A">
      <w:pPr>
        <w:pStyle w:val="References"/>
        <w:rPr>
          <w:noProof/>
        </w:rPr>
      </w:pPr>
      <w:r w:rsidRPr="00303A3F">
        <w:rPr>
          <w:noProof/>
        </w:rPr>
        <w:t>Goncharov, A.G., Collins, C.D.N., Petkovic, P. and Fomin, T.N., 1999</w:t>
      </w:r>
      <w:r>
        <w:rPr>
          <w:noProof/>
        </w:rPr>
        <w:t>.</w:t>
      </w:r>
      <w:r w:rsidRPr="00303A3F">
        <w:rPr>
          <w:noProof/>
        </w:rPr>
        <w:t xml:space="preserve"> Seismic velocities in the Petrel Sub-basin from the ocean-bottom seismograph studies: implications for crustal structure and petroleum prospecting. The</w:t>
      </w:r>
      <w:r>
        <w:rPr>
          <w:noProof/>
        </w:rPr>
        <w:t xml:space="preserve"> APPEA Journal, 39(1),</w:t>
      </w:r>
      <w:r w:rsidRPr="00303A3F">
        <w:rPr>
          <w:noProof/>
        </w:rPr>
        <w:t xml:space="preserve"> 729-730.</w:t>
      </w:r>
    </w:p>
    <w:p w:rsidR="00AE0B1A" w:rsidRPr="00303A3F" w:rsidRDefault="00AE0B1A" w:rsidP="00AE0B1A">
      <w:pPr>
        <w:pStyle w:val="References"/>
        <w:rPr>
          <w:noProof/>
        </w:rPr>
      </w:pPr>
      <w:r w:rsidRPr="00303A3F">
        <w:rPr>
          <w:noProof/>
        </w:rPr>
        <w:t>Gorter, J.D., Nicoll, R.S., Metcalfe, I., Willink, R.J. and Ferdinando, D., 2009</w:t>
      </w:r>
      <w:r>
        <w:rPr>
          <w:noProof/>
        </w:rPr>
        <w:t>.</w:t>
      </w:r>
      <w:r w:rsidRPr="00303A3F">
        <w:rPr>
          <w:noProof/>
        </w:rPr>
        <w:t xml:space="preserve"> The Permian–Triassic boundary in Western Australia: evidence from the Bonaparte and northern Perth basins: exploration implications. The APPEA Journal, 49, 311–336.</w:t>
      </w:r>
    </w:p>
    <w:p w:rsidR="00AE0B1A" w:rsidRDefault="00AE0B1A" w:rsidP="00AE0B1A">
      <w:pPr>
        <w:pStyle w:val="References"/>
      </w:pPr>
      <w:r w:rsidRPr="00942CC1">
        <w:rPr>
          <w:noProof/>
        </w:rPr>
        <w:t xml:space="preserve">Gorter, J.D.1998. Revised Upper Permian stratigraphy of the Bonaparte basin. </w:t>
      </w:r>
      <w:r>
        <w:rPr>
          <w:noProof/>
        </w:rPr>
        <w:t>In: Purcell, P.G. and</w:t>
      </w:r>
      <w:r w:rsidRPr="00303A3F">
        <w:rPr>
          <w:noProof/>
        </w:rPr>
        <w:t xml:space="preserve"> Purcell, R.R. (Editors), The Sedimentary Basins of Western Australia 2: Proceedings of the Petroleum Exploration Society of Australia Symposium, Perth, </w:t>
      </w:r>
      <w:r w:rsidRPr="00942CC1">
        <w:rPr>
          <w:noProof/>
        </w:rPr>
        <w:t>213–228</w:t>
      </w:r>
    </w:p>
    <w:p w:rsidR="00AE0B1A" w:rsidRDefault="00AE0B1A" w:rsidP="00AE0B1A">
      <w:pPr>
        <w:pStyle w:val="References"/>
        <w:rPr>
          <w:noProof/>
        </w:rPr>
      </w:pPr>
      <w:bookmarkStart w:id="1067" w:name="_ENREF_13"/>
      <w:r>
        <w:rPr>
          <w:noProof/>
        </w:rPr>
        <w:t>Gradstein, F.M., Ogg, J.G., Schmitz, M.D. and Ogg, G.M.e., 2012. The Geologic Time Scale 2012, 1 and 2, 1144 pp.</w:t>
      </w:r>
      <w:bookmarkEnd w:id="1067"/>
    </w:p>
    <w:p w:rsidR="00AE0B1A" w:rsidRDefault="00AE0B1A" w:rsidP="00AE0B1A">
      <w:pPr>
        <w:pStyle w:val="References"/>
        <w:rPr>
          <w:noProof/>
        </w:rPr>
      </w:pPr>
      <w:r w:rsidRPr="00303A3F">
        <w:rPr>
          <w:noProof/>
        </w:rPr>
        <w:t>Gunn, P., 1988</w:t>
      </w:r>
      <w:r>
        <w:rPr>
          <w:noProof/>
        </w:rPr>
        <w:t>.</w:t>
      </w:r>
      <w:r w:rsidRPr="00303A3F">
        <w:rPr>
          <w:noProof/>
        </w:rPr>
        <w:t xml:space="preserve"> Bonaparte rift basin: effects of axial doming and crustal spreading. Exploration Geophysics, 19</w:t>
      </w:r>
      <w:r>
        <w:rPr>
          <w:noProof/>
        </w:rPr>
        <w:t>(</w:t>
      </w:r>
      <w:r w:rsidRPr="00303A3F">
        <w:rPr>
          <w:noProof/>
        </w:rPr>
        <w:t>2</w:t>
      </w:r>
      <w:r>
        <w:rPr>
          <w:noProof/>
        </w:rPr>
        <w:t>)</w:t>
      </w:r>
      <w:r w:rsidRPr="00303A3F">
        <w:rPr>
          <w:noProof/>
        </w:rPr>
        <w:t>, 83-87.</w:t>
      </w:r>
    </w:p>
    <w:p w:rsidR="0059537E" w:rsidRDefault="0059537E" w:rsidP="00F60B69">
      <w:pPr>
        <w:pStyle w:val="References"/>
      </w:pPr>
      <w:proofErr w:type="spellStart"/>
      <w:r w:rsidRPr="0059537E">
        <w:t>Heidbach</w:t>
      </w:r>
      <w:proofErr w:type="spellEnd"/>
      <w:r w:rsidRPr="0059537E">
        <w:t xml:space="preserve">, O., </w:t>
      </w:r>
      <w:proofErr w:type="spellStart"/>
      <w:r w:rsidRPr="0059537E">
        <w:t>Tingay</w:t>
      </w:r>
      <w:proofErr w:type="spellEnd"/>
      <w:r w:rsidRPr="0059537E">
        <w:t xml:space="preserve">, M., Barth, A., </w:t>
      </w:r>
      <w:proofErr w:type="spellStart"/>
      <w:r w:rsidRPr="0059537E">
        <w:t>Reinecker</w:t>
      </w:r>
      <w:proofErr w:type="spellEnd"/>
      <w:r w:rsidRPr="0059537E">
        <w:t xml:space="preserve">, J., </w:t>
      </w:r>
      <w:proofErr w:type="spellStart"/>
      <w:r w:rsidRPr="0059537E">
        <w:t>Kurfeß</w:t>
      </w:r>
      <w:proofErr w:type="spellEnd"/>
      <w:r w:rsidRPr="0059537E">
        <w:t xml:space="preserve">, D. and Müller, B., 2009. The World Stress Map based on the database release 2008, equatorial scale 1:46,000,000, Commission for the Geological Map of the World, Paris, </w:t>
      </w:r>
      <w:proofErr w:type="gramStart"/>
      <w:r w:rsidRPr="0059537E">
        <w:t>doi:10.1594</w:t>
      </w:r>
      <w:proofErr w:type="gramEnd"/>
      <w:r w:rsidRPr="0059537E">
        <w:t>/GFZ.WSM.Map2009.</w:t>
      </w:r>
    </w:p>
    <w:p w:rsidR="00AE0B1A" w:rsidRPr="00F60B69" w:rsidRDefault="00AE0B1A" w:rsidP="00F60B69">
      <w:pPr>
        <w:pStyle w:val="References"/>
      </w:pPr>
      <w:proofErr w:type="spellStart"/>
      <w:r w:rsidRPr="00F60B69">
        <w:t>Hillis</w:t>
      </w:r>
      <w:proofErr w:type="spellEnd"/>
      <w:r w:rsidRPr="00F60B69">
        <w:t>, R.R. and Reynolds, S.D., 2000. The Australian stress map. Journal of Geological Society of London, 157(5), 915-921.</w:t>
      </w:r>
    </w:p>
    <w:p w:rsidR="00AE0B1A" w:rsidRPr="00303A3F" w:rsidRDefault="00AE0B1A" w:rsidP="00AE0B1A">
      <w:pPr>
        <w:pStyle w:val="References"/>
        <w:rPr>
          <w:noProof/>
        </w:rPr>
      </w:pPr>
      <w:r w:rsidRPr="00303A3F">
        <w:rPr>
          <w:noProof/>
        </w:rPr>
        <w:t>Holloway, S., 2007</w:t>
      </w:r>
      <w:r>
        <w:rPr>
          <w:noProof/>
        </w:rPr>
        <w:t>.</w:t>
      </w:r>
      <w:r w:rsidRPr="00303A3F">
        <w:rPr>
          <w:noProof/>
        </w:rPr>
        <w:t xml:space="preserve"> Carbon dioxide capture and geological storage. Philosophical Transactions of the Royal Society A: Mathematical, Physical and Engineering Sciences, 365</w:t>
      </w:r>
      <w:r>
        <w:rPr>
          <w:noProof/>
        </w:rPr>
        <w:t>(</w:t>
      </w:r>
      <w:r w:rsidRPr="00303A3F">
        <w:rPr>
          <w:noProof/>
        </w:rPr>
        <w:t>1853</w:t>
      </w:r>
      <w:r>
        <w:rPr>
          <w:noProof/>
        </w:rPr>
        <w:t>)</w:t>
      </w:r>
      <w:r w:rsidRPr="00303A3F">
        <w:rPr>
          <w:noProof/>
        </w:rPr>
        <w:t>, 1095-1107.</w:t>
      </w:r>
    </w:p>
    <w:p w:rsidR="00AE0B1A" w:rsidRPr="00303A3F" w:rsidRDefault="00AE0B1A" w:rsidP="00AE0B1A">
      <w:pPr>
        <w:pStyle w:val="References"/>
        <w:rPr>
          <w:noProof/>
        </w:rPr>
      </w:pPr>
      <w:r w:rsidRPr="00303A3F">
        <w:rPr>
          <w:noProof/>
        </w:rPr>
        <w:t>Holtz, H.M., 2002</w:t>
      </w:r>
      <w:r>
        <w:rPr>
          <w:noProof/>
        </w:rPr>
        <w:t>.</w:t>
      </w:r>
      <w:r w:rsidRPr="00303A3F">
        <w:rPr>
          <w:noProof/>
        </w:rPr>
        <w:t xml:space="preserve"> Residual Gas Saturation to Aquifer Influx: A Calculation Method for 3-D Computer Reservoir Model Construction. </w:t>
      </w:r>
      <w:r>
        <w:rPr>
          <w:noProof/>
        </w:rPr>
        <w:t xml:space="preserve">Paper </w:t>
      </w:r>
      <w:r w:rsidRPr="00303A3F">
        <w:rPr>
          <w:noProof/>
        </w:rPr>
        <w:t>SPE</w:t>
      </w:r>
      <w:r>
        <w:rPr>
          <w:noProof/>
        </w:rPr>
        <w:t xml:space="preserve"> </w:t>
      </w:r>
      <w:r w:rsidRPr="00303A3F">
        <w:rPr>
          <w:noProof/>
        </w:rPr>
        <w:t>75502</w:t>
      </w:r>
      <w:r>
        <w:rPr>
          <w:noProof/>
        </w:rPr>
        <w:t>, presented at SPE Gas Technology Symposium, Calgary, Canada.</w:t>
      </w:r>
    </w:p>
    <w:p w:rsidR="00AE0B1A" w:rsidRDefault="00AE0B1A" w:rsidP="00AE0B1A">
      <w:pPr>
        <w:pStyle w:val="References"/>
      </w:pPr>
      <w:r>
        <w:t xml:space="preserve">IPCC, 2005. IPCC Special Report on Carbon Dioxide Capture and Storage. Prepared by Working Group III of the Intergovernmental Panel on Climate Change [Metz, B., O. Davidson, H. C. de </w:t>
      </w:r>
      <w:proofErr w:type="spellStart"/>
      <w:r>
        <w:t>Coninck</w:t>
      </w:r>
      <w:proofErr w:type="spellEnd"/>
      <w:r>
        <w:t>, M. Loos, and L. A. Meyer (eds.)]. Cambridge University Press, Cambridge, United Kingdom and New York, NY, USA, 442 pp.</w:t>
      </w:r>
    </w:p>
    <w:p w:rsidR="00AE0B1A" w:rsidRPr="00303A3F" w:rsidRDefault="00AE0B1A" w:rsidP="00AE0B1A">
      <w:pPr>
        <w:pStyle w:val="References"/>
        <w:rPr>
          <w:noProof/>
        </w:rPr>
      </w:pPr>
      <w:r w:rsidRPr="00303A3F">
        <w:rPr>
          <w:noProof/>
        </w:rPr>
        <w:t>Johnston, S. and Goncharov, A., 2012</w:t>
      </w:r>
      <w:r>
        <w:rPr>
          <w:noProof/>
        </w:rPr>
        <w:t>.</w:t>
      </w:r>
      <w:r w:rsidRPr="00303A3F">
        <w:rPr>
          <w:noProof/>
        </w:rPr>
        <w:t xml:space="preserve"> Velocity Analysis and Depth Conversion in the Offshore Northern Perth Basin, Australia. Geoscience Australia Record, 2012/33, Geoscience Australia, Canberra.</w:t>
      </w:r>
    </w:p>
    <w:p w:rsidR="00AE0B1A" w:rsidRPr="009624AB" w:rsidRDefault="00AE0B1A" w:rsidP="00AE0B1A">
      <w:pPr>
        <w:pStyle w:val="References"/>
        <w:rPr>
          <w:noProof/>
        </w:rPr>
      </w:pPr>
      <w:r>
        <w:rPr>
          <w:noProof/>
        </w:rPr>
        <w:t xml:space="preserve">Kaldi, J., Daniel, R., Tenthorey, E., Michael, K., Schacht, U., Nicol, A., Underschultz, J. and Backe, G., 2013. </w:t>
      </w:r>
      <w:r w:rsidRPr="009624AB">
        <w:rPr>
          <w:noProof/>
        </w:rPr>
        <w:t>Containment of CO</w:t>
      </w:r>
      <w:r w:rsidRPr="00255748">
        <w:rPr>
          <w:rStyle w:val="Subscript"/>
        </w:rPr>
        <w:t>2</w:t>
      </w:r>
      <w:r w:rsidRPr="009624AB">
        <w:rPr>
          <w:noProof/>
        </w:rPr>
        <w:t xml:space="preserve"> in CCS: Role of Caprocks and Faults</w:t>
      </w:r>
      <w:r>
        <w:rPr>
          <w:noProof/>
        </w:rPr>
        <w:t>. Energy Procedia, 37, 5403-5410.</w:t>
      </w:r>
    </w:p>
    <w:p w:rsidR="00AE0B1A" w:rsidRPr="00303A3F" w:rsidRDefault="00AE0B1A" w:rsidP="00AE0B1A">
      <w:pPr>
        <w:pStyle w:val="References"/>
        <w:rPr>
          <w:noProof/>
        </w:rPr>
      </w:pPr>
      <w:r w:rsidRPr="00303A3F">
        <w:rPr>
          <w:noProof/>
        </w:rPr>
        <w:t>Keep, M., Clough, M. and Lenghi, L., 2002</w:t>
      </w:r>
      <w:r>
        <w:rPr>
          <w:noProof/>
        </w:rPr>
        <w:t>.</w:t>
      </w:r>
      <w:r w:rsidRPr="00303A3F">
        <w:rPr>
          <w:noProof/>
        </w:rPr>
        <w:t xml:space="preserve"> Neogene tectonic and structural evolution of the Timor Sea region, NW Australia. In: Keep, M. and Moss, S. (Editors), The Sedimentary Basins of Western Australia 3: Proceedings of the Petroleum Exploration Society of Australia Symposium, Perth, 341-353.</w:t>
      </w:r>
    </w:p>
    <w:p w:rsidR="00AE0B1A" w:rsidRPr="00303A3F" w:rsidRDefault="00AE0B1A" w:rsidP="00AE0B1A">
      <w:pPr>
        <w:pStyle w:val="References"/>
        <w:rPr>
          <w:noProof/>
        </w:rPr>
      </w:pPr>
      <w:r w:rsidRPr="00303A3F">
        <w:rPr>
          <w:noProof/>
        </w:rPr>
        <w:t>Kennard, J.M., Deighton, I., Edwards, D.S., Boreham, C.J. and Barrett, A.G., 2002</w:t>
      </w:r>
      <w:r>
        <w:rPr>
          <w:noProof/>
        </w:rPr>
        <w:t>.</w:t>
      </w:r>
      <w:r w:rsidRPr="00303A3F">
        <w:rPr>
          <w:noProof/>
        </w:rPr>
        <w:t xml:space="preserve"> Subsidence and thermal history modeling: new insights into hydrocarbon expulsion from multiple petroleum systems in the Petrel Sub-basin, Bonaparte Basin. In: Keep, M. and Moss, S. (Editors), The Sedimentary Basins of Western Australia 3: Proceedings of the Petroleum Exploration Society of Australia Symposium, Perth, 409-437.</w:t>
      </w:r>
      <w:r w:rsidRPr="00303A3F" w:rsidDel="004622F8">
        <w:rPr>
          <w:noProof/>
        </w:rPr>
        <w:t xml:space="preserve"> </w:t>
      </w:r>
    </w:p>
    <w:p w:rsidR="00AE0B1A" w:rsidRPr="00303A3F" w:rsidRDefault="00AE0B1A" w:rsidP="00AE0B1A">
      <w:pPr>
        <w:pStyle w:val="References"/>
        <w:rPr>
          <w:noProof/>
        </w:rPr>
      </w:pPr>
      <w:r w:rsidRPr="00303A3F">
        <w:rPr>
          <w:noProof/>
        </w:rPr>
        <w:lastRenderedPageBreak/>
        <w:t>Lang, S.C. and Gibson-Poole, C.M., 2001</w:t>
      </w:r>
      <w:r>
        <w:rPr>
          <w:noProof/>
        </w:rPr>
        <w:t>.</w:t>
      </w:r>
      <w:r w:rsidRPr="00303A3F">
        <w:rPr>
          <w:noProof/>
        </w:rPr>
        <w:t xml:space="preserve"> Geological Model – Petrel Sub-basin, North West Australia. GEODISC Project, Site Specific Studies for Geological Disposal of Carbon Dioxide. GEODISC2-2001-001, National Centre for Petroleum Geology and Geophysics (NCPGG) and Australian Petroleum Cooperative Research Centre (APCRC), University of Adelaide, Adelaide, Australia.</w:t>
      </w:r>
    </w:p>
    <w:p w:rsidR="00AE0B1A" w:rsidRPr="00303A3F" w:rsidRDefault="00AE0B1A" w:rsidP="00AE0B1A">
      <w:pPr>
        <w:pStyle w:val="References"/>
        <w:rPr>
          <w:noProof/>
        </w:rPr>
      </w:pPr>
      <w:r w:rsidRPr="00303A3F">
        <w:rPr>
          <w:noProof/>
        </w:rPr>
        <w:t>Laurent, D., Gay, A., Baudon, C., Berndt, C., Soliva, R., Planke, S., Mourgues, R., Lacaze, S., Pauget, F., Mangue, M. and Lopez, M., 2012</w:t>
      </w:r>
      <w:r>
        <w:rPr>
          <w:noProof/>
        </w:rPr>
        <w:t>.</w:t>
      </w:r>
      <w:r w:rsidRPr="00303A3F">
        <w:rPr>
          <w:noProof/>
        </w:rPr>
        <w:t xml:space="preserve"> High-resolution architecture of a polygonal fault interval inferred from geomodel applied to 3D seismic data from the Gjallar Ridge, Voring Basin, Offshore Norway. Marine Geology, 332-334, 134-151.</w:t>
      </w:r>
    </w:p>
    <w:p w:rsidR="00AE0B1A" w:rsidRPr="00303A3F" w:rsidRDefault="00AE0B1A" w:rsidP="00AE0B1A">
      <w:pPr>
        <w:pStyle w:val="References"/>
        <w:rPr>
          <w:noProof/>
        </w:rPr>
      </w:pPr>
      <w:r w:rsidRPr="00303A3F">
        <w:rPr>
          <w:noProof/>
        </w:rPr>
        <w:t>Lee, R. and Gunn, P., 1988</w:t>
      </w:r>
      <w:r>
        <w:rPr>
          <w:noProof/>
        </w:rPr>
        <w:t>.</w:t>
      </w:r>
      <w:r w:rsidRPr="00303A3F">
        <w:rPr>
          <w:noProof/>
        </w:rPr>
        <w:t xml:space="preserve"> Bonaparte Basin. Petroleum in Australia: The First Century. The APEA Journal</w:t>
      </w:r>
      <w:r>
        <w:rPr>
          <w:noProof/>
        </w:rPr>
        <w:t xml:space="preserve">, </w:t>
      </w:r>
      <w:r w:rsidRPr="00303A3F">
        <w:rPr>
          <w:noProof/>
        </w:rPr>
        <w:t>28</w:t>
      </w:r>
      <w:r>
        <w:rPr>
          <w:noProof/>
        </w:rPr>
        <w:t>(</w:t>
      </w:r>
      <w:r w:rsidRPr="00303A3F">
        <w:rPr>
          <w:noProof/>
        </w:rPr>
        <w:t>1</w:t>
      </w:r>
      <w:r>
        <w:rPr>
          <w:noProof/>
        </w:rPr>
        <w:t>)</w:t>
      </w:r>
      <w:r w:rsidRPr="00303A3F">
        <w:rPr>
          <w:noProof/>
        </w:rPr>
        <w:t>, 252–269.</w:t>
      </w:r>
    </w:p>
    <w:p w:rsidR="00AE0B1A" w:rsidRPr="00303A3F" w:rsidRDefault="00AE0B1A" w:rsidP="00AE0B1A">
      <w:pPr>
        <w:pStyle w:val="References"/>
        <w:rPr>
          <w:noProof/>
        </w:rPr>
      </w:pPr>
      <w:r w:rsidRPr="00303A3F">
        <w:rPr>
          <w:noProof/>
        </w:rPr>
        <w:t>Lemon, N.M. and Barnes, C.R., 1997</w:t>
      </w:r>
      <w:r>
        <w:rPr>
          <w:noProof/>
        </w:rPr>
        <w:t>.</w:t>
      </w:r>
      <w:r w:rsidRPr="00303A3F">
        <w:rPr>
          <w:noProof/>
        </w:rPr>
        <w:t xml:space="preserve"> Salt migration and subtle structures: modelling of the Petrel Sub-basin, </w:t>
      </w:r>
      <w:r>
        <w:rPr>
          <w:noProof/>
        </w:rPr>
        <w:t>northwest</w:t>
      </w:r>
      <w:r w:rsidRPr="00303A3F">
        <w:rPr>
          <w:noProof/>
        </w:rPr>
        <w:t xml:space="preserve"> Australia. The APPEA Journal, 37</w:t>
      </w:r>
      <w:r>
        <w:rPr>
          <w:noProof/>
        </w:rPr>
        <w:t>(</w:t>
      </w:r>
      <w:r w:rsidRPr="00303A3F">
        <w:rPr>
          <w:noProof/>
        </w:rPr>
        <w:t>1</w:t>
      </w:r>
      <w:r>
        <w:rPr>
          <w:noProof/>
        </w:rPr>
        <w:t>)</w:t>
      </w:r>
      <w:r w:rsidRPr="00303A3F">
        <w:rPr>
          <w:noProof/>
        </w:rPr>
        <w:t>, 245-258.</w:t>
      </w:r>
    </w:p>
    <w:p w:rsidR="00AE0B1A" w:rsidRPr="00303A3F" w:rsidRDefault="00AE0B1A" w:rsidP="00AE0B1A">
      <w:pPr>
        <w:pStyle w:val="References"/>
        <w:rPr>
          <w:noProof/>
        </w:rPr>
      </w:pPr>
      <w:r w:rsidRPr="00303A3F">
        <w:rPr>
          <w:noProof/>
        </w:rPr>
        <w:t>Lonergan, L., Cartwright, J. and Jolly, R., 1998</w:t>
      </w:r>
      <w:r>
        <w:rPr>
          <w:noProof/>
        </w:rPr>
        <w:t>.</w:t>
      </w:r>
      <w:r w:rsidRPr="00303A3F">
        <w:rPr>
          <w:noProof/>
        </w:rPr>
        <w:t xml:space="preserve"> The geometry of polygonal fault systems in Tertiary mudrocks of the North Sea. Journal of Structural Geology, 20</w:t>
      </w:r>
      <w:r>
        <w:rPr>
          <w:noProof/>
        </w:rPr>
        <w:t>(</w:t>
      </w:r>
      <w:r w:rsidRPr="00303A3F">
        <w:rPr>
          <w:noProof/>
        </w:rPr>
        <w:t>5</w:t>
      </w:r>
      <w:r>
        <w:rPr>
          <w:noProof/>
        </w:rPr>
        <w:t>)</w:t>
      </w:r>
      <w:r w:rsidRPr="00303A3F">
        <w:rPr>
          <w:noProof/>
        </w:rPr>
        <w:t>, 529-548.</w:t>
      </w:r>
    </w:p>
    <w:p w:rsidR="00AE0B1A" w:rsidRPr="00303A3F" w:rsidRDefault="00AE0B1A" w:rsidP="00AE0B1A">
      <w:pPr>
        <w:pStyle w:val="References"/>
        <w:rPr>
          <w:noProof/>
        </w:rPr>
      </w:pPr>
      <w:r w:rsidRPr="00303A3F">
        <w:rPr>
          <w:noProof/>
        </w:rPr>
        <w:t>Longley, I.M., Buessenschuett, C., Clydsdale, L., Cubitt, C.J., Davis, R.C., Johnson, M.K., Marshall, N.M., Murray, A.P., Somerville, R. and Spry, T.B., 2002</w:t>
      </w:r>
      <w:r>
        <w:rPr>
          <w:noProof/>
        </w:rPr>
        <w:t>.</w:t>
      </w:r>
      <w:r w:rsidRPr="00303A3F">
        <w:rPr>
          <w:noProof/>
        </w:rPr>
        <w:t xml:space="preserve"> The North West shelf of Australia–a Woodside perspective. In: Keep, M. and Moss, S. (Editors), The Sedimentary Basins of Western Australia 3: Proceedings of the Petroleum Exploration Society of Australia Symposium, Perth, 27-88.</w:t>
      </w:r>
    </w:p>
    <w:p w:rsidR="00AE0B1A" w:rsidRPr="00303A3F" w:rsidRDefault="00AE0B1A" w:rsidP="00AE0B1A">
      <w:pPr>
        <w:pStyle w:val="References"/>
        <w:rPr>
          <w:noProof/>
        </w:rPr>
      </w:pPr>
      <w:r w:rsidRPr="00303A3F">
        <w:rPr>
          <w:noProof/>
        </w:rPr>
        <w:t>Loutit, T.S., Summons, R.E., Bradshaw, M.T. and Bradshaw, J., 1996</w:t>
      </w:r>
      <w:r>
        <w:rPr>
          <w:noProof/>
        </w:rPr>
        <w:t>.</w:t>
      </w:r>
      <w:r w:rsidRPr="00303A3F">
        <w:rPr>
          <w:noProof/>
        </w:rPr>
        <w:t xml:space="preserve"> Petroleum systems of the North West Shelf, Australia – how many are there?, Establishing Indonesia’s Sustainable Growth in the Energy Industry: Proceedings of the Indonesian Petroleum Association’s Twenty-fifth Silver Anniversary Convention, Jakarta, Indonesia, 437-452.</w:t>
      </w:r>
    </w:p>
    <w:p w:rsidR="00AE0B1A" w:rsidRPr="00303A3F" w:rsidRDefault="00AE0B1A" w:rsidP="00AE0B1A">
      <w:pPr>
        <w:pStyle w:val="References"/>
        <w:rPr>
          <w:noProof/>
        </w:rPr>
      </w:pPr>
      <w:r w:rsidRPr="00303A3F">
        <w:rPr>
          <w:noProof/>
        </w:rPr>
        <w:t>McConachie, B.A., Bradshaw, M.T. and Bradshaw, J., 1996</w:t>
      </w:r>
      <w:r>
        <w:rPr>
          <w:noProof/>
        </w:rPr>
        <w:t>.</w:t>
      </w:r>
      <w:r w:rsidRPr="00303A3F">
        <w:rPr>
          <w:noProof/>
        </w:rPr>
        <w:t xml:space="preserve"> Petroleum systems of the Petrel Sub-basin; an integrated approach to basin analysis and identification of hydrocarbon exploration opportunities. The APPEA Journal, 36</w:t>
      </w:r>
      <w:r>
        <w:rPr>
          <w:noProof/>
        </w:rPr>
        <w:t>(</w:t>
      </w:r>
      <w:r w:rsidRPr="00303A3F">
        <w:rPr>
          <w:noProof/>
        </w:rPr>
        <w:t>1</w:t>
      </w:r>
      <w:r>
        <w:rPr>
          <w:noProof/>
        </w:rPr>
        <w:t>)</w:t>
      </w:r>
      <w:r w:rsidRPr="00303A3F">
        <w:rPr>
          <w:noProof/>
        </w:rPr>
        <w:t>, 248-268.</w:t>
      </w:r>
    </w:p>
    <w:p w:rsidR="00AE0B1A" w:rsidRPr="00303A3F" w:rsidRDefault="00AE0B1A" w:rsidP="00AE0B1A">
      <w:pPr>
        <w:pStyle w:val="References"/>
        <w:rPr>
          <w:noProof/>
        </w:rPr>
      </w:pPr>
      <w:r w:rsidRPr="00303A3F">
        <w:rPr>
          <w:noProof/>
        </w:rPr>
        <w:t>Messent, B.E.J., Goody, A.K., Collins, E. and Tobias, S., 1994</w:t>
      </w:r>
      <w:r>
        <w:rPr>
          <w:noProof/>
        </w:rPr>
        <w:t>.</w:t>
      </w:r>
      <w:r w:rsidRPr="00303A3F">
        <w:rPr>
          <w:noProof/>
        </w:rPr>
        <w:t xml:space="preserve"> Sequence stratigraphy of the Flamingo Group, southern Bonaparte Basin. In: Purcell, P.G. and Purcell, R.R. (Editors), The </w:t>
      </w:r>
      <w:r>
        <w:rPr>
          <w:noProof/>
        </w:rPr>
        <w:t>S</w:t>
      </w:r>
      <w:r w:rsidRPr="00303A3F">
        <w:rPr>
          <w:noProof/>
        </w:rPr>
        <w:t xml:space="preserve">edimentary </w:t>
      </w:r>
      <w:r>
        <w:rPr>
          <w:noProof/>
        </w:rPr>
        <w:t>B</w:t>
      </w:r>
      <w:r w:rsidRPr="00303A3F">
        <w:rPr>
          <w:noProof/>
        </w:rPr>
        <w:t>asins of Western Australia</w:t>
      </w:r>
      <w:r>
        <w:rPr>
          <w:noProof/>
        </w:rPr>
        <w:t xml:space="preserve"> 2</w:t>
      </w:r>
      <w:r w:rsidRPr="00303A3F">
        <w:rPr>
          <w:noProof/>
        </w:rPr>
        <w:t>: Proceedings of the Petroleum Exploration Society of</w:t>
      </w:r>
      <w:r>
        <w:rPr>
          <w:noProof/>
        </w:rPr>
        <w:t xml:space="preserve"> Australia Symposium, Perth, </w:t>
      </w:r>
      <w:r w:rsidRPr="00303A3F">
        <w:rPr>
          <w:noProof/>
        </w:rPr>
        <w:t>243-257.</w:t>
      </w:r>
    </w:p>
    <w:p w:rsidR="00AE0B1A" w:rsidRPr="00303A3F" w:rsidRDefault="00AE0B1A" w:rsidP="00AE0B1A">
      <w:pPr>
        <w:pStyle w:val="References"/>
        <w:rPr>
          <w:noProof/>
        </w:rPr>
      </w:pPr>
      <w:r w:rsidRPr="00303A3F">
        <w:rPr>
          <w:noProof/>
        </w:rPr>
        <w:t>Mildren, S.D., Hillis, R.R. and Jones, R.M., 2000</w:t>
      </w:r>
      <w:r>
        <w:rPr>
          <w:noProof/>
        </w:rPr>
        <w:t>.</w:t>
      </w:r>
      <w:r w:rsidRPr="00303A3F">
        <w:rPr>
          <w:noProof/>
        </w:rPr>
        <w:t xml:space="preserve"> Contemporary stress orientation and structural permeability in the Petrel Sub-basin. AAPG Bulletin, 84</w:t>
      </w:r>
      <w:r>
        <w:rPr>
          <w:noProof/>
        </w:rPr>
        <w:t>(</w:t>
      </w:r>
      <w:r w:rsidRPr="00303A3F">
        <w:rPr>
          <w:noProof/>
        </w:rPr>
        <w:t>9</w:t>
      </w:r>
      <w:r>
        <w:rPr>
          <w:noProof/>
        </w:rPr>
        <w:t>)</w:t>
      </w:r>
      <w:r w:rsidRPr="00303A3F">
        <w:rPr>
          <w:noProof/>
        </w:rPr>
        <w:t>,</w:t>
      </w:r>
      <w:r>
        <w:rPr>
          <w:noProof/>
        </w:rPr>
        <w:t xml:space="preserve"> </w:t>
      </w:r>
      <w:r w:rsidRPr="00303A3F">
        <w:rPr>
          <w:noProof/>
        </w:rPr>
        <w:t>1465.</w:t>
      </w:r>
    </w:p>
    <w:p w:rsidR="00AE0B1A" w:rsidRPr="00303A3F" w:rsidRDefault="00AE0B1A" w:rsidP="00AE0B1A">
      <w:pPr>
        <w:pStyle w:val="References"/>
        <w:rPr>
          <w:noProof/>
        </w:rPr>
      </w:pPr>
      <w:r w:rsidRPr="00303A3F">
        <w:rPr>
          <w:noProof/>
        </w:rPr>
        <w:t>Miyazaki, S., 1997</w:t>
      </w:r>
      <w:r>
        <w:rPr>
          <w:noProof/>
        </w:rPr>
        <w:t>.</w:t>
      </w:r>
      <w:r w:rsidRPr="00303A3F">
        <w:rPr>
          <w:noProof/>
        </w:rPr>
        <w:t xml:space="preserve"> Australia's </w:t>
      </w:r>
      <w:r>
        <w:rPr>
          <w:noProof/>
        </w:rPr>
        <w:t>southeast</w:t>
      </w:r>
      <w:r w:rsidRPr="00303A3F">
        <w:rPr>
          <w:noProof/>
        </w:rPr>
        <w:t>ern Bonaparte Basin has plenty of potential. Oil and Gas Journal, 95</w:t>
      </w:r>
      <w:r>
        <w:rPr>
          <w:noProof/>
        </w:rPr>
        <w:t>(</w:t>
      </w:r>
      <w:r w:rsidRPr="00303A3F">
        <w:rPr>
          <w:noProof/>
        </w:rPr>
        <w:t>16</w:t>
      </w:r>
      <w:r>
        <w:rPr>
          <w:noProof/>
        </w:rPr>
        <w:t>)</w:t>
      </w:r>
      <w:r w:rsidRPr="00303A3F">
        <w:rPr>
          <w:noProof/>
        </w:rPr>
        <w:t>, 78-81.</w:t>
      </w:r>
    </w:p>
    <w:p w:rsidR="00AE0B1A" w:rsidRPr="00303A3F" w:rsidRDefault="00AE0B1A" w:rsidP="00AE0B1A">
      <w:pPr>
        <w:pStyle w:val="References"/>
        <w:rPr>
          <w:noProof/>
          <w:lang w:val="en-US"/>
        </w:rPr>
      </w:pPr>
      <w:r w:rsidRPr="00303A3F">
        <w:rPr>
          <w:noProof/>
          <w:lang w:val="en-US"/>
        </w:rPr>
        <w:t>Mory, A. J., 1988</w:t>
      </w:r>
      <w:r>
        <w:rPr>
          <w:noProof/>
          <w:lang w:val="en-US"/>
        </w:rPr>
        <w:t>.</w:t>
      </w:r>
      <w:r w:rsidRPr="00303A3F">
        <w:rPr>
          <w:noProof/>
          <w:lang w:val="en-US"/>
        </w:rPr>
        <w:t xml:space="preserve"> Regional geology of the offshore Bonaparte Basin</w:t>
      </w:r>
      <w:r>
        <w:rPr>
          <w:noProof/>
          <w:lang w:val="en-US"/>
        </w:rPr>
        <w:t>.</w:t>
      </w:r>
      <w:r w:rsidRPr="00303A3F">
        <w:rPr>
          <w:noProof/>
        </w:rPr>
        <w:t xml:space="preserve"> In: Purcell, P.G. and Purcell, R.R. (Editors), The North West Shelf Australia: Proceedings of the Petroleum Exploration Society of Australia Symposium, Perth, p.</w:t>
      </w:r>
      <w:r w:rsidRPr="00303A3F">
        <w:rPr>
          <w:noProof/>
          <w:lang w:val="en-US"/>
        </w:rPr>
        <w:t xml:space="preserve"> 287-309.</w:t>
      </w:r>
    </w:p>
    <w:p w:rsidR="00AE0B1A" w:rsidRPr="00303A3F" w:rsidRDefault="00AE0B1A" w:rsidP="00AE0B1A">
      <w:pPr>
        <w:pStyle w:val="References"/>
        <w:rPr>
          <w:noProof/>
        </w:rPr>
      </w:pPr>
      <w:r w:rsidRPr="00303A3F">
        <w:rPr>
          <w:noProof/>
        </w:rPr>
        <w:t>Mory, A.J., 1990</w:t>
      </w:r>
      <w:r>
        <w:rPr>
          <w:noProof/>
        </w:rPr>
        <w:t>.</w:t>
      </w:r>
      <w:r w:rsidRPr="00303A3F">
        <w:rPr>
          <w:noProof/>
        </w:rPr>
        <w:t xml:space="preserve"> Bonaparte Basin. In: Geology and mineral resources of Western Australia. Geological Survey of Western Australia, Memoir 3, Western Australia, p. 380-415.</w:t>
      </w:r>
    </w:p>
    <w:p w:rsidR="00AE0B1A" w:rsidRPr="00303A3F" w:rsidRDefault="00AE0B1A" w:rsidP="00AE0B1A">
      <w:pPr>
        <w:pStyle w:val="References"/>
        <w:rPr>
          <w:noProof/>
          <w:lang w:val="en-US"/>
        </w:rPr>
      </w:pPr>
      <w:r w:rsidRPr="00303A3F">
        <w:rPr>
          <w:noProof/>
        </w:rPr>
        <w:t>Mory, A.J., 1991</w:t>
      </w:r>
      <w:r>
        <w:rPr>
          <w:noProof/>
        </w:rPr>
        <w:t>.</w:t>
      </w:r>
      <w:r w:rsidRPr="00303A3F">
        <w:rPr>
          <w:noProof/>
        </w:rPr>
        <w:t xml:space="preserve"> </w:t>
      </w:r>
      <w:r w:rsidRPr="00303A3F">
        <w:rPr>
          <w:noProof/>
          <w:lang w:val="en-US"/>
        </w:rPr>
        <w:t xml:space="preserve">Geology of the offshore Bonaparte Basin, </w:t>
      </w:r>
      <w:r>
        <w:rPr>
          <w:noProof/>
          <w:lang w:val="en-US"/>
        </w:rPr>
        <w:t>northwest</w:t>
      </w:r>
      <w:r w:rsidRPr="00303A3F">
        <w:rPr>
          <w:noProof/>
          <w:lang w:val="en-US"/>
        </w:rPr>
        <w:t>ern Australia. Geological Survey of Western Australia, Report</w:t>
      </w:r>
      <w:r>
        <w:rPr>
          <w:noProof/>
          <w:lang w:val="en-US"/>
        </w:rPr>
        <w:t xml:space="preserve"> </w:t>
      </w:r>
      <w:r w:rsidRPr="00303A3F">
        <w:rPr>
          <w:noProof/>
          <w:lang w:val="en-US"/>
        </w:rPr>
        <w:t>29, 47 pp.</w:t>
      </w:r>
    </w:p>
    <w:p w:rsidR="00AE0B1A" w:rsidRPr="00303A3F" w:rsidRDefault="00AE0B1A" w:rsidP="00AE0B1A">
      <w:pPr>
        <w:pStyle w:val="References"/>
        <w:rPr>
          <w:noProof/>
        </w:rPr>
      </w:pPr>
      <w:r w:rsidRPr="00303A3F">
        <w:rPr>
          <w:noProof/>
        </w:rPr>
        <w:t>Mory, A. and Beere, G.M., 1988</w:t>
      </w:r>
      <w:r>
        <w:rPr>
          <w:noProof/>
        </w:rPr>
        <w:t>.</w:t>
      </w:r>
      <w:r w:rsidRPr="00303A3F">
        <w:rPr>
          <w:noProof/>
        </w:rPr>
        <w:t xml:space="preserve"> Geology of the onshore Bonaparte and Ord Basins. Geological Survey of Western Australia Bulletin, 134 pp.</w:t>
      </w:r>
    </w:p>
    <w:p w:rsidR="00AE0B1A" w:rsidRPr="00303A3F" w:rsidRDefault="00AE0B1A" w:rsidP="00AE0B1A">
      <w:pPr>
        <w:pStyle w:val="References"/>
        <w:rPr>
          <w:noProof/>
        </w:rPr>
      </w:pPr>
      <w:r w:rsidRPr="00303A3F">
        <w:rPr>
          <w:noProof/>
        </w:rPr>
        <w:t>Nicol, A., Walsh, J.J., Watterson, J., Nell, P.A.R. and Bretan, P., 2003</w:t>
      </w:r>
      <w:r>
        <w:rPr>
          <w:noProof/>
        </w:rPr>
        <w:t>.</w:t>
      </w:r>
      <w:r w:rsidRPr="00303A3F">
        <w:rPr>
          <w:noProof/>
        </w:rPr>
        <w:t xml:space="preserve"> The geometry, growth and linkage of faults within a polygonal fault system from South Australia. Geological Society, L</w:t>
      </w:r>
      <w:r>
        <w:rPr>
          <w:noProof/>
        </w:rPr>
        <w:t xml:space="preserve">ondon, Special Publications, </w:t>
      </w:r>
      <w:r w:rsidRPr="00303A3F">
        <w:rPr>
          <w:noProof/>
        </w:rPr>
        <w:t>216</w:t>
      </w:r>
      <w:r>
        <w:rPr>
          <w:noProof/>
        </w:rPr>
        <w:t>(</w:t>
      </w:r>
      <w:r w:rsidRPr="00303A3F">
        <w:rPr>
          <w:noProof/>
        </w:rPr>
        <w:t>1</w:t>
      </w:r>
      <w:r>
        <w:rPr>
          <w:noProof/>
        </w:rPr>
        <w:t>)</w:t>
      </w:r>
      <w:r w:rsidRPr="00303A3F">
        <w:rPr>
          <w:noProof/>
        </w:rPr>
        <w:t>, 245-261.</w:t>
      </w:r>
    </w:p>
    <w:p w:rsidR="00AE0B1A" w:rsidRPr="00303A3F" w:rsidRDefault="00AE0B1A" w:rsidP="00AE0B1A">
      <w:pPr>
        <w:pStyle w:val="References"/>
        <w:rPr>
          <w:noProof/>
        </w:rPr>
      </w:pPr>
      <w:r w:rsidRPr="00303A3F">
        <w:rPr>
          <w:noProof/>
        </w:rPr>
        <w:t>Nicoll, R.S., Kennard, J.M., Laurie, J.R., Kelman, A.P., Mantle, D.J. and Edwards, D.S., 2009</w:t>
      </w:r>
      <w:r>
        <w:rPr>
          <w:noProof/>
        </w:rPr>
        <w:t>.</w:t>
      </w:r>
      <w:r w:rsidRPr="00303A3F">
        <w:rPr>
          <w:noProof/>
        </w:rPr>
        <w:t xml:space="preserve"> Bonaparte Basin Biozonation and Stratigraphy: Chart 33, Geoscience Australia, </w:t>
      </w:r>
      <w:r>
        <w:rPr>
          <w:noProof/>
        </w:rPr>
        <w:t>Canberra</w:t>
      </w:r>
      <w:r w:rsidRPr="00303A3F">
        <w:rPr>
          <w:noProof/>
        </w:rPr>
        <w:t xml:space="preserve">. </w:t>
      </w:r>
    </w:p>
    <w:p w:rsidR="00AE0B1A" w:rsidRPr="00303A3F" w:rsidRDefault="00AE0B1A" w:rsidP="00AE0B1A">
      <w:pPr>
        <w:pStyle w:val="References"/>
        <w:rPr>
          <w:noProof/>
        </w:rPr>
      </w:pPr>
      <w:r w:rsidRPr="00303A3F">
        <w:rPr>
          <w:noProof/>
        </w:rPr>
        <w:t>O'Brien, G.W., 1993</w:t>
      </w:r>
      <w:r>
        <w:rPr>
          <w:noProof/>
        </w:rPr>
        <w:t>.</w:t>
      </w:r>
      <w:r w:rsidRPr="00303A3F">
        <w:rPr>
          <w:noProof/>
        </w:rPr>
        <w:t xml:space="preserve"> Some ideas on the rifting history of the Timor Sea from the integration of deep crustal seismic and other da</w:t>
      </w:r>
      <w:r>
        <w:rPr>
          <w:noProof/>
        </w:rPr>
        <w:t xml:space="preserve">ta. The PESA Journal, 21, </w:t>
      </w:r>
      <w:r w:rsidRPr="00303A3F">
        <w:rPr>
          <w:noProof/>
        </w:rPr>
        <w:t>95-113.</w:t>
      </w:r>
    </w:p>
    <w:p w:rsidR="00AE0B1A" w:rsidRPr="00303A3F" w:rsidRDefault="00AE0B1A" w:rsidP="00AE0B1A">
      <w:pPr>
        <w:pStyle w:val="References"/>
        <w:rPr>
          <w:noProof/>
        </w:rPr>
      </w:pPr>
      <w:r w:rsidRPr="00303A3F">
        <w:rPr>
          <w:noProof/>
        </w:rPr>
        <w:lastRenderedPageBreak/>
        <w:t>O'Brien, G.W., Blevin, J., Gunn, P., Romine, K., Scott, D.L., Willcox, J.B. and Baldwin, S., 1995</w:t>
      </w:r>
      <w:r>
        <w:rPr>
          <w:noProof/>
        </w:rPr>
        <w:t>.</w:t>
      </w:r>
      <w:r w:rsidRPr="00303A3F">
        <w:rPr>
          <w:noProof/>
        </w:rPr>
        <w:t xml:space="preserve"> The Petrel sub-basin system, Timor Sea, Australia; rift architecture and its control on structuring within the Mesozoic and Tertiary sequence, Timor Sea. Annual Meeting Abstracts - American Association of Petroleum Geologists and Society of Economic Paleon</w:t>
      </w:r>
      <w:r>
        <w:rPr>
          <w:noProof/>
        </w:rPr>
        <w:t xml:space="preserve">tologists and Mineralogists, </w:t>
      </w:r>
      <w:r w:rsidRPr="00303A3F">
        <w:rPr>
          <w:noProof/>
        </w:rPr>
        <w:t>4, 72.</w:t>
      </w:r>
    </w:p>
    <w:p w:rsidR="00AE0B1A" w:rsidRPr="00303A3F" w:rsidRDefault="00AE0B1A" w:rsidP="00AE0B1A">
      <w:pPr>
        <w:pStyle w:val="References"/>
        <w:rPr>
          <w:noProof/>
        </w:rPr>
      </w:pPr>
      <w:r w:rsidRPr="00303A3F">
        <w:rPr>
          <w:noProof/>
        </w:rPr>
        <w:t>Pattilo, J. and Nicholls, P.J., 1990</w:t>
      </w:r>
      <w:r>
        <w:rPr>
          <w:noProof/>
        </w:rPr>
        <w:t>.</w:t>
      </w:r>
      <w:r w:rsidRPr="00303A3F">
        <w:rPr>
          <w:noProof/>
        </w:rPr>
        <w:t xml:space="preserve"> A tectonostratigraphic framework for the Vulcan Graben, Timor Sea region. The</w:t>
      </w:r>
      <w:r>
        <w:rPr>
          <w:noProof/>
        </w:rPr>
        <w:t xml:space="preserve"> APEA Journal, 30(1), </w:t>
      </w:r>
      <w:r w:rsidRPr="00303A3F">
        <w:rPr>
          <w:noProof/>
        </w:rPr>
        <w:t>27-51.</w:t>
      </w:r>
    </w:p>
    <w:p w:rsidR="00AE0B1A" w:rsidRPr="00303A3F" w:rsidRDefault="00AE0B1A" w:rsidP="00AE0B1A">
      <w:pPr>
        <w:pStyle w:val="References"/>
        <w:rPr>
          <w:noProof/>
        </w:rPr>
      </w:pPr>
      <w:r w:rsidRPr="00303A3F">
        <w:rPr>
          <w:noProof/>
        </w:rPr>
        <w:t>Rigg, A.J., Allinson, G., Bradshaw, J., Ennis-King, J., Gibson-Poole, C.M., Hillis, R.R., Lang, S.C. and Streit, J.E., 2001</w:t>
      </w:r>
      <w:r>
        <w:rPr>
          <w:noProof/>
        </w:rPr>
        <w:t>.</w:t>
      </w:r>
      <w:r w:rsidRPr="00303A3F">
        <w:rPr>
          <w:noProof/>
        </w:rPr>
        <w:t xml:space="preserve"> The search for sites for geological sequestration of CO</w:t>
      </w:r>
      <w:r w:rsidRPr="00255748">
        <w:rPr>
          <w:rStyle w:val="Subscript"/>
        </w:rPr>
        <w:t>2</w:t>
      </w:r>
      <w:r w:rsidRPr="00303A3F">
        <w:rPr>
          <w:noProof/>
        </w:rPr>
        <w:t xml:space="preserve"> in Australia; a progress report on GEODISC. The </w:t>
      </w:r>
      <w:r>
        <w:rPr>
          <w:noProof/>
        </w:rPr>
        <w:t xml:space="preserve">APPEA Journal, 41(1), </w:t>
      </w:r>
      <w:r w:rsidRPr="00303A3F">
        <w:rPr>
          <w:noProof/>
        </w:rPr>
        <w:t>711-725.</w:t>
      </w:r>
    </w:p>
    <w:p w:rsidR="00AE0B1A" w:rsidRPr="00303A3F" w:rsidRDefault="00AE0B1A" w:rsidP="00AE0B1A">
      <w:pPr>
        <w:pStyle w:val="References"/>
        <w:rPr>
          <w:noProof/>
        </w:rPr>
      </w:pPr>
      <w:r w:rsidRPr="00303A3F">
        <w:rPr>
          <w:noProof/>
        </w:rPr>
        <w:t>Szulczewski, M.L., MacMinn, C.W., Herzog, H.J. and Juanes, R., 2012</w:t>
      </w:r>
      <w:r>
        <w:rPr>
          <w:noProof/>
        </w:rPr>
        <w:t>.</w:t>
      </w:r>
      <w:r w:rsidRPr="00303A3F">
        <w:rPr>
          <w:noProof/>
        </w:rPr>
        <w:t xml:space="preserve"> Lifetime of carbon capture and storage as a climate-change mitigation technology. Proceedings of the National A</w:t>
      </w:r>
      <w:r>
        <w:rPr>
          <w:noProof/>
        </w:rPr>
        <w:t>cademy of Sciences, 109(</w:t>
      </w:r>
      <w:r w:rsidRPr="00303A3F">
        <w:rPr>
          <w:noProof/>
        </w:rPr>
        <w:t>14</w:t>
      </w:r>
      <w:r>
        <w:rPr>
          <w:noProof/>
        </w:rPr>
        <w:t>)</w:t>
      </w:r>
      <w:r w:rsidRPr="00303A3F">
        <w:rPr>
          <w:noProof/>
        </w:rPr>
        <w:t>, 5185-5189.</w:t>
      </w:r>
    </w:p>
    <w:p w:rsidR="00AE0B1A" w:rsidRPr="00303A3F" w:rsidRDefault="00AE0B1A" w:rsidP="00AE0B1A">
      <w:pPr>
        <w:pStyle w:val="References"/>
        <w:rPr>
          <w:noProof/>
        </w:rPr>
      </w:pPr>
      <w:r w:rsidRPr="00303A3F">
        <w:rPr>
          <w:noProof/>
        </w:rPr>
        <w:t>Veevers, J.J., 1988</w:t>
      </w:r>
      <w:r>
        <w:rPr>
          <w:noProof/>
        </w:rPr>
        <w:t>.</w:t>
      </w:r>
      <w:r w:rsidRPr="00303A3F">
        <w:rPr>
          <w:noProof/>
        </w:rPr>
        <w:t xml:space="preserve"> Morphotectonics of Australia’s </w:t>
      </w:r>
      <w:r>
        <w:rPr>
          <w:noProof/>
        </w:rPr>
        <w:t>Northwest</w:t>
      </w:r>
      <w:r w:rsidRPr="00303A3F">
        <w:rPr>
          <w:noProof/>
        </w:rPr>
        <w:t>ern margin - a review. In: Purcell, P.G. and Purcell, R.R. (Editors), The North West Shelf Australia: Proceedings of the Petroleum Exploration Society of Australia Symposium, Perth, 19–27</w:t>
      </w:r>
    </w:p>
    <w:p w:rsidR="00AE0B1A" w:rsidRPr="00303A3F" w:rsidRDefault="00AE0B1A" w:rsidP="00AE0B1A">
      <w:pPr>
        <w:pStyle w:val="References"/>
        <w:rPr>
          <w:noProof/>
        </w:rPr>
      </w:pPr>
      <w:r w:rsidRPr="00303A3F">
        <w:rPr>
          <w:noProof/>
        </w:rPr>
        <w:t>Watterson, J., Walsh, J., Nicol, A., Nell, P.A.R. and Bretan, P.G., 2000</w:t>
      </w:r>
      <w:r>
        <w:rPr>
          <w:noProof/>
        </w:rPr>
        <w:t>.</w:t>
      </w:r>
      <w:r w:rsidRPr="00303A3F">
        <w:rPr>
          <w:noProof/>
        </w:rPr>
        <w:t xml:space="preserve"> Geometry and origin of a polygonal fault system. Journa</w:t>
      </w:r>
      <w:r>
        <w:rPr>
          <w:noProof/>
        </w:rPr>
        <w:t xml:space="preserve">l of the Geological Society, </w:t>
      </w:r>
      <w:r w:rsidRPr="00303A3F">
        <w:rPr>
          <w:noProof/>
        </w:rPr>
        <w:t>157</w:t>
      </w:r>
      <w:r>
        <w:rPr>
          <w:noProof/>
        </w:rPr>
        <w:t>(</w:t>
      </w:r>
      <w:r w:rsidRPr="00303A3F">
        <w:rPr>
          <w:noProof/>
        </w:rPr>
        <w:t>1</w:t>
      </w:r>
      <w:r>
        <w:rPr>
          <w:noProof/>
        </w:rPr>
        <w:t>)</w:t>
      </w:r>
      <w:r w:rsidRPr="00303A3F">
        <w:rPr>
          <w:noProof/>
        </w:rPr>
        <w:t>, 151-162.</w:t>
      </w:r>
    </w:p>
    <w:p w:rsidR="00AE0B1A" w:rsidRPr="00303A3F" w:rsidRDefault="00AE0B1A" w:rsidP="00AE0B1A">
      <w:pPr>
        <w:pStyle w:val="References"/>
        <w:rPr>
          <w:noProof/>
        </w:rPr>
      </w:pPr>
      <w:r w:rsidRPr="00303A3F">
        <w:rPr>
          <w:noProof/>
        </w:rPr>
        <w:t>Whittam, D.B., Norvick, M.S. and Mcintyre, C.L., 1996</w:t>
      </w:r>
      <w:r>
        <w:rPr>
          <w:noProof/>
        </w:rPr>
        <w:t>.</w:t>
      </w:r>
      <w:r w:rsidRPr="00303A3F">
        <w:rPr>
          <w:noProof/>
        </w:rPr>
        <w:t xml:space="preserve"> Mesozoic and </w:t>
      </w:r>
      <w:r>
        <w:rPr>
          <w:noProof/>
        </w:rPr>
        <w:t>Cenozoic</w:t>
      </w:r>
      <w:r w:rsidRPr="00303A3F">
        <w:rPr>
          <w:noProof/>
        </w:rPr>
        <w:t xml:space="preserve"> tectonostratigraphy of western ZOCA and adjace</w:t>
      </w:r>
      <w:r>
        <w:rPr>
          <w:noProof/>
        </w:rPr>
        <w:t xml:space="preserve">nt areas. The APPEA Journal, </w:t>
      </w:r>
      <w:r w:rsidRPr="00303A3F">
        <w:rPr>
          <w:noProof/>
        </w:rPr>
        <w:t>36</w:t>
      </w:r>
      <w:r>
        <w:rPr>
          <w:noProof/>
        </w:rPr>
        <w:t>(</w:t>
      </w:r>
      <w:r w:rsidRPr="00303A3F">
        <w:rPr>
          <w:noProof/>
        </w:rPr>
        <w:t>1</w:t>
      </w:r>
      <w:r>
        <w:rPr>
          <w:noProof/>
        </w:rPr>
        <w:t>)</w:t>
      </w:r>
      <w:r w:rsidRPr="00303A3F">
        <w:rPr>
          <w:noProof/>
        </w:rPr>
        <w:t>, 209-231.</w:t>
      </w:r>
    </w:p>
    <w:p w:rsidR="00AE5C2D" w:rsidRDefault="00AE0B1A" w:rsidP="002B7929">
      <w:pPr>
        <w:pStyle w:val="References"/>
        <w:rPr>
          <w:noProof/>
        </w:rPr>
      </w:pPr>
      <w:r w:rsidRPr="00303A3F">
        <w:rPr>
          <w:noProof/>
        </w:rPr>
        <w:t>Zhixin, W., Guanghui, Z., Lin’an, P. and Wenlian, T., 2012</w:t>
      </w:r>
      <w:r>
        <w:rPr>
          <w:noProof/>
        </w:rPr>
        <w:t>.</w:t>
      </w:r>
      <w:r w:rsidRPr="00303A3F">
        <w:rPr>
          <w:noProof/>
        </w:rPr>
        <w:t xml:space="preserve"> An oil and gas resource reassessment of the Bonaparte Basin, </w:t>
      </w:r>
      <w:r>
        <w:rPr>
          <w:noProof/>
        </w:rPr>
        <w:t>northwest</w:t>
      </w:r>
      <w:r w:rsidRPr="00303A3F">
        <w:rPr>
          <w:noProof/>
        </w:rPr>
        <w:t xml:space="preserve"> shelf of Australia. Bulletin of Canadian Petroleum Geology, 60</w:t>
      </w:r>
      <w:r>
        <w:rPr>
          <w:noProof/>
        </w:rPr>
        <w:t>(</w:t>
      </w:r>
      <w:r w:rsidRPr="00303A3F">
        <w:rPr>
          <w:noProof/>
        </w:rPr>
        <w:t>3</w:t>
      </w:r>
      <w:r>
        <w:rPr>
          <w:noProof/>
        </w:rPr>
        <w:t>)</w:t>
      </w:r>
      <w:r w:rsidRPr="00303A3F">
        <w:rPr>
          <w:noProof/>
        </w:rPr>
        <w:t>, 218-226.</w:t>
      </w:r>
      <w:r w:rsidR="00AE5C2D">
        <w:rPr>
          <w:noProof/>
        </w:rPr>
        <w:br w:type="page"/>
      </w:r>
    </w:p>
    <w:p w:rsidR="001B04C8" w:rsidRDefault="001B04C8" w:rsidP="001B04C8">
      <w:pPr>
        <w:pStyle w:val="BodyText"/>
      </w:pPr>
      <w:bookmarkStart w:id="1068" w:name="_Toc378255184"/>
      <w:bookmarkStart w:id="1069" w:name="_Toc380072571"/>
      <w:r>
        <w:lastRenderedPageBreak/>
        <w:t xml:space="preserve">The following appendices and supplementary report are available on the Geoscience Australia website at: </w:t>
      </w:r>
      <w:hyperlink r:id="rId83" w:tooltip="Geoscience Australia Website" w:history="1">
        <w:r>
          <w:rPr>
            <w:rStyle w:val="Hyperlink"/>
          </w:rPr>
          <w:t>http://www.ga.gov.au/metadata-gateway/metadata/record/76510</w:t>
        </w:r>
      </w:hyperlink>
    </w:p>
    <w:p w:rsidR="001B04C8" w:rsidRPr="00F60B69" w:rsidRDefault="001B04C8" w:rsidP="00F60B69">
      <w:pPr>
        <w:pStyle w:val="Listbulletlevel1"/>
        <w:rPr>
          <w:rStyle w:val="Bold"/>
        </w:rPr>
      </w:pPr>
      <w:r w:rsidRPr="00F60B69">
        <w:rPr>
          <w:rStyle w:val="Bold"/>
        </w:rPr>
        <w:t xml:space="preserve">Appendix A </w:t>
      </w:r>
      <w:r w:rsidRPr="000074CB">
        <w:t>Seismic and well interpretation of the Petrel Sub-basin</w:t>
      </w:r>
      <w:bookmarkEnd w:id="1068"/>
      <w:bookmarkEnd w:id="1069"/>
    </w:p>
    <w:p w:rsidR="001B04C8" w:rsidRPr="00F60B69" w:rsidRDefault="001B04C8" w:rsidP="00F60B69">
      <w:pPr>
        <w:pStyle w:val="Listbulletlevel1"/>
        <w:rPr>
          <w:rStyle w:val="Bold"/>
        </w:rPr>
      </w:pPr>
      <w:bookmarkStart w:id="1070" w:name="_Toc378255197"/>
      <w:bookmarkStart w:id="1071" w:name="_Toc380072572"/>
      <w:r w:rsidRPr="00F60B69">
        <w:rPr>
          <w:rStyle w:val="Bold"/>
        </w:rPr>
        <w:t xml:space="preserve">Appendix B </w:t>
      </w:r>
      <w:proofErr w:type="spellStart"/>
      <w:r w:rsidRPr="000074CB">
        <w:t>Petrophysical</w:t>
      </w:r>
      <w:proofErr w:type="spellEnd"/>
      <w:r w:rsidRPr="000074CB">
        <w:t xml:space="preserve"> analysis of potential Mesozoic-</w:t>
      </w:r>
      <w:proofErr w:type="spellStart"/>
      <w:r w:rsidRPr="000074CB">
        <w:t>Cenozoic</w:t>
      </w:r>
      <w:proofErr w:type="spellEnd"/>
      <w:r w:rsidRPr="000074CB">
        <w:t xml:space="preserve"> CO</w:t>
      </w:r>
      <w:r w:rsidRPr="000074CB">
        <w:rPr>
          <w:rStyle w:val="Subscript"/>
        </w:rPr>
        <w:t>2</w:t>
      </w:r>
      <w:r w:rsidRPr="000074CB">
        <w:t xml:space="preserve"> storage reservoirs of the Petrel Sub-basin</w:t>
      </w:r>
      <w:bookmarkEnd w:id="1070"/>
      <w:bookmarkEnd w:id="1071"/>
    </w:p>
    <w:p w:rsidR="001B04C8" w:rsidRPr="00F60B69" w:rsidRDefault="001B04C8" w:rsidP="00F60B69">
      <w:pPr>
        <w:pStyle w:val="Listbulletlevel1"/>
        <w:rPr>
          <w:rStyle w:val="Bold"/>
        </w:rPr>
      </w:pPr>
      <w:bookmarkStart w:id="1072" w:name="_Toc378255213"/>
      <w:bookmarkStart w:id="1073" w:name="_Toc380072573"/>
      <w:r w:rsidRPr="00F60B69">
        <w:rPr>
          <w:rStyle w:val="Bold"/>
        </w:rPr>
        <w:t xml:space="preserve">Appendix C </w:t>
      </w:r>
      <w:r w:rsidRPr="000074CB">
        <w:t>Mesozoic-</w:t>
      </w:r>
      <w:proofErr w:type="spellStart"/>
      <w:r w:rsidRPr="000074CB">
        <w:t>Cenozoic</w:t>
      </w:r>
      <w:proofErr w:type="spellEnd"/>
      <w:r w:rsidRPr="000074CB">
        <w:t xml:space="preserve"> sedimentology, stratigraphy and depositional environments of the Petrel Sub-basin</w:t>
      </w:r>
      <w:bookmarkEnd w:id="1072"/>
      <w:bookmarkEnd w:id="1073"/>
    </w:p>
    <w:p w:rsidR="001B04C8" w:rsidRPr="00F60B69" w:rsidRDefault="001B04C8" w:rsidP="00F60B69">
      <w:pPr>
        <w:pStyle w:val="Listbulletlevel1"/>
        <w:rPr>
          <w:rStyle w:val="Bold"/>
        </w:rPr>
      </w:pPr>
      <w:bookmarkStart w:id="1074" w:name="_Toc378255245"/>
      <w:bookmarkStart w:id="1075" w:name="_Toc380072575"/>
      <w:r w:rsidRPr="00F60B69">
        <w:rPr>
          <w:rStyle w:val="Bold"/>
        </w:rPr>
        <w:t xml:space="preserve">Appendix D </w:t>
      </w:r>
      <w:r w:rsidRPr="000074CB">
        <w:t>Stratigraphic reconstruction of bulk volatile chemistry from fluid inclusions in Bougainville 1, Penguin 1, Flat Top 1, Newby 1</w:t>
      </w:r>
      <w:bookmarkEnd w:id="1074"/>
      <w:bookmarkEnd w:id="1075"/>
    </w:p>
    <w:p w:rsidR="001B04C8" w:rsidRPr="00F60B69" w:rsidRDefault="001B04C8" w:rsidP="00F60B69">
      <w:pPr>
        <w:pStyle w:val="Listbulletlevel1"/>
        <w:rPr>
          <w:rStyle w:val="Bold"/>
        </w:rPr>
      </w:pPr>
      <w:bookmarkStart w:id="1076" w:name="_Toc378255246"/>
      <w:bookmarkStart w:id="1077" w:name="_Toc380072576"/>
      <w:r w:rsidRPr="00F60B69">
        <w:rPr>
          <w:rStyle w:val="Bold"/>
        </w:rPr>
        <w:t xml:space="preserve">Appendix E </w:t>
      </w:r>
      <w:r w:rsidRPr="000074CB">
        <w:t>Automated mineral analysis by SEM/EDS of sixty samples supplied from Geoscience Australia</w:t>
      </w:r>
      <w:bookmarkEnd w:id="1076"/>
      <w:bookmarkEnd w:id="1077"/>
    </w:p>
    <w:p w:rsidR="001B04C8" w:rsidRPr="00F60B69" w:rsidRDefault="001B04C8" w:rsidP="00F60B69">
      <w:pPr>
        <w:pStyle w:val="Listbulletlevel1"/>
        <w:rPr>
          <w:rStyle w:val="Bold"/>
        </w:rPr>
      </w:pPr>
      <w:bookmarkStart w:id="1078" w:name="_Toc378255247"/>
      <w:bookmarkStart w:id="1079" w:name="_Toc380072577"/>
      <w:r w:rsidRPr="00F60B69">
        <w:rPr>
          <w:rStyle w:val="Bold"/>
        </w:rPr>
        <w:t xml:space="preserve">Appendix F </w:t>
      </w:r>
      <w:r w:rsidRPr="000074CB">
        <w:t xml:space="preserve">Interpretation and analysis of </w:t>
      </w:r>
      <w:proofErr w:type="spellStart"/>
      <w:r w:rsidRPr="000074CB">
        <w:t>HyLogging</w:t>
      </w:r>
      <w:proofErr w:type="spellEnd"/>
      <w:r w:rsidRPr="000074CB">
        <w:t xml:space="preserve"> data from Gull 1 and Petrel 1</w:t>
      </w:r>
      <w:bookmarkEnd w:id="1078"/>
      <w:bookmarkEnd w:id="1079"/>
    </w:p>
    <w:p w:rsidR="001B04C8" w:rsidRPr="00F60B69" w:rsidRDefault="001B04C8" w:rsidP="00F60B69">
      <w:pPr>
        <w:pStyle w:val="Listbulletlevel1"/>
        <w:rPr>
          <w:rStyle w:val="Bold"/>
        </w:rPr>
      </w:pPr>
      <w:bookmarkStart w:id="1080" w:name="_Toc378255248"/>
      <w:bookmarkStart w:id="1081" w:name="_Toc380072578"/>
      <w:r w:rsidRPr="00F60B69">
        <w:rPr>
          <w:rStyle w:val="Bold"/>
        </w:rPr>
        <w:t xml:space="preserve">Appendix G </w:t>
      </w:r>
      <w:r w:rsidRPr="000074CB">
        <w:t>Core analysis results of Petrel 1, Jacaranda 1, Gull 1 and Tern 1, Petrel Sub-basin</w:t>
      </w:r>
      <w:bookmarkEnd w:id="1080"/>
      <w:bookmarkEnd w:id="1081"/>
    </w:p>
    <w:p w:rsidR="001B04C8" w:rsidRPr="00F60B69" w:rsidRDefault="001B04C8" w:rsidP="00F60B69">
      <w:pPr>
        <w:pStyle w:val="Listbulletlevel1"/>
        <w:rPr>
          <w:rStyle w:val="Bold"/>
        </w:rPr>
      </w:pPr>
      <w:bookmarkStart w:id="1082" w:name="_Toc378255249"/>
      <w:bookmarkStart w:id="1083" w:name="_Toc380072579"/>
      <w:r w:rsidRPr="00F60B69">
        <w:rPr>
          <w:rStyle w:val="Bold"/>
        </w:rPr>
        <w:t xml:space="preserve">Appendix H </w:t>
      </w:r>
      <w:r w:rsidRPr="000074CB">
        <w:t>Mesozoic–</w:t>
      </w:r>
      <w:proofErr w:type="spellStart"/>
      <w:r w:rsidRPr="000074CB">
        <w:t>Cenozoic</w:t>
      </w:r>
      <w:proofErr w:type="spellEnd"/>
      <w:r w:rsidRPr="000074CB">
        <w:t xml:space="preserve"> structural geology of the Petrel Sub-basin</w:t>
      </w:r>
      <w:bookmarkEnd w:id="1082"/>
      <w:bookmarkEnd w:id="1083"/>
    </w:p>
    <w:p w:rsidR="001B04C8" w:rsidRPr="00F60B69" w:rsidRDefault="001B04C8" w:rsidP="00F60B69">
      <w:pPr>
        <w:pStyle w:val="Listbulletlevel1"/>
        <w:rPr>
          <w:rStyle w:val="Bold"/>
        </w:rPr>
      </w:pPr>
      <w:bookmarkStart w:id="1084" w:name="_Toc378255258"/>
      <w:bookmarkStart w:id="1085" w:name="_Toc380072581"/>
      <w:r w:rsidRPr="00F60B69">
        <w:rPr>
          <w:rStyle w:val="Bold"/>
        </w:rPr>
        <w:t xml:space="preserve">Appendix I </w:t>
      </w:r>
      <w:r w:rsidRPr="000074CB">
        <w:t>Fault-seal risk</w:t>
      </w:r>
      <w:bookmarkEnd w:id="1084"/>
      <w:bookmarkEnd w:id="1085"/>
      <w:r w:rsidRPr="000074CB">
        <w:t>, Petrel Sub-basin</w:t>
      </w:r>
    </w:p>
    <w:p w:rsidR="001B04C8" w:rsidRPr="00F60B69" w:rsidRDefault="001B04C8" w:rsidP="00F60B69">
      <w:pPr>
        <w:pStyle w:val="Listbulletlevel1"/>
        <w:rPr>
          <w:rStyle w:val="Bold"/>
        </w:rPr>
      </w:pPr>
      <w:bookmarkStart w:id="1086" w:name="_Toc378255259"/>
      <w:bookmarkStart w:id="1087" w:name="_Toc380072582"/>
      <w:r w:rsidRPr="00F60B69">
        <w:rPr>
          <w:rStyle w:val="Bold"/>
        </w:rPr>
        <w:t xml:space="preserve">Appendix J </w:t>
      </w:r>
      <w:r w:rsidRPr="000074CB">
        <w:t>Petrel Sub-basin hydrodynamic assessment</w:t>
      </w:r>
      <w:bookmarkEnd w:id="1086"/>
      <w:bookmarkEnd w:id="1087"/>
    </w:p>
    <w:p w:rsidR="001B04C8" w:rsidRPr="00F60B69" w:rsidRDefault="001B04C8" w:rsidP="00F60B69">
      <w:pPr>
        <w:pStyle w:val="Listbulletlevel1"/>
        <w:rPr>
          <w:rStyle w:val="Bold"/>
        </w:rPr>
      </w:pPr>
      <w:bookmarkStart w:id="1088" w:name="_Toc378255260"/>
      <w:bookmarkStart w:id="1089" w:name="_Toc380072583"/>
      <w:r w:rsidRPr="00F60B69">
        <w:rPr>
          <w:rStyle w:val="Bold"/>
        </w:rPr>
        <w:t xml:space="preserve">Appendix K </w:t>
      </w:r>
      <w:r w:rsidRPr="000074CB">
        <w:t>3D static geological modelling of the Petrel Sub-basin</w:t>
      </w:r>
      <w:bookmarkEnd w:id="1088"/>
      <w:bookmarkEnd w:id="1089"/>
    </w:p>
    <w:p w:rsidR="001B04C8" w:rsidRPr="00F60B69" w:rsidRDefault="001B04C8" w:rsidP="00F60B69">
      <w:pPr>
        <w:pStyle w:val="Listbulletlevel1"/>
        <w:rPr>
          <w:rStyle w:val="Bold"/>
        </w:rPr>
      </w:pPr>
      <w:bookmarkStart w:id="1090" w:name="_Toc378255285"/>
      <w:bookmarkStart w:id="1091" w:name="_Toc380072584"/>
      <w:r w:rsidRPr="00F60B69">
        <w:rPr>
          <w:rStyle w:val="Bold"/>
        </w:rPr>
        <w:t xml:space="preserve">Appendix L </w:t>
      </w:r>
      <w:r w:rsidRPr="000074CB">
        <w:t>Numerical reservoir simulation of geological storage of CO</w:t>
      </w:r>
      <w:r w:rsidRPr="000074CB">
        <w:rPr>
          <w:rStyle w:val="Subscript"/>
        </w:rPr>
        <w:t>2</w:t>
      </w:r>
      <w:r w:rsidRPr="000074CB">
        <w:t xml:space="preserve"> in the Petrel Sub-basin</w:t>
      </w:r>
      <w:bookmarkEnd w:id="1090"/>
      <w:bookmarkEnd w:id="1091"/>
    </w:p>
    <w:p w:rsidR="001B04C8" w:rsidRPr="00F60B69" w:rsidRDefault="001B04C8" w:rsidP="00F60B69">
      <w:pPr>
        <w:pStyle w:val="Listbulletlevel1"/>
        <w:rPr>
          <w:rStyle w:val="Bold"/>
        </w:rPr>
      </w:pPr>
      <w:bookmarkStart w:id="1092" w:name="_Toc378255310"/>
      <w:bookmarkStart w:id="1093" w:name="_Toc380072585"/>
      <w:r w:rsidRPr="00F60B69">
        <w:rPr>
          <w:rStyle w:val="Bold"/>
        </w:rPr>
        <w:t xml:space="preserve">Appendix M </w:t>
      </w:r>
      <w:r w:rsidRPr="000074CB">
        <w:t>GA336 seismic survey reports including acquisition, processing, post-stack depth migration and simultaneous inversion reports</w:t>
      </w:r>
      <w:bookmarkEnd w:id="1092"/>
      <w:bookmarkEnd w:id="1093"/>
    </w:p>
    <w:p w:rsidR="001B04C8" w:rsidRPr="00F60B69" w:rsidRDefault="001B04C8" w:rsidP="00F60B69">
      <w:pPr>
        <w:pStyle w:val="Listbulletlevel1"/>
        <w:rPr>
          <w:rStyle w:val="Bold"/>
        </w:rPr>
      </w:pPr>
      <w:bookmarkStart w:id="1094" w:name="_Toc378255311"/>
      <w:bookmarkStart w:id="1095" w:name="_Toc380072586"/>
      <w:r w:rsidRPr="00F60B69">
        <w:rPr>
          <w:rStyle w:val="Bold"/>
        </w:rPr>
        <w:t xml:space="preserve">Appendix N </w:t>
      </w:r>
      <w:r w:rsidRPr="000074CB">
        <w:t>Polygonal faulting in the Bonaparte Basin: Implications for seal integrity and subsurface storage of carbon dioxide</w:t>
      </w:r>
      <w:bookmarkEnd w:id="1094"/>
      <w:bookmarkEnd w:id="1095"/>
    </w:p>
    <w:p w:rsidR="001B04C8" w:rsidRPr="00F60B69" w:rsidRDefault="001B04C8" w:rsidP="00F60B69">
      <w:pPr>
        <w:pStyle w:val="Listbulletlevel1"/>
        <w:rPr>
          <w:rStyle w:val="Bold"/>
        </w:rPr>
      </w:pPr>
      <w:bookmarkStart w:id="1096" w:name="_Toc378255312"/>
      <w:bookmarkStart w:id="1097" w:name="_Toc380072587"/>
      <w:r w:rsidRPr="00F60B69">
        <w:rPr>
          <w:rStyle w:val="Bold"/>
        </w:rPr>
        <w:t xml:space="preserve">Appendix O </w:t>
      </w:r>
      <w:r w:rsidRPr="000074CB">
        <w:t>CO</w:t>
      </w:r>
      <w:r w:rsidRPr="000074CB">
        <w:rPr>
          <w:rStyle w:val="Subscript"/>
        </w:rPr>
        <w:t xml:space="preserve">2 </w:t>
      </w:r>
      <w:r w:rsidRPr="000074CB">
        <w:t xml:space="preserve">geological storage capacity and </w:t>
      </w:r>
      <w:proofErr w:type="spellStart"/>
      <w:r w:rsidRPr="000074CB">
        <w:t>injectivity</w:t>
      </w:r>
      <w:proofErr w:type="spellEnd"/>
      <w:r w:rsidRPr="000074CB">
        <w:t xml:space="preserve"> in the Petrel Sub-basin</w:t>
      </w:r>
      <w:bookmarkEnd w:id="1096"/>
      <w:bookmarkEnd w:id="1097"/>
    </w:p>
    <w:p w:rsidR="00C75E33" w:rsidRPr="00F60B69" w:rsidRDefault="001B04C8" w:rsidP="00F60B69">
      <w:pPr>
        <w:pStyle w:val="Listbulletlevel1"/>
        <w:rPr>
          <w:rStyle w:val="Bold"/>
        </w:rPr>
      </w:pPr>
      <w:bookmarkStart w:id="1098" w:name="_Toc378255320"/>
      <w:r w:rsidRPr="00F60B69">
        <w:rPr>
          <w:rStyle w:val="Bold"/>
        </w:rPr>
        <w:t xml:space="preserve">Supplementary Report 1 </w:t>
      </w:r>
      <w:r w:rsidRPr="00F60B69">
        <w:t>Petrel Sub-basin well composite and well correlations folio</w:t>
      </w:r>
      <w:bookmarkEnd w:id="1098"/>
    </w:p>
    <w:sectPr w:rsidR="00C75E33" w:rsidRPr="00F60B69" w:rsidSect="00AE5C2D">
      <w:footerReference w:type="even" r:id="rId84"/>
      <w:footerReference w:type="default" r:id="rId85"/>
      <w:pgSz w:w="11907" w:h="16840" w:code="9"/>
      <w:pgMar w:top="1985" w:right="1418" w:bottom="1418" w:left="1418" w:header="720"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D1A85" w:rsidRDefault="000D1A85" w:rsidP="009C2D2B">
      <w:pPr>
        <w:spacing w:before="0" w:after="0" w:line="240" w:lineRule="auto"/>
      </w:pPr>
      <w:r>
        <w:separator/>
      </w:r>
    </w:p>
  </w:endnote>
  <w:endnote w:type="continuationSeparator" w:id="0">
    <w:p w:rsidR="000D1A85" w:rsidRDefault="000D1A85" w:rsidP="009C2D2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Bold">
    <w:panose1 w:val="020B0704020202020204"/>
    <w:charset w:val="00"/>
    <w:family w:val="roman"/>
    <w:notTrueType/>
    <w:pitch w:val="default"/>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C20B48" w:rsidRDefault="000D1A85" w:rsidP="00AE0B1A">
    <w:pPr>
      <w:pStyle w:val="Footer"/>
    </w:pPr>
    <w:r w:rsidRPr="001A138F">
      <w:t>CO</w:t>
    </w:r>
    <w:r w:rsidRPr="001A138F">
      <w:rPr>
        <w:rStyle w:val="Subscript"/>
      </w:rPr>
      <w:t>2</w:t>
    </w:r>
    <w:r w:rsidRPr="001A138F">
      <w:t xml:space="preserve"> geological storage potential of the Petrel Sub-basin</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F64E4F">
      <w:rPr>
        <w:rStyle w:val="PageNumber"/>
        <w:noProof/>
      </w:rPr>
      <w:t>1</w:t>
    </w:r>
    <w:r w:rsidRPr="008E7CDC">
      <w:rPr>
        <w:rStyle w:val="PageNumber"/>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F60369" w:rsidRDefault="000D1A85" w:rsidP="00AE0B1A">
    <w:pPr>
      <w:pStyle w:val="Foote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F64E4F">
      <w:rPr>
        <w:rStyle w:val="PageNumber"/>
        <w:noProof/>
      </w:rPr>
      <w:t>24</w:t>
    </w:r>
    <w:r w:rsidRPr="000B1669">
      <w:rPr>
        <w:rStyle w:val="PageNumber"/>
      </w:rPr>
      <w:fldChar w:fldCharType="end"/>
    </w:r>
    <w:r>
      <w:rPr>
        <w:rStyle w:val="PageNumber"/>
      </w:rPr>
      <w:tab/>
    </w:r>
    <w:r w:rsidRPr="00F60369">
      <w:t>CO</w:t>
    </w:r>
    <w:r w:rsidRPr="00F27064">
      <w:rPr>
        <w:rStyle w:val="Subscript"/>
      </w:rPr>
      <w:t>2</w:t>
    </w:r>
    <w:r w:rsidRPr="00F60369">
      <w:t xml:space="preserve"> geological storage potential of the Petrel Sub-basin</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2F6A68" w:rsidRDefault="000D1A85" w:rsidP="00895BE0">
    <w:pPr>
      <w:pStyle w:val="Footer"/>
    </w:pPr>
    <w:r w:rsidRPr="002F6A68">
      <w:t>CO</w:t>
    </w:r>
    <w:r w:rsidRPr="00F27064">
      <w:rPr>
        <w:rStyle w:val="Subscript"/>
      </w:rPr>
      <w:t>2</w:t>
    </w:r>
    <w:r w:rsidRPr="002F6A68">
      <w:t xml:space="preserve"> geological storage potential of the Petrel Sub-basin</w:t>
    </w:r>
    <w:r w:rsidRPr="002F6A68">
      <w:tab/>
    </w:r>
    <w:r w:rsidRPr="002F6A68">
      <w:rPr>
        <w:rStyle w:val="PageNumber"/>
      </w:rPr>
      <w:fldChar w:fldCharType="begin"/>
    </w:r>
    <w:r w:rsidRPr="002F6A68">
      <w:rPr>
        <w:rStyle w:val="PageNumber"/>
      </w:rPr>
      <w:instrText xml:space="preserve"> PAGE   \* MERGEFORMAT </w:instrText>
    </w:r>
    <w:r w:rsidRPr="002F6A68">
      <w:rPr>
        <w:rStyle w:val="PageNumber"/>
      </w:rPr>
      <w:fldChar w:fldCharType="separate"/>
    </w:r>
    <w:r w:rsidR="00F64E4F">
      <w:rPr>
        <w:rStyle w:val="PageNumber"/>
        <w:noProof/>
      </w:rPr>
      <w:t>25</w:t>
    </w:r>
    <w:r w:rsidRPr="002F6A68">
      <w:rPr>
        <w:rStyle w:val="PageNumber"/>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F60369" w:rsidRDefault="000D1A85" w:rsidP="00AE5C2D">
    <w:pPr>
      <w:pStyle w:val="Footerlandscape"/>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F64E4F">
      <w:rPr>
        <w:rStyle w:val="PageNumber"/>
        <w:noProof/>
      </w:rPr>
      <w:t>26</w:t>
    </w:r>
    <w:r w:rsidRPr="000B1669">
      <w:rPr>
        <w:rStyle w:val="PageNumber"/>
      </w:rPr>
      <w:fldChar w:fldCharType="end"/>
    </w:r>
    <w:r>
      <w:rPr>
        <w:rStyle w:val="PageNumber"/>
      </w:rPr>
      <w:tab/>
    </w:r>
    <w:r w:rsidRPr="00F60369">
      <w:t>CO</w:t>
    </w:r>
    <w:r w:rsidRPr="00F27064">
      <w:rPr>
        <w:rStyle w:val="Subscript"/>
      </w:rPr>
      <w:t>2</w:t>
    </w:r>
    <w:r w:rsidRPr="00F60369">
      <w:t xml:space="preserve"> geological storage potential of the Petrel Sub-basin</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2F6A68" w:rsidRDefault="000D1A85" w:rsidP="009B63E6">
    <w:pPr>
      <w:pStyle w:val="Footerlandscape"/>
    </w:pPr>
    <w:r w:rsidRPr="002F6A68">
      <w:t>CO</w:t>
    </w:r>
    <w:r w:rsidRPr="00F27064">
      <w:rPr>
        <w:rStyle w:val="Subscript"/>
      </w:rPr>
      <w:t>2</w:t>
    </w:r>
    <w:r w:rsidRPr="002F6A68">
      <w:t xml:space="preserve"> geological storage potential of the Petrel Sub-basin</w:t>
    </w:r>
    <w:r w:rsidRPr="002F6A68">
      <w:tab/>
    </w:r>
    <w:r w:rsidRPr="002F6A68">
      <w:rPr>
        <w:rStyle w:val="PageNumber"/>
      </w:rPr>
      <w:fldChar w:fldCharType="begin"/>
    </w:r>
    <w:r w:rsidRPr="002F6A68">
      <w:rPr>
        <w:rStyle w:val="PageNumber"/>
      </w:rPr>
      <w:instrText xml:space="preserve"> PAGE   \* MERGEFORMAT </w:instrText>
    </w:r>
    <w:r w:rsidRPr="002F6A68">
      <w:rPr>
        <w:rStyle w:val="PageNumber"/>
      </w:rPr>
      <w:fldChar w:fldCharType="separate"/>
    </w:r>
    <w:r w:rsidR="00F64E4F">
      <w:rPr>
        <w:rStyle w:val="PageNumber"/>
        <w:noProof/>
      </w:rPr>
      <w:t>27</w:t>
    </w:r>
    <w:r w:rsidRPr="002F6A68">
      <w:rPr>
        <w:rStyle w:val="PageNumber"/>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F60369" w:rsidRDefault="000D1A85" w:rsidP="00AE0B1A">
    <w:pPr>
      <w:pStyle w:val="Foote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F64E4F">
      <w:rPr>
        <w:rStyle w:val="PageNumber"/>
        <w:noProof/>
      </w:rPr>
      <w:t>40</w:t>
    </w:r>
    <w:r w:rsidRPr="000B1669">
      <w:rPr>
        <w:rStyle w:val="PageNumber"/>
      </w:rPr>
      <w:fldChar w:fldCharType="end"/>
    </w:r>
    <w:r>
      <w:rPr>
        <w:rStyle w:val="PageNumber"/>
      </w:rPr>
      <w:tab/>
    </w:r>
    <w:r w:rsidRPr="00F60369">
      <w:t>CO</w:t>
    </w:r>
    <w:r w:rsidRPr="00F27064">
      <w:rPr>
        <w:rStyle w:val="Subscript"/>
      </w:rPr>
      <w:t>2</w:t>
    </w:r>
    <w:r w:rsidRPr="00F60369">
      <w:t xml:space="preserve"> geological storage potential of the Petrel Sub-basin</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Default="000D1A85" w:rsidP="00AE0B1A">
    <w:pPr>
      <w:pStyle w:val="Footer"/>
    </w:pPr>
    <w:r w:rsidRPr="001A138F">
      <w:t>CO</w:t>
    </w:r>
    <w:r w:rsidRPr="001A138F">
      <w:rPr>
        <w:rStyle w:val="Subscript"/>
      </w:rPr>
      <w:t>2</w:t>
    </w:r>
    <w:r w:rsidRPr="001A138F">
      <w:t xml:space="preserve"> geological storage potential of the Petrel Sub-basin</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F64E4F">
      <w:rPr>
        <w:rStyle w:val="PageNumber"/>
        <w:noProof/>
      </w:rPr>
      <w:t>39</w:t>
    </w:r>
    <w:r w:rsidRPr="008E7CDC">
      <w:rPr>
        <w:rStyle w:val="PageNumber"/>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F60369" w:rsidRDefault="000D1A85" w:rsidP="00AE0B1A">
    <w:pPr>
      <w:pStyle w:val="FooterlandscapeA3"/>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F64E4F">
      <w:rPr>
        <w:rStyle w:val="PageNumber"/>
        <w:noProof/>
      </w:rPr>
      <w:t>42</w:t>
    </w:r>
    <w:r w:rsidRPr="000B1669">
      <w:rPr>
        <w:rStyle w:val="PageNumber"/>
      </w:rPr>
      <w:fldChar w:fldCharType="end"/>
    </w:r>
    <w:r>
      <w:rPr>
        <w:rStyle w:val="PageNumber"/>
      </w:rPr>
      <w:tab/>
    </w:r>
    <w:r w:rsidRPr="00F60369">
      <w:t>CO</w:t>
    </w:r>
    <w:r w:rsidRPr="00B353D1">
      <w:rPr>
        <w:rStyle w:val="Subscript"/>
      </w:rPr>
      <w:t>2</w:t>
    </w:r>
    <w:r w:rsidRPr="00F60369">
      <w:t xml:space="preserve"> geological storage potential of the Petrel Sub-basin</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915087" w:rsidRDefault="000D1A85" w:rsidP="00AE0B1A">
    <w:pPr>
      <w:pStyle w:val="FooterlandscapeA3"/>
    </w:pPr>
    <w:r w:rsidRPr="00915087">
      <w:t>CO</w:t>
    </w:r>
    <w:r w:rsidRPr="00B353D1">
      <w:rPr>
        <w:rStyle w:val="Subscript"/>
      </w:rPr>
      <w:t>2</w:t>
    </w:r>
    <w:r w:rsidRPr="00915087">
      <w:t xml:space="preserve"> geological storage potential of the Petrel Sub-basin</w:t>
    </w:r>
    <w:r w:rsidRPr="00915087">
      <w:tab/>
    </w:r>
    <w:r w:rsidRPr="00915087">
      <w:rPr>
        <w:rStyle w:val="PageNumber"/>
      </w:rPr>
      <w:fldChar w:fldCharType="begin"/>
    </w:r>
    <w:r w:rsidRPr="00915087">
      <w:rPr>
        <w:rStyle w:val="PageNumber"/>
      </w:rPr>
      <w:instrText xml:space="preserve"> PAGE   \* MERGEFORMAT </w:instrText>
    </w:r>
    <w:r w:rsidRPr="00915087">
      <w:rPr>
        <w:rStyle w:val="PageNumber"/>
      </w:rPr>
      <w:fldChar w:fldCharType="separate"/>
    </w:r>
    <w:r w:rsidR="00F64E4F">
      <w:rPr>
        <w:rStyle w:val="PageNumber"/>
        <w:noProof/>
      </w:rPr>
      <w:t>41</w:t>
    </w:r>
    <w:r w:rsidRPr="00915087">
      <w:rPr>
        <w:rStyle w:val="PageNumber"/>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F60369" w:rsidRDefault="000D1A85" w:rsidP="00AE0B1A">
    <w:pPr>
      <w:pStyle w:val="Footerlandscape"/>
    </w:pPr>
    <w:r w:rsidRPr="00915087">
      <w:rPr>
        <w:rStyle w:val="FooterChar"/>
      </w:rPr>
      <w:fldChar w:fldCharType="begin"/>
    </w:r>
    <w:r w:rsidRPr="00915087">
      <w:rPr>
        <w:rStyle w:val="FooterChar"/>
      </w:rPr>
      <w:instrText xml:space="preserve"> PAGE   \* MERGEFORMAT </w:instrText>
    </w:r>
    <w:r w:rsidRPr="00915087">
      <w:rPr>
        <w:rStyle w:val="FooterChar"/>
      </w:rPr>
      <w:fldChar w:fldCharType="separate"/>
    </w:r>
    <w:r w:rsidR="00F64E4F">
      <w:rPr>
        <w:rStyle w:val="FooterChar"/>
        <w:noProof/>
      </w:rPr>
      <w:t>44</w:t>
    </w:r>
    <w:r w:rsidRPr="00915087">
      <w:rPr>
        <w:rStyle w:val="FooterChar"/>
      </w:rPr>
      <w:fldChar w:fldCharType="end"/>
    </w:r>
    <w:r w:rsidRPr="00915087">
      <w:rPr>
        <w:rStyle w:val="FooterChar"/>
      </w:rPr>
      <w:tab/>
      <w:t>CO</w:t>
    </w:r>
    <w:r w:rsidRPr="00B353D1">
      <w:rPr>
        <w:rStyle w:val="Subscript"/>
      </w:rPr>
      <w:t>2</w:t>
    </w:r>
    <w:r w:rsidRPr="00915087">
      <w:rPr>
        <w:rStyle w:val="FooterChar"/>
      </w:rPr>
      <w:t xml:space="preserve"> geological storage potent</w:t>
    </w:r>
    <w:r w:rsidRPr="00F60369">
      <w:t>ial of the Petrel Sub-basin</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4503BD" w:rsidRDefault="000D1A85" w:rsidP="00895BE0">
    <w:pPr>
      <w:pStyle w:val="Footerlandscape"/>
    </w:pPr>
    <w:r w:rsidRPr="004503BD">
      <w:t>CO</w:t>
    </w:r>
    <w:r w:rsidRPr="00B353D1">
      <w:rPr>
        <w:rStyle w:val="Subscript"/>
      </w:rPr>
      <w:t>2</w:t>
    </w:r>
    <w:r w:rsidRPr="004503BD">
      <w:t xml:space="preserve"> geological storage potential of the Petrel Sub-basin</w:t>
    </w:r>
    <w:r w:rsidRPr="004503BD">
      <w:tab/>
    </w:r>
    <w:r w:rsidRPr="004503BD">
      <w:rPr>
        <w:rStyle w:val="PageNumber"/>
      </w:rPr>
      <w:fldChar w:fldCharType="begin"/>
    </w:r>
    <w:r w:rsidRPr="004503BD">
      <w:rPr>
        <w:rStyle w:val="PageNumber"/>
      </w:rPr>
      <w:instrText xml:space="preserve"> PAGE   \* MERGEFORMAT </w:instrText>
    </w:r>
    <w:r w:rsidRPr="004503BD">
      <w:rPr>
        <w:rStyle w:val="PageNumber"/>
      </w:rPr>
      <w:fldChar w:fldCharType="separate"/>
    </w:r>
    <w:r w:rsidR="00F64E4F">
      <w:rPr>
        <w:rStyle w:val="PageNumber"/>
        <w:noProof/>
      </w:rPr>
      <w:t>43</w:t>
    </w:r>
    <w:r w:rsidRPr="004503BD">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3F5" w:rsidRPr="00F60369" w:rsidRDefault="003543F5" w:rsidP="00AE0B1A">
    <w:pPr>
      <w:pStyle w:val="Foote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F64E4F">
      <w:rPr>
        <w:rStyle w:val="PageNumber"/>
        <w:noProof/>
      </w:rPr>
      <w:t>iv</w:t>
    </w:r>
    <w:r w:rsidRPr="000B1669">
      <w:rPr>
        <w:rStyle w:val="PageNumber"/>
      </w:rPr>
      <w:fldChar w:fldCharType="end"/>
    </w:r>
    <w:r>
      <w:rPr>
        <w:rStyle w:val="PageNumber"/>
      </w:rPr>
      <w:tab/>
    </w:r>
    <w:r w:rsidRPr="00F60369">
      <w:t>CO</w:t>
    </w:r>
    <w:r w:rsidRPr="00F27064">
      <w:rPr>
        <w:rStyle w:val="Subscript"/>
      </w:rPr>
      <w:t>2</w:t>
    </w:r>
    <w:r w:rsidRPr="00F60369">
      <w:t xml:space="preserve"> geological storage potential of the Petrel Sub-basin</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9022151"/>
      <w:docPartObj>
        <w:docPartGallery w:val="Page Numbers (Bottom of Page)"/>
        <w:docPartUnique/>
      </w:docPartObj>
    </w:sdtPr>
    <w:sdtEndPr>
      <w:rPr>
        <w:rStyle w:val="PageNumber"/>
      </w:rPr>
    </w:sdtEndPr>
    <w:sdtContent>
      <w:p w:rsidR="000D1A85" w:rsidRPr="000B1669" w:rsidRDefault="000D1A85" w:rsidP="00F74790">
        <w:pPr>
          <w:pStyle w:val="Footer"/>
          <w:rPr>
            <w:rStyle w:val="PageNumber"/>
          </w:rP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F64E4F">
          <w:rPr>
            <w:rStyle w:val="PageNumber"/>
            <w:noProof/>
          </w:rPr>
          <w:t>82</w:t>
        </w:r>
        <w:r w:rsidRPr="000B1669">
          <w:rPr>
            <w:rStyle w:val="PageNumber"/>
          </w:rPr>
          <w:fldChar w:fldCharType="end"/>
        </w:r>
        <w:r>
          <w:rPr>
            <w:rStyle w:val="PageNumber"/>
          </w:rPr>
          <w:tab/>
        </w:r>
        <w:r w:rsidRPr="00F60369">
          <w:t>CO</w:t>
        </w:r>
        <w:r w:rsidRPr="00F27064">
          <w:rPr>
            <w:rStyle w:val="Subscript"/>
          </w:rPr>
          <w:t>2</w:t>
        </w:r>
        <w:r w:rsidRPr="00F60369">
          <w:t xml:space="preserve"> geological storage potential of the Petrel Sub-basin</w:t>
        </w:r>
      </w:p>
    </w:sdtContent>
  </w:sdt>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4503BD" w:rsidRDefault="000D1A85" w:rsidP="00AE5C2D">
    <w:pPr>
      <w:pStyle w:val="Footer"/>
    </w:pPr>
    <w:r w:rsidRPr="004503BD">
      <w:t>CO</w:t>
    </w:r>
    <w:r w:rsidRPr="00B353D1">
      <w:rPr>
        <w:rStyle w:val="Subscript"/>
      </w:rPr>
      <w:t>2</w:t>
    </w:r>
    <w:r w:rsidRPr="004503BD">
      <w:t xml:space="preserve"> geological storage potential of the Petrel Sub-basin</w:t>
    </w:r>
    <w:r w:rsidRPr="004503BD">
      <w:tab/>
    </w:r>
    <w:r w:rsidRPr="004503BD">
      <w:rPr>
        <w:rStyle w:val="PageNumber"/>
      </w:rPr>
      <w:fldChar w:fldCharType="begin"/>
    </w:r>
    <w:r w:rsidRPr="004503BD">
      <w:rPr>
        <w:rStyle w:val="PageNumber"/>
      </w:rPr>
      <w:instrText xml:space="preserve"> PAGE   \* MERGEFORMAT </w:instrText>
    </w:r>
    <w:r w:rsidRPr="004503BD">
      <w:rPr>
        <w:rStyle w:val="PageNumber"/>
      </w:rPr>
      <w:fldChar w:fldCharType="separate"/>
    </w:r>
    <w:r w:rsidR="00F64E4F">
      <w:rPr>
        <w:rStyle w:val="PageNumber"/>
        <w:noProof/>
      </w:rPr>
      <w:t>83</w:t>
    </w:r>
    <w:r w:rsidRPr="004503BD">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543F5" w:rsidRPr="00F60369" w:rsidRDefault="003543F5" w:rsidP="003543F5">
    <w:pPr>
      <w:pStyle w:val="Foote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F64E4F">
      <w:rPr>
        <w:rStyle w:val="PageNumber"/>
        <w:noProof/>
      </w:rPr>
      <w:t>iii</w:t>
    </w:r>
    <w:r w:rsidRPr="000B1669">
      <w:rPr>
        <w:rStyle w:val="PageNumber"/>
      </w:rPr>
      <w:fldChar w:fldCharType="end"/>
    </w:r>
    <w:r>
      <w:rPr>
        <w:rStyle w:val="PageNumber"/>
      </w:rPr>
      <w:tab/>
    </w:r>
    <w:r w:rsidRPr="00F60369">
      <w:t>CO</w:t>
    </w:r>
    <w:r w:rsidRPr="00F27064">
      <w:rPr>
        <w:rStyle w:val="Subscript"/>
      </w:rPr>
      <w:t>2</w:t>
    </w:r>
    <w:r w:rsidRPr="00F60369">
      <w:t xml:space="preserve"> geological storage potential of the Petrel Sub-basin</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F60369" w:rsidRDefault="000D1A85" w:rsidP="00AE0B1A">
    <w:pPr>
      <w:pStyle w:val="Footerlandscape"/>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F64E4F">
      <w:rPr>
        <w:rStyle w:val="PageNumber"/>
        <w:noProof/>
      </w:rPr>
      <w:t>10</w:t>
    </w:r>
    <w:r w:rsidRPr="000B1669">
      <w:rPr>
        <w:rStyle w:val="PageNumber"/>
      </w:rPr>
      <w:fldChar w:fldCharType="end"/>
    </w:r>
    <w:r>
      <w:rPr>
        <w:rStyle w:val="PageNumber"/>
      </w:rPr>
      <w:tab/>
    </w:r>
    <w:r w:rsidRPr="00F60369">
      <w:t>CO</w:t>
    </w:r>
    <w:r w:rsidRPr="00F27064">
      <w:rPr>
        <w:rStyle w:val="Subscript"/>
      </w:rPr>
      <w:t>2</w:t>
    </w:r>
    <w:r w:rsidRPr="00F60369">
      <w:t xml:space="preserve"> geological storage potential of the Petrel Sub-basin</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Default="000D1A85" w:rsidP="00AE0B1A">
    <w:pPr>
      <w:pStyle w:val="Footerlandscape"/>
    </w:pPr>
    <w:r w:rsidRPr="001A138F">
      <w:t>CO</w:t>
    </w:r>
    <w:r w:rsidRPr="001A138F">
      <w:rPr>
        <w:rStyle w:val="Subscript"/>
      </w:rPr>
      <w:t>2</w:t>
    </w:r>
    <w:r w:rsidRPr="001A138F">
      <w:t xml:space="preserve"> geological storage potential of the Petrel Sub-basin</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F64E4F">
      <w:rPr>
        <w:rStyle w:val="PageNumber"/>
        <w:noProof/>
      </w:rPr>
      <w:t>11</w:t>
    </w:r>
    <w:r w:rsidRPr="008E7CDC">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F60369" w:rsidRDefault="000D1A85" w:rsidP="002F4AE8">
    <w:pPr>
      <w:pStyle w:val="Footer"/>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F64E4F">
      <w:rPr>
        <w:rStyle w:val="PageNumber"/>
        <w:noProof/>
      </w:rPr>
      <w:t>18</w:t>
    </w:r>
    <w:r w:rsidRPr="000B1669">
      <w:rPr>
        <w:rStyle w:val="PageNumber"/>
      </w:rPr>
      <w:fldChar w:fldCharType="end"/>
    </w:r>
    <w:r>
      <w:rPr>
        <w:rStyle w:val="PageNumber"/>
      </w:rPr>
      <w:tab/>
    </w:r>
    <w:r w:rsidRPr="00F60369">
      <w:t>CO</w:t>
    </w:r>
    <w:r w:rsidRPr="00F27064">
      <w:rPr>
        <w:rStyle w:val="Subscript"/>
      </w:rPr>
      <w:t>2</w:t>
    </w:r>
    <w:r w:rsidRPr="00F60369">
      <w:t xml:space="preserve"> geological storage potential of the Petrel Sub-basin</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Default="000D1A85" w:rsidP="00AE0B1A">
    <w:pPr>
      <w:pStyle w:val="Footer"/>
    </w:pPr>
    <w:r w:rsidRPr="001A138F">
      <w:t>CO</w:t>
    </w:r>
    <w:r w:rsidRPr="001A138F">
      <w:rPr>
        <w:rStyle w:val="Subscript"/>
      </w:rPr>
      <w:t>2</w:t>
    </w:r>
    <w:r w:rsidRPr="001A138F">
      <w:t xml:space="preserve"> geological storage potential of the Petrel Sub-basin</w:t>
    </w:r>
    <w:r>
      <w:tab/>
    </w:r>
    <w:r w:rsidRPr="008E7CDC">
      <w:rPr>
        <w:rStyle w:val="PageNumber"/>
      </w:rPr>
      <w:fldChar w:fldCharType="begin"/>
    </w:r>
    <w:r w:rsidRPr="008E7CDC">
      <w:rPr>
        <w:rStyle w:val="PageNumber"/>
      </w:rPr>
      <w:instrText xml:space="preserve"> PAGE   \* MERGEFORMAT </w:instrText>
    </w:r>
    <w:r w:rsidRPr="008E7CDC">
      <w:rPr>
        <w:rStyle w:val="PageNumber"/>
      </w:rPr>
      <w:fldChar w:fldCharType="separate"/>
    </w:r>
    <w:r w:rsidR="00F64E4F">
      <w:rPr>
        <w:rStyle w:val="PageNumber"/>
        <w:noProof/>
      </w:rPr>
      <w:t>19</w:t>
    </w:r>
    <w:r w:rsidRPr="008E7CDC">
      <w:rPr>
        <w:rStyle w:val="PageNumber"/>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F60369" w:rsidRDefault="000D1A85" w:rsidP="002F4AE8">
    <w:pPr>
      <w:pStyle w:val="Footerlandscape"/>
    </w:pPr>
    <w:r w:rsidRPr="000B1669">
      <w:rPr>
        <w:rStyle w:val="PageNumber"/>
      </w:rPr>
      <w:fldChar w:fldCharType="begin"/>
    </w:r>
    <w:r w:rsidRPr="000B1669">
      <w:rPr>
        <w:rStyle w:val="PageNumber"/>
      </w:rPr>
      <w:instrText xml:space="preserve"> PAGE   \* MERGEFORMAT </w:instrText>
    </w:r>
    <w:r w:rsidRPr="000B1669">
      <w:rPr>
        <w:rStyle w:val="PageNumber"/>
      </w:rPr>
      <w:fldChar w:fldCharType="separate"/>
    </w:r>
    <w:r w:rsidR="00F64E4F">
      <w:rPr>
        <w:rStyle w:val="PageNumber"/>
        <w:noProof/>
      </w:rPr>
      <w:t>20</w:t>
    </w:r>
    <w:r w:rsidRPr="000B1669">
      <w:rPr>
        <w:rStyle w:val="PageNumber"/>
      </w:rPr>
      <w:fldChar w:fldCharType="end"/>
    </w:r>
    <w:r>
      <w:rPr>
        <w:rStyle w:val="PageNumber"/>
      </w:rPr>
      <w:tab/>
    </w:r>
    <w:r w:rsidRPr="00F60369">
      <w:t>CO</w:t>
    </w:r>
    <w:r w:rsidRPr="00F27064">
      <w:rPr>
        <w:rStyle w:val="Subscript"/>
      </w:rPr>
      <w:t>2</w:t>
    </w:r>
    <w:r w:rsidRPr="00F60369">
      <w:t xml:space="preserve"> geological storage potential of the Petrel Sub-basin</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D1A85" w:rsidRPr="002F6A68" w:rsidRDefault="000D1A85" w:rsidP="00D7182D">
    <w:pPr>
      <w:pStyle w:val="Footerlandscape"/>
    </w:pPr>
    <w:r w:rsidRPr="002F6A68">
      <w:t>CO</w:t>
    </w:r>
    <w:r w:rsidRPr="00F27064">
      <w:rPr>
        <w:rStyle w:val="Subscript"/>
      </w:rPr>
      <w:t>2</w:t>
    </w:r>
    <w:r w:rsidRPr="002F6A68">
      <w:t xml:space="preserve"> geological storage potential of the Petrel Sub-basin</w:t>
    </w:r>
    <w:r w:rsidRPr="002F6A68">
      <w:tab/>
    </w:r>
    <w:r w:rsidRPr="002F6A68">
      <w:rPr>
        <w:rStyle w:val="PageNumber"/>
      </w:rPr>
      <w:fldChar w:fldCharType="begin"/>
    </w:r>
    <w:r w:rsidRPr="002F6A68">
      <w:rPr>
        <w:rStyle w:val="PageNumber"/>
      </w:rPr>
      <w:instrText xml:space="preserve"> PAGE   \* MERGEFORMAT </w:instrText>
    </w:r>
    <w:r w:rsidRPr="002F6A68">
      <w:rPr>
        <w:rStyle w:val="PageNumber"/>
      </w:rPr>
      <w:fldChar w:fldCharType="separate"/>
    </w:r>
    <w:r>
      <w:rPr>
        <w:rStyle w:val="PageNumber"/>
        <w:noProof/>
      </w:rPr>
      <w:t>21</w:t>
    </w:r>
    <w:r w:rsidRPr="002F6A68">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D1A85" w:rsidRDefault="000D1A85" w:rsidP="009C2D2B">
      <w:pPr>
        <w:spacing w:before="0" w:after="0" w:line="240" w:lineRule="auto"/>
      </w:pPr>
      <w:r>
        <w:separator/>
      </w:r>
    </w:p>
  </w:footnote>
  <w:footnote w:type="continuationSeparator" w:id="0">
    <w:p w:rsidR="000D1A85" w:rsidRDefault="000D1A85" w:rsidP="009C2D2B">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3D258D6"/>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EEB0945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77741F5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E1F8A7A8"/>
    <w:lvl w:ilvl="0">
      <w:start w:val="1"/>
      <w:numFmt w:val="decimal"/>
      <w:pStyle w:val="ListNumber2"/>
      <w:lvlText w:val="%1."/>
      <w:lvlJc w:val="left"/>
      <w:pPr>
        <w:tabs>
          <w:tab w:val="num" w:pos="720"/>
        </w:tabs>
        <w:ind w:left="720" w:hanging="360"/>
      </w:pPr>
    </w:lvl>
  </w:abstractNum>
  <w:abstractNum w:abstractNumId="4">
    <w:nsid w:val="FFFFFF80"/>
    <w:multiLevelType w:val="singleLevel"/>
    <w:tmpl w:val="C61E1ABA"/>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F6DCDFAE"/>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421EFB0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D36A2972"/>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671E5A94"/>
    <w:lvl w:ilvl="0">
      <w:start w:val="1"/>
      <w:numFmt w:val="decimal"/>
      <w:pStyle w:val="ListNumber"/>
      <w:lvlText w:val="%1."/>
      <w:lvlJc w:val="left"/>
      <w:pPr>
        <w:tabs>
          <w:tab w:val="num" w:pos="360"/>
        </w:tabs>
        <w:ind w:left="360" w:hanging="360"/>
      </w:pPr>
    </w:lvl>
  </w:abstractNum>
  <w:abstractNum w:abstractNumId="9">
    <w:nsid w:val="FFFFFF89"/>
    <w:multiLevelType w:val="singleLevel"/>
    <w:tmpl w:val="01A090C2"/>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0000003"/>
    <w:multiLevelType w:val="singleLevel"/>
    <w:tmpl w:val="12767B18"/>
    <w:lvl w:ilvl="0">
      <w:start w:val="1"/>
      <w:numFmt w:val="decimal"/>
      <w:pStyle w:val="Notes"/>
      <w:lvlText w:val="%1."/>
      <w:lvlJc w:val="left"/>
      <w:pPr>
        <w:tabs>
          <w:tab w:val="num" w:pos="360"/>
        </w:tabs>
        <w:ind w:left="360" w:hanging="360"/>
      </w:pPr>
    </w:lvl>
  </w:abstractNum>
  <w:abstractNum w:abstractNumId="11">
    <w:nsid w:val="003B0BD8"/>
    <w:multiLevelType w:val="multilevel"/>
    <w:tmpl w:val="7C369B30"/>
    <w:styleLink w:val="Bulletnew"/>
    <w:lvl w:ilvl="0">
      <w:start w:val="1"/>
      <w:numFmt w:val="upperLetter"/>
      <w:lvlText w:val="%1)"/>
      <w:lvlJc w:val="left"/>
      <w:pPr>
        <w:ind w:left="720" w:hanging="360"/>
      </w:pPr>
      <w:rPr>
        <w:rFonts w:cs="Times New Roman" w:hint="default"/>
      </w:rPr>
    </w:lvl>
    <w:lvl w:ilvl="1">
      <w:start w:val="1"/>
      <w:numFmt w:val="lowerLetter"/>
      <w:lvlText w:val="%2)"/>
      <w:lvlJc w:val="left"/>
      <w:pPr>
        <w:ind w:left="1080" w:hanging="360"/>
      </w:pPr>
      <w:rPr>
        <w:rFonts w:cs="Times New Roman" w:hint="default"/>
      </w:rPr>
    </w:lvl>
    <w:lvl w:ilvl="2">
      <w:start w:val="1"/>
      <w:numFmt w:val="lowerRoman"/>
      <w:lvlText w:val="%3)"/>
      <w:lvlJc w:val="left"/>
      <w:pPr>
        <w:ind w:left="1440" w:hanging="360"/>
      </w:pPr>
      <w:rPr>
        <w:rFonts w:cs="Times New Roman" w:hint="default"/>
      </w:rPr>
    </w:lvl>
    <w:lvl w:ilvl="3">
      <w:start w:val="1"/>
      <w:numFmt w:val="decimal"/>
      <w:lvlText w:val="(%4)"/>
      <w:lvlJc w:val="left"/>
      <w:pPr>
        <w:ind w:left="1800" w:hanging="360"/>
      </w:pPr>
      <w:rPr>
        <w:rFonts w:cs="Times New Roman" w:hint="default"/>
      </w:rPr>
    </w:lvl>
    <w:lvl w:ilvl="4">
      <w:start w:val="1"/>
      <w:numFmt w:val="lowerLetter"/>
      <w:lvlText w:val="(%5)"/>
      <w:lvlJc w:val="left"/>
      <w:pPr>
        <w:ind w:left="2160" w:hanging="360"/>
      </w:pPr>
      <w:rPr>
        <w:rFonts w:cs="Times New Roman" w:hint="default"/>
      </w:rPr>
    </w:lvl>
    <w:lvl w:ilvl="5">
      <w:start w:val="1"/>
      <w:numFmt w:val="lowerRoman"/>
      <w:lvlText w:val="(%6)"/>
      <w:lvlJc w:val="left"/>
      <w:pPr>
        <w:ind w:left="2520" w:hanging="360"/>
      </w:pPr>
      <w:rPr>
        <w:rFonts w:cs="Times New Roman" w:hint="default"/>
      </w:rPr>
    </w:lvl>
    <w:lvl w:ilvl="6">
      <w:start w:val="1"/>
      <w:numFmt w:val="decimal"/>
      <w:lvlText w:val="%7."/>
      <w:lvlJc w:val="left"/>
      <w:pPr>
        <w:ind w:left="2880" w:hanging="360"/>
      </w:pPr>
      <w:rPr>
        <w:rFonts w:cs="Times New Roman" w:hint="default"/>
      </w:rPr>
    </w:lvl>
    <w:lvl w:ilvl="7">
      <w:start w:val="1"/>
      <w:numFmt w:val="lowerLetter"/>
      <w:lvlText w:val="%8."/>
      <w:lvlJc w:val="left"/>
      <w:pPr>
        <w:ind w:left="3240" w:hanging="360"/>
      </w:pPr>
      <w:rPr>
        <w:rFonts w:cs="Times New Roman" w:hint="default"/>
      </w:rPr>
    </w:lvl>
    <w:lvl w:ilvl="8">
      <w:start w:val="1"/>
      <w:numFmt w:val="lowerRoman"/>
      <w:lvlText w:val="%9."/>
      <w:lvlJc w:val="left"/>
      <w:pPr>
        <w:ind w:left="3600" w:hanging="360"/>
      </w:pPr>
      <w:rPr>
        <w:rFonts w:cs="Times New Roman" w:hint="default"/>
      </w:rPr>
    </w:lvl>
  </w:abstractNum>
  <w:abstractNum w:abstractNumId="12">
    <w:nsid w:val="00D62FE1"/>
    <w:multiLevelType w:val="multilevel"/>
    <w:tmpl w:val="A4B8C762"/>
    <w:styleLink w:val="GAAppendices"/>
    <w:lvl w:ilvl="0">
      <w:start w:val="1"/>
      <w:numFmt w:val="upperLetter"/>
      <w:pStyle w:val="Heading9"/>
      <w:suff w:val="space"/>
      <w:lvlText w:val="Appendix %1"/>
      <w:lvlJc w:val="left"/>
      <w:pPr>
        <w:ind w:left="0" w:firstLine="0"/>
      </w:pPr>
      <w:rPr>
        <w:rFonts w:hint="default"/>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appendix2"/>
      <w:suff w:val="space"/>
      <w:lvlText w:val="%1.%2"/>
      <w:lvlJc w:val="left"/>
      <w:pPr>
        <w:ind w:left="0" w:firstLine="0"/>
      </w:pPr>
      <w:rPr>
        <w:rFonts w:hint="default"/>
      </w:rPr>
    </w:lvl>
    <w:lvl w:ilvl="2">
      <w:start w:val="1"/>
      <w:numFmt w:val="decimal"/>
      <w:pStyle w:val="Headingappendix3"/>
      <w:suff w:val="space"/>
      <w:lvlText w:val="%1.%2.%3"/>
      <w:lvlJc w:val="left"/>
      <w:pPr>
        <w:ind w:left="0" w:firstLine="0"/>
      </w:pPr>
      <w:rPr>
        <w:rFonts w:hint="default"/>
      </w:rPr>
    </w:lvl>
    <w:lvl w:ilvl="3">
      <w:start w:val="1"/>
      <w:numFmt w:val="decimal"/>
      <w:pStyle w:val="Headingappendix4"/>
      <w:suff w:val="space"/>
      <w:lvlText w:val="%1.%2.%3.%4"/>
      <w:lvlJc w:val="left"/>
      <w:pPr>
        <w:ind w:left="0" w:firstLine="0"/>
      </w:pPr>
      <w:rPr>
        <w:rFonts w:hint="default"/>
      </w:rPr>
    </w:lvl>
    <w:lvl w:ilvl="4">
      <w:start w:val="1"/>
      <w:numFmt w:val="decimal"/>
      <w:pStyle w:val="Headingappendix5"/>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3">
    <w:nsid w:val="00E7525F"/>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01C80A0C"/>
    <w:multiLevelType w:val="multilevel"/>
    <w:tmpl w:val="49E65A48"/>
    <w:lvl w:ilvl="0">
      <w:start w:val="1"/>
      <w:numFmt w:val="bullet"/>
      <w:pStyle w:val="Listbulletlevel1"/>
      <w:lvlText w:val=""/>
      <w:lvlJc w:val="left"/>
      <w:pPr>
        <w:tabs>
          <w:tab w:val="num" w:pos="567"/>
        </w:tabs>
        <w:ind w:left="567" w:hanging="283"/>
      </w:pPr>
      <w:rPr>
        <w:rFonts w:ascii="Symbol" w:hAnsi="Symbol" w:hint="default"/>
        <w:color w:val="auto"/>
      </w:rPr>
    </w:lvl>
    <w:lvl w:ilvl="1">
      <w:start w:val="1"/>
      <w:numFmt w:val="bullet"/>
      <w:pStyle w:val="Listbulletlevel2"/>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5">
    <w:nsid w:val="0207720D"/>
    <w:multiLevelType w:val="multilevel"/>
    <w:tmpl w:val="7C123498"/>
    <w:lvl w:ilvl="0">
      <w:start w:val="1"/>
      <w:numFmt w:val="decimal"/>
      <w:pStyle w:val="Listbulletlevel1numbered"/>
      <w:lvlText w:val="%1."/>
      <w:lvlJc w:val="left"/>
      <w:pPr>
        <w:tabs>
          <w:tab w:val="num" w:pos="709"/>
        </w:tabs>
        <w:ind w:left="709" w:hanging="425"/>
      </w:pPr>
      <w:rPr>
        <w:rFonts w:hint="default"/>
      </w:rPr>
    </w:lvl>
    <w:lvl w:ilvl="1">
      <w:start w:val="1"/>
      <w:numFmt w:val="lowerLetter"/>
      <w:pStyle w:val="Listbulletlevel2numbered"/>
      <w:lvlText w:val="%2."/>
      <w:lvlJc w:val="left"/>
      <w:pPr>
        <w:tabs>
          <w:tab w:val="num" w:pos="1276"/>
        </w:tabs>
        <w:ind w:left="1276" w:hanging="567"/>
      </w:pPr>
      <w:rPr>
        <w:rFonts w:hint="default"/>
      </w:rPr>
    </w:lvl>
    <w:lvl w:ilvl="2">
      <w:start w:val="1"/>
      <w:numFmt w:val="none"/>
      <w:lvlText w:val=""/>
      <w:lvlJc w:val="left"/>
      <w:pPr>
        <w:ind w:left="2269" w:hanging="283"/>
      </w:pPr>
      <w:rPr>
        <w:rFonts w:hint="default"/>
      </w:rPr>
    </w:lvl>
    <w:lvl w:ilvl="3">
      <w:start w:val="1"/>
      <w:numFmt w:val="none"/>
      <w:lvlText w:val=""/>
      <w:lvlJc w:val="left"/>
      <w:pPr>
        <w:ind w:left="3120" w:hanging="283"/>
      </w:pPr>
      <w:rPr>
        <w:rFonts w:hint="default"/>
      </w:rPr>
    </w:lvl>
    <w:lvl w:ilvl="4">
      <w:start w:val="1"/>
      <w:numFmt w:val="none"/>
      <w:lvlText w:val=""/>
      <w:lvlJc w:val="left"/>
      <w:pPr>
        <w:ind w:left="3971" w:hanging="283"/>
      </w:pPr>
      <w:rPr>
        <w:rFonts w:hint="default"/>
      </w:rPr>
    </w:lvl>
    <w:lvl w:ilvl="5">
      <w:start w:val="1"/>
      <w:numFmt w:val="none"/>
      <w:lvlText w:val=""/>
      <w:lvlJc w:val="left"/>
      <w:pPr>
        <w:ind w:left="4822" w:hanging="283"/>
      </w:pPr>
      <w:rPr>
        <w:rFonts w:hint="default"/>
      </w:rPr>
    </w:lvl>
    <w:lvl w:ilvl="6">
      <w:start w:val="1"/>
      <w:numFmt w:val="none"/>
      <w:lvlText w:val=""/>
      <w:lvlJc w:val="left"/>
      <w:pPr>
        <w:ind w:left="5673" w:hanging="283"/>
      </w:pPr>
      <w:rPr>
        <w:rFonts w:hint="default"/>
      </w:rPr>
    </w:lvl>
    <w:lvl w:ilvl="7">
      <w:start w:val="1"/>
      <w:numFmt w:val="none"/>
      <w:lvlText w:val=""/>
      <w:lvlJc w:val="left"/>
      <w:pPr>
        <w:ind w:left="6524" w:hanging="283"/>
      </w:pPr>
      <w:rPr>
        <w:rFonts w:hint="default"/>
      </w:rPr>
    </w:lvl>
    <w:lvl w:ilvl="8">
      <w:start w:val="1"/>
      <w:numFmt w:val="none"/>
      <w:lvlText w:val=""/>
      <w:lvlJc w:val="left"/>
      <w:pPr>
        <w:ind w:left="7375" w:hanging="283"/>
      </w:pPr>
      <w:rPr>
        <w:rFonts w:hint="default"/>
      </w:rPr>
    </w:lvl>
  </w:abstractNum>
  <w:abstractNum w:abstractNumId="16">
    <w:nsid w:val="06C30F69"/>
    <w:multiLevelType w:val="multilevel"/>
    <w:tmpl w:val="4E30F72C"/>
    <w:styleLink w:val="BulletsNumbered"/>
    <w:lvl w:ilvl="0">
      <w:start w:val="1"/>
      <w:numFmt w:val="decimal"/>
      <w:lvlText w:val="%1."/>
      <w:lvlJc w:val="left"/>
      <w:pPr>
        <w:tabs>
          <w:tab w:val="num" w:pos="709"/>
        </w:tabs>
        <w:ind w:left="709" w:hanging="425"/>
      </w:pPr>
      <w:rPr>
        <w:rFonts w:cs="Times New Roman" w:hint="default"/>
      </w:rPr>
    </w:lvl>
    <w:lvl w:ilvl="1">
      <w:start w:val="1"/>
      <w:numFmt w:val="decimal"/>
      <w:lvlText w:val="%1.%2."/>
      <w:lvlJc w:val="left"/>
      <w:pPr>
        <w:tabs>
          <w:tab w:val="num" w:pos="1276"/>
        </w:tabs>
        <w:ind w:left="1276" w:hanging="567"/>
      </w:pPr>
      <w:rPr>
        <w:rFonts w:cs="Times New Roman" w:hint="default"/>
      </w:rPr>
    </w:lvl>
    <w:lvl w:ilvl="2">
      <w:start w:val="1"/>
      <w:numFmt w:val="none"/>
      <w:lvlText w:val=""/>
      <w:lvlJc w:val="left"/>
      <w:pPr>
        <w:ind w:left="2269" w:hanging="283"/>
      </w:pPr>
      <w:rPr>
        <w:rFonts w:cs="Times New Roman" w:hint="default"/>
      </w:rPr>
    </w:lvl>
    <w:lvl w:ilvl="3">
      <w:start w:val="1"/>
      <w:numFmt w:val="none"/>
      <w:lvlText w:val=""/>
      <w:lvlJc w:val="left"/>
      <w:pPr>
        <w:ind w:left="3120" w:hanging="283"/>
      </w:pPr>
      <w:rPr>
        <w:rFonts w:cs="Times New Roman" w:hint="default"/>
      </w:rPr>
    </w:lvl>
    <w:lvl w:ilvl="4">
      <w:start w:val="1"/>
      <w:numFmt w:val="none"/>
      <w:lvlText w:val=""/>
      <w:lvlJc w:val="left"/>
      <w:pPr>
        <w:ind w:left="3971" w:hanging="283"/>
      </w:pPr>
      <w:rPr>
        <w:rFonts w:cs="Times New Roman" w:hint="default"/>
      </w:rPr>
    </w:lvl>
    <w:lvl w:ilvl="5">
      <w:start w:val="1"/>
      <w:numFmt w:val="none"/>
      <w:lvlText w:val=""/>
      <w:lvlJc w:val="left"/>
      <w:pPr>
        <w:ind w:left="4822" w:hanging="283"/>
      </w:pPr>
      <w:rPr>
        <w:rFonts w:cs="Times New Roman" w:hint="default"/>
      </w:rPr>
    </w:lvl>
    <w:lvl w:ilvl="6">
      <w:start w:val="1"/>
      <w:numFmt w:val="none"/>
      <w:lvlText w:val=""/>
      <w:lvlJc w:val="left"/>
      <w:pPr>
        <w:ind w:left="5673" w:hanging="283"/>
      </w:pPr>
      <w:rPr>
        <w:rFonts w:cs="Times New Roman" w:hint="default"/>
      </w:rPr>
    </w:lvl>
    <w:lvl w:ilvl="7">
      <w:start w:val="1"/>
      <w:numFmt w:val="none"/>
      <w:lvlText w:val=""/>
      <w:lvlJc w:val="left"/>
      <w:pPr>
        <w:ind w:left="6524" w:hanging="283"/>
      </w:pPr>
      <w:rPr>
        <w:rFonts w:cs="Times New Roman" w:hint="default"/>
      </w:rPr>
    </w:lvl>
    <w:lvl w:ilvl="8">
      <w:start w:val="1"/>
      <w:numFmt w:val="none"/>
      <w:lvlText w:val=""/>
      <w:lvlJc w:val="left"/>
      <w:pPr>
        <w:ind w:left="7375" w:hanging="283"/>
      </w:pPr>
      <w:rPr>
        <w:rFonts w:cs="Times New Roman" w:hint="default"/>
      </w:rPr>
    </w:lvl>
  </w:abstractNum>
  <w:abstractNum w:abstractNumId="17">
    <w:nsid w:val="139A1F5D"/>
    <w:multiLevelType w:val="multilevel"/>
    <w:tmpl w:val="FF7031EA"/>
    <w:styleLink w:val="1ai"/>
    <w:lvl w:ilvl="0">
      <w:start w:val="1"/>
      <w:numFmt w:val="decimal"/>
      <w:lvlText w:val="%1."/>
      <w:lvlJc w:val="left"/>
      <w:pPr>
        <w:ind w:left="432" w:hanging="432"/>
      </w:pPr>
      <w:rPr>
        <w:rFonts w:hint="default"/>
        <w:color w:val="FF0000"/>
      </w:rPr>
    </w:lvl>
    <w:lvl w:ilvl="1">
      <w:start w:val="1"/>
      <w:numFmt w:val="decimal"/>
      <w:suff w:val="space"/>
      <w:lvlText w:val="%1.%2"/>
      <w:lvlJc w:val="left"/>
      <w:pPr>
        <w:ind w:left="576" w:hanging="576"/>
      </w:pPr>
      <w:rPr>
        <w:rFonts w:hint="default"/>
        <w:color w:val="FF0000"/>
      </w:rPr>
    </w:lvl>
    <w:lvl w:ilvl="2">
      <w:start w:val="1"/>
      <w:numFmt w:val="decimal"/>
      <w:suff w:val="space"/>
      <w:lvlText w:val="%1.%2.%3"/>
      <w:lvlJc w:val="left"/>
      <w:pPr>
        <w:ind w:left="720" w:hanging="720"/>
      </w:pPr>
      <w:rPr>
        <w:rFonts w:hint="default"/>
        <w:color w:val="FF0000"/>
      </w:rPr>
    </w:lvl>
    <w:lvl w:ilvl="3">
      <w:start w:val="1"/>
      <w:numFmt w:val="decimal"/>
      <w:suff w:val="space"/>
      <w:lvlText w:val="%1.%2.%3.%4"/>
      <w:lvlJc w:val="left"/>
      <w:pPr>
        <w:ind w:left="864" w:hanging="864"/>
      </w:pPr>
      <w:rPr>
        <w:rFonts w:hint="default"/>
        <w:color w:val="FF0000"/>
      </w:rPr>
    </w:lvl>
    <w:lvl w:ilvl="4">
      <w:start w:val="1"/>
      <w:numFmt w:val="decimal"/>
      <w:suff w:val="space"/>
      <w:lvlText w:val="%1.%2.%3.%4.%5"/>
      <w:lvlJc w:val="left"/>
      <w:pPr>
        <w:ind w:left="1008" w:hanging="1008"/>
      </w:pPr>
      <w:rPr>
        <w:rFonts w:hint="default"/>
        <w:color w:val="FF0000"/>
      </w:rPr>
    </w:lvl>
    <w:lvl w:ilvl="5">
      <w:start w:val="1"/>
      <w:numFmt w:val="decimal"/>
      <w:suff w:val="space"/>
      <w:lvlText w:val="%1.%2.%3.%4.%5.%6"/>
      <w:lvlJc w:val="left"/>
      <w:pPr>
        <w:ind w:left="1152" w:hanging="1152"/>
      </w:pPr>
      <w:rPr>
        <w:rFonts w:hint="default"/>
      </w:rPr>
    </w:lvl>
    <w:lvl w:ilvl="6">
      <w:start w:val="1"/>
      <w:numFmt w:val="decimal"/>
      <w:suff w:val="space"/>
      <w:lvlText w:val="%1.%2.%3.%4.%5.%6.%7"/>
      <w:lvlJc w:val="left"/>
      <w:pPr>
        <w:ind w:left="1296" w:hanging="1296"/>
      </w:pPr>
      <w:rPr>
        <w:rFonts w:hint="default"/>
      </w:rPr>
    </w:lvl>
    <w:lvl w:ilvl="7">
      <w:start w:val="1"/>
      <w:numFmt w:val="decimal"/>
      <w:suff w:val="space"/>
      <w:lvlText w:val="%1.%2.%3.%4.%5.%6.%7.%8"/>
      <w:lvlJc w:val="left"/>
      <w:pPr>
        <w:ind w:left="1440" w:hanging="1440"/>
      </w:pPr>
      <w:rPr>
        <w:rFonts w:hint="default"/>
      </w:rPr>
    </w:lvl>
    <w:lvl w:ilvl="8">
      <w:start w:val="1"/>
      <w:numFmt w:val="decimal"/>
      <w:suff w:val="space"/>
      <w:lvlText w:val="%1.%2.%3.%4.%5.%6.%7.%8.%9"/>
      <w:lvlJc w:val="left"/>
      <w:pPr>
        <w:ind w:left="1584" w:hanging="1584"/>
      </w:pPr>
      <w:rPr>
        <w:rFonts w:hint="default"/>
      </w:rPr>
    </w:lvl>
  </w:abstractNum>
  <w:abstractNum w:abstractNumId="18">
    <w:nsid w:val="195877DD"/>
    <w:multiLevelType w:val="multilevel"/>
    <w:tmpl w:val="3446CB5C"/>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19">
    <w:nsid w:val="1F71600B"/>
    <w:multiLevelType w:val="multilevel"/>
    <w:tmpl w:val="F90AB092"/>
    <w:styleLink w:val="GAMultilevelList"/>
    <w:lvl w:ilvl="0">
      <w:start w:val="1"/>
      <w:numFmt w:val="decimal"/>
      <w:suff w:val="space"/>
      <w:lvlText w:val="%1 "/>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0">
    <w:nsid w:val="1FDC67FD"/>
    <w:multiLevelType w:val="multilevel"/>
    <w:tmpl w:val="50F09374"/>
    <w:lvl w:ilvl="0">
      <w:start w:val="1"/>
      <w:numFmt w:val="bullet"/>
      <w:pStyle w:val="BulletList"/>
      <w:lvlText w:val=""/>
      <w:lvlJc w:val="left"/>
      <w:pPr>
        <w:ind w:left="340" w:hanging="34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Symbol" w:hAnsi="Symbol" w:hint="default"/>
      </w:rPr>
    </w:lvl>
    <w:lvl w:ilvl="3">
      <w:start w:val="1"/>
      <w:numFmt w:val="bullet"/>
      <w:lvlText w:val=""/>
      <w:lvlJc w:val="left"/>
      <w:pPr>
        <w:ind w:left="2880" w:hanging="360"/>
      </w:pPr>
      <w:rPr>
        <w:rFonts w:ascii="Symbol" w:hAnsi="Symbol" w:hint="default"/>
      </w:rPr>
    </w:lvl>
    <w:lvl w:ilvl="4">
      <w:start w:val="1"/>
      <w:numFmt w:val="bullet"/>
      <w:lvlText w:val=""/>
      <w:lvlJc w:val="left"/>
      <w:pPr>
        <w:ind w:left="3600" w:hanging="360"/>
      </w:pPr>
      <w:rPr>
        <w:rFonts w:ascii="Symbol" w:hAnsi="Symbol"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1">
    <w:nsid w:val="2431374F"/>
    <w:multiLevelType w:val="hybridMultilevel"/>
    <w:tmpl w:val="133E81DC"/>
    <w:lvl w:ilvl="0" w:tplc="997EF29E">
      <w:start w:val="1"/>
      <w:numFmt w:val="decimal"/>
      <w:pStyle w:val="NumberedList"/>
      <w:lvlText w:val="%1."/>
      <w:lvlJc w:val="left"/>
      <w:pPr>
        <w:ind w:left="340" w:hanging="34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
    <w:nsid w:val="270778A5"/>
    <w:multiLevelType w:val="multilevel"/>
    <w:tmpl w:val="87AC4F66"/>
    <w:lvl w:ilvl="0">
      <w:start w:val="1"/>
      <w:numFmt w:val="decimal"/>
      <w:pStyle w:val="Heading1"/>
      <w:suff w:val="space"/>
      <w:lvlText w:val="%1 "/>
      <w:lvlJc w:val="left"/>
      <w:pPr>
        <w:ind w:left="0" w:firstLine="0"/>
      </w:pPr>
      <w:rPr>
        <w:rFonts w:hint="default"/>
      </w:rPr>
    </w:lvl>
    <w:lvl w:ilvl="1">
      <w:start w:val="1"/>
      <w:numFmt w:val="decimal"/>
      <w:pStyle w:val="Heading2"/>
      <w:suff w:val="space"/>
      <w:lvlText w:val="%1.%2"/>
      <w:lvlJc w:val="left"/>
      <w:pPr>
        <w:ind w:left="0" w:firstLine="0"/>
      </w:pPr>
      <w:rPr>
        <w:rFonts w:hint="default"/>
      </w:rPr>
    </w:lvl>
    <w:lvl w:ilvl="2">
      <w:start w:val="1"/>
      <w:numFmt w:val="decimal"/>
      <w:pStyle w:val="Heading3"/>
      <w:suff w:val="space"/>
      <w:lvlText w:val="%1.%2.%3"/>
      <w:lvlJc w:val="left"/>
      <w:pPr>
        <w:ind w:left="0" w:firstLine="0"/>
      </w:pPr>
      <w:rPr>
        <w:rFonts w:hint="default"/>
      </w:rPr>
    </w:lvl>
    <w:lvl w:ilvl="3">
      <w:start w:val="1"/>
      <w:numFmt w:val="decimal"/>
      <w:pStyle w:val="Heading4"/>
      <w:suff w:val="space"/>
      <w:lvlText w:val="%1.%2.%3.%4"/>
      <w:lvlJc w:val="left"/>
      <w:pPr>
        <w:ind w:left="0" w:firstLine="0"/>
      </w:pPr>
      <w:rPr>
        <w:rFonts w:hint="default"/>
      </w:rPr>
    </w:lvl>
    <w:lvl w:ilvl="4">
      <w:start w:val="1"/>
      <w:numFmt w:val="decimal"/>
      <w:pStyle w:val="Heading5"/>
      <w:suff w:val="space"/>
      <w:lvlText w:val="%1.%2.%3.%4.%5"/>
      <w:lvlJc w:val="left"/>
      <w:pPr>
        <w:ind w:left="0" w:firstLine="0"/>
      </w:pPr>
      <w:rPr>
        <w:rFonts w:hint="default"/>
      </w:rPr>
    </w:lvl>
    <w:lvl w:ilvl="5">
      <w:start w:val="1"/>
      <w:numFmt w:val="decimal"/>
      <w:pStyle w:val="Heading6"/>
      <w:suff w:val="space"/>
      <w:lvlText w:val="%1.%2.%3.%4.%5.%6"/>
      <w:lvlJc w:val="left"/>
      <w:pPr>
        <w:ind w:left="0" w:firstLine="0"/>
      </w:pPr>
      <w:rPr>
        <w:rFonts w:hint="default"/>
      </w:rPr>
    </w:lvl>
    <w:lvl w:ilvl="6">
      <w:start w:val="1"/>
      <w:numFmt w:val="decimal"/>
      <w:pStyle w:val="Heading7"/>
      <w:suff w:val="space"/>
      <w:lvlText w:val="%1.%2.%3.%4.%5.%6.%7"/>
      <w:lvlJc w:val="left"/>
      <w:pPr>
        <w:ind w:left="0" w:firstLine="0"/>
      </w:pPr>
      <w:rPr>
        <w:rFonts w:hint="default"/>
      </w:rPr>
    </w:lvl>
    <w:lvl w:ilvl="7">
      <w:start w:val="1"/>
      <w:numFmt w:val="decimal"/>
      <w:pStyle w:val="Heading8"/>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3">
    <w:nsid w:val="288A71F2"/>
    <w:multiLevelType w:val="multilevel"/>
    <w:tmpl w:val="57FCD7EE"/>
    <w:styleLink w:val="BulletsGA"/>
    <w:lvl w:ilvl="0">
      <w:start w:val="1"/>
      <w:numFmt w:val="lowerLetter"/>
      <w:lvlText w:val="%1)"/>
      <w:lvlJc w:val="left"/>
      <w:pPr>
        <w:ind w:left="720" w:hanging="360"/>
      </w:pPr>
      <w:rPr>
        <w:rFonts w:cs="Times New Roman" w:hint="default"/>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4">
    <w:nsid w:val="406A754D"/>
    <w:multiLevelType w:val="multilevel"/>
    <w:tmpl w:val="49E65A48"/>
    <w:styleLink w:val="Bullets"/>
    <w:lvl w:ilvl="0">
      <w:start w:val="1"/>
      <w:numFmt w:val="bullet"/>
      <w:lvlText w:val=""/>
      <w:lvlJc w:val="left"/>
      <w:pPr>
        <w:tabs>
          <w:tab w:val="num" w:pos="567"/>
        </w:tabs>
        <w:ind w:left="567" w:hanging="283"/>
      </w:pPr>
      <w:rPr>
        <w:rFonts w:ascii="Symbol" w:hAnsi="Symbol" w:hint="default"/>
        <w:color w:val="auto"/>
      </w:rPr>
    </w:lvl>
    <w:lvl w:ilvl="1">
      <w:start w:val="1"/>
      <w:numFmt w:val="bullet"/>
      <w:lvlText w:val=""/>
      <w:lvlJc w:val="left"/>
      <w:pPr>
        <w:tabs>
          <w:tab w:val="num" w:pos="851"/>
        </w:tabs>
        <w:ind w:left="851" w:hanging="284"/>
      </w:pPr>
      <w:rPr>
        <w:rFonts w:ascii="Symbol" w:hAnsi="Symbol" w:hint="default"/>
        <w:color w:val="auto"/>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25">
    <w:nsid w:val="40DA32E2"/>
    <w:multiLevelType w:val="multilevel"/>
    <w:tmpl w:val="A4B8C762"/>
    <w:numStyleLink w:val="GAAppendices"/>
  </w:abstractNum>
  <w:abstractNum w:abstractNumId="26">
    <w:nsid w:val="449E3173"/>
    <w:multiLevelType w:val="multilevel"/>
    <w:tmpl w:val="3446CB5C"/>
    <w:styleLink w:val="HeadingsNumbered"/>
    <w:lvl w:ilvl="0">
      <w:start w:val="1"/>
      <w:numFmt w:val="decimal"/>
      <w:suff w:val="space"/>
      <w:lvlText w:val="%1."/>
      <w:lvlJc w:val="left"/>
      <w:rPr>
        <w:rFonts w:cs="Times New Roman" w:hint="default"/>
      </w:rPr>
    </w:lvl>
    <w:lvl w:ilvl="1">
      <w:start w:val="1"/>
      <w:numFmt w:val="decimal"/>
      <w:suff w:val="space"/>
      <w:lvlText w:val="%1.%2."/>
      <w:lvlJc w:val="left"/>
      <w:rPr>
        <w:rFonts w:cs="Times New Roman" w:hint="default"/>
      </w:rPr>
    </w:lvl>
    <w:lvl w:ilvl="2">
      <w:start w:val="1"/>
      <w:numFmt w:val="decimal"/>
      <w:suff w:val="space"/>
      <w:lvlText w:val="%1.%2.%3."/>
      <w:lvlJc w:val="left"/>
      <w:rPr>
        <w:rFonts w:cs="Times New Roman" w:hint="default"/>
      </w:rPr>
    </w:lvl>
    <w:lvl w:ilvl="3">
      <w:start w:val="1"/>
      <w:numFmt w:val="decimal"/>
      <w:suff w:val="space"/>
      <w:lvlText w:val="%1.%2.%3.%4."/>
      <w:lvlJc w:val="left"/>
      <w:rPr>
        <w:rFonts w:cs="Times New Roman" w:hint="default"/>
      </w:rPr>
    </w:lvl>
    <w:lvl w:ilvl="4">
      <w:start w:val="1"/>
      <w:numFmt w:val="decimal"/>
      <w:suff w:val="space"/>
      <w:lvlText w:val="%1.%2.%3.%4.%5."/>
      <w:lvlJc w:val="left"/>
      <w:rPr>
        <w:rFonts w:cs="Times New Roman" w:hint="default"/>
      </w:rPr>
    </w:lvl>
    <w:lvl w:ilvl="5">
      <w:start w:val="1"/>
      <w:numFmt w:val="decimal"/>
      <w:suff w:val="space"/>
      <w:lvlText w:val="%1.%2.%3.%4.%5.%6."/>
      <w:lvlJc w:val="left"/>
      <w:rPr>
        <w:rFonts w:cs="Times New Roman" w:hint="default"/>
      </w:rPr>
    </w:lvl>
    <w:lvl w:ilvl="6">
      <w:start w:val="1"/>
      <w:numFmt w:val="decimal"/>
      <w:suff w:val="space"/>
      <w:lvlText w:val="%1.%2.%3.%4.%5.%6.%7."/>
      <w:lvlJc w:val="left"/>
      <w:rPr>
        <w:rFonts w:cs="Times New Roman" w:hint="default"/>
      </w:rPr>
    </w:lvl>
    <w:lvl w:ilvl="7">
      <w:start w:val="1"/>
      <w:numFmt w:val="decimal"/>
      <w:suff w:val="space"/>
      <w:lvlText w:val="%1.%2.%3.%4.%5.%6.%7.%8."/>
      <w:lvlJc w:val="left"/>
      <w:rPr>
        <w:rFonts w:cs="Times New Roman" w:hint="default"/>
      </w:rPr>
    </w:lvl>
    <w:lvl w:ilvl="8">
      <w:start w:val="1"/>
      <w:numFmt w:val="decimal"/>
      <w:suff w:val="space"/>
      <w:lvlText w:val="%1.%2.%3.%4.%5.%6.%7.%8.%9."/>
      <w:lvlJc w:val="left"/>
      <w:rPr>
        <w:rFonts w:cs="Times New Roman" w:hint="default"/>
      </w:rPr>
    </w:lvl>
  </w:abstractNum>
  <w:abstractNum w:abstractNumId="27">
    <w:nsid w:val="4CA756E0"/>
    <w:multiLevelType w:val="multilevel"/>
    <w:tmpl w:val="0C09001F"/>
    <w:styleLink w:val="111111"/>
    <w:lvl w:ilvl="0">
      <w:start w:val="1"/>
      <w:numFmt w:val="decimal"/>
      <w:lvlText w:val="%1."/>
      <w:lvlJc w:val="left"/>
      <w:pPr>
        <w:tabs>
          <w:tab w:val="num" w:pos="720"/>
        </w:tabs>
        <w:ind w:left="360" w:hanging="360"/>
      </w:pPr>
    </w:lvl>
    <w:lvl w:ilvl="1">
      <w:start w:val="1"/>
      <w:numFmt w:val="decimal"/>
      <w:lvlText w:val="%1.%2."/>
      <w:lvlJc w:val="left"/>
      <w:pPr>
        <w:tabs>
          <w:tab w:val="num" w:pos="1440"/>
        </w:tabs>
        <w:ind w:left="792" w:hanging="432"/>
      </w:pPr>
    </w:lvl>
    <w:lvl w:ilvl="2">
      <w:start w:val="1"/>
      <w:numFmt w:val="decimal"/>
      <w:lvlText w:val="%1.%2.%3."/>
      <w:lvlJc w:val="left"/>
      <w:pPr>
        <w:tabs>
          <w:tab w:val="num" w:pos="2160"/>
        </w:tabs>
        <w:ind w:left="1224" w:hanging="504"/>
      </w:pPr>
    </w:lvl>
    <w:lvl w:ilvl="3">
      <w:start w:val="1"/>
      <w:numFmt w:val="decimal"/>
      <w:lvlText w:val="%1.%2.%3.%4."/>
      <w:lvlJc w:val="left"/>
      <w:pPr>
        <w:tabs>
          <w:tab w:val="num" w:pos="2880"/>
        </w:tabs>
        <w:ind w:left="1728" w:hanging="648"/>
      </w:pPr>
    </w:lvl>
    <w:lvl w:ilvl="4">
      <w:start w:val="1"/>
      <w:numFmt w:val="decimal"/>
      <w:lvlText w:val="%1.%2.%3.%4.%5."/>
      <w:lvlJc w:val="left"/>
      <w:pPr>
        <w:tabs>
          <w:tab w:val="num" w:pos="3600"/>
        </w:tabs>
        <w:ind w:left="2232" w:hanging="792"/>
      </w:pPr>
    </w:lvl>
    <w:lvl w:ilvl="5">
      <w:start w:val="1"/>
      <w:numFmt w:val="decimal"/>
      <w:lvlText w:val="%1.%2.%3.%4.%5.%6."/>
      <w:lvlJc w:val="left"/>
      <w:pPr>
        <w:tabs>
          <w:tab w:val="num" w:pos="4320"/>
        </w:tabs>
        <w:ind w:left="2736" w:hanging="936"/>
      </w:pPr>
    </w:lvl>
    <w:lvl w:ilvl="6">
      <w:start w:val="1"/>
      <w:numFmt w:val="decimal"/>
      <w:lvlText w:val="%1.%2.%3.%4.%5.%6.%7."/>
      <w:lvlJc w:val="left"/>
      <w:pPr>
        <w:tabs>
          <w:tab w:val="num" w:pos="5040"/>
        </w:tabs>
        <w:ind w:left="3240" w:hanging="1080"/>
      </w:pPr>
    </w:lvl>
    <w:lvl w:ilvl="7">
      <w:start w:val="1"/>
      <w:numFmt w:val="decimal"/>
      <w:lvlText w:val="%1.%2.%3.%4.%5.%6.%7.%8."/>
      <w:lvlJc w:val="left"/>
      <w:pPr>
        <w:tabs>
          <w:tab w:val="num" w:pos="5760"/>
        </w:tabs>
        <w:ind w:left="3744" w:hanging="1224"/>
      </w:pPr>
    </w:lvl>
    <w:lvl w:ilvl="8">
      <w:start w:val="1"/>
      <w:numFmt w:val="decimal"/>
      <w:lvlText w:val="%1.%2.%3.%4.%5.%6.%7.%8.%9."/>
      <w:lvlJc w:val="left"/>
      <w:pPr>
        <w:tabs>
          <w:tab w:val="num" w:pos="6840"/>
        </w:tabs>
        <w:ind w:left="4320" w:hanging="1440"/>
      </w:pPr>
    </w:lvl>
  </w:abstractNum>
  <w:abstractNum w:abstractNumId="28">
    <w:nsid w:val="52B40B6E"/>
    <w:multiLevelType w:val="multilevel"/>
    <w:tmpl w:val="0C090023"/>
    <w:styleLink w:val="ArticleSection"/>
    <w:lvl w:ilvl="0">
      <w:start w:val="1"/>
      <w:numFmt w:val="upperRoman"/>
      <w:lvlText w:val="Article %1."/>
      <w:lvlJc w:val="left"/>
      <w:pPr>
        <w:tabs>
          <w:tab w:val="num" w:pos="2520"/>
        </w:tabs>
        <w:ind w:left="0" w:firstLine="0"/>
      </w:pPr>
    </w:lvl>
    <w:lvl w:ilvl="1">
      <w:start w:val="1"/>
      <w:numFmt w:val="decimalZero"/>
      <w:isLgl/>
      <w:lvlText w:val="Section %1.%2"/>
      <w:lvlJc w:val="left"/>
      <w:pPr>
        <w:tabs>
          <w:tab w:val="num" w:pos="252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9">
    <w:nsid w:val="55D51CF7"/>
    <w:multiLevelType w:val="hybridMultilevel"/>
    <w:tmpl w:val="DFE8577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65DB4DAA"/>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27"/>
  </w:num>
  <w:num w:numId="13">
    <w:abstractNumId w:val="17"/>
  </w:num>
  <w:num w:numId="14">
    <w:abstractNumId w:val="28"/>
  </w:num>
  <w:num w:numId="15">
    <w:abstractNumId w:val="19"/>
  </w:num>
  <w:num w:numId="16">
    <w:abstractNumId w:val="14"/>
  </w:num>
  <w:num w:numId="17">
    <w:abstractNumId w:val="15"/>
  </w:num>
  <w:num w:numId="18">
    <w:abstractNumId w:val="12"/>
  </w:num>
  <w:num w:numId="19">
    <w:abstractNumId w:val="22"/>
  </w:num>
  <w:num w:numId="20">
    <w:abstractNumId w:val="26"/>
  </w:num>
  <w:num w:numId="21">
    <w:abstractNumId w:val="16"/>
  </w:num>
  <w:num w:numId="22">
    <w:abstractNumId w:val="24"/>
  </w:num>
  <w:num w:numId="23">
    <w:abstractNumId w:val="11"/>
  </w:num>
  <w:num w:numId="24">
    <w:abstractNumId w:val="23"/>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21"/>
  </w:num>
  <w:num w:numId="31">
    <w:abstractNumId w:val="18"/>
  </w:num>
  <w:num w:numId="32">
    <w:abstractNumId w:val="25"/>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3"/>
  </w:num>
  <w:num w:numId="38">
    <w:abstractNumId w:val="30"/>
  </w:num>
  <w:num w:numId="3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mirrorMargins/>
  <w:proofState w:spelling="clean" w:grammar="clean"/>
  <w:stylePaneFormatFilter w:val="1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0"/>
  <w:stylePaneSortMethod w:val="0000"/>
  <w:revisionView w:inkAnnotations="0"/>
  <w:defaultTabStop w:val="720"/>
  <w:evenAndOddHeaders/>
  <w:drawingGridHorizontalSpacing w:val="120"/>
  <w:drawingGridVerticalSpacing w:val="120"/>
  <w:displayVerticalDrawingGridEvery w:val="0"/>
  <w:doNotUseMarginsForDrawingGridOrigin/>
  <w:characterSpacingControl w:val="doNotCompress"/>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0B1A"/>
    <w:rsid w:val="000074CB"/>
    <w:rsid w:val="00016BB5"/>
    <w:rsid w:val="00016FA4"/>
    <w:rsid w:val="00045A50"/>
    <w:rsid w:val="000575C0"/>
    <w:rsid w:val="000C768F"/>
    <w:rsid w:val="000D1A85"/>
    <w:rsid w:val="000D629E"/>
    <w:rsid w:val="000F46DF"/>
    <w:rsid w:val="001067FC"/>
    <w:rsid w:val="00122D04"/>
    <w:rsid w:val="0014193C"/>
    <w:rsid w:val="00143EF1"/>
    <w:rsid w:val="00157731"/>
    <w:rsid w:val="00186E04"/>
    <w:rsid w:val="001B04C8"/>
    <w:rsid w:val="001B09B0"/>
    <w:rsid w:val="001C0595"/>
    <w:rsid w:val="001D3301"/>
    <w:rsid w:val="001E1266"/>
    <w:rsid w:val="001F6237"/>
    <w:rsid w:val="001F636A"/>
    <w:rsid w:val="00214A5B"/>
    <w:rsid w:val="002168B7"/>
    <w:rsid w:val="0025594A"/>
    <w:rsid w:val="00273993"/>
    <w:rsid w:val="00290E07"/>
    <w:rsid w:val="002B7929"/>
    <w:rsid w:val="002C1A6A"/>
    <w:rsid w:val="002F4AE8"/>
    <w:rsid w:val="003543F5"/>
    <w:rsid w:val="00375DE5"/>
    <w:rsid w:val="003838AC"/>
    <w:rsid w:val="00394D12"/>
    <w:rsid w:val="003A0910"/>
    <w:rsid w:val="003F6147"/>
    <w:rsid w:val="00400897"/>
    <w:rsid w:val="0043135D"/>
    <w:rsid w:val="004578DD"/>
    <w:rsid w:val="00463DE7"/>
    <w:rsid w:val="00467087"/>
    <w:rsid w:val="0047708F"/>
    <w:rsid w:val="00490940"/>
    <w:rsid w:val="004958B2"/>
    <w:rsid w:val="004B0CF3"/>
    <w:rsid w:val="004D3116"/>
    <w:rsid w:val="00504122"/>
    <w:rsid w:val="00594F27"/>
    <w:rsid w:val="0059537E"/>
    <w:rsid w:val="005A53D1"/>
    <w:rsid w:val="005E3FAD"/>
    <w:rsid w:val="0066176E"/>
    <w:rsid w:val="006869D4"/>
    <w:rsid w:val="00693D45"/>
    <w:rsid w:val="006F17B2"/>
    <w:rsid w:val="00722F97"/>
    <w:rsid w:val="00725B96"/>
    <w:rsid w:val="00735298"/>
    <w:rsid w:val="00740BA2"/>
    <w:rsid w:val="00754105"/>
    <w:rsid w:val="007831FC"/>
    <w:rsid w:val="007A10F3"/>
    <w:rsid w:val="007C6EBD"/>
    <w:rsid w:val="008108E9"/>
    <w:rsid w:val="00851F68"/>
    <w:rsid w:val="008603C9"/>
    <w:rsid w:val="00873FB8"/>
    <w:rsid w:val="00895BE0"/>
    <w:rsid w:val="008B3470"/>
    <w:rsid w:val="008F69F7"/>
    <w:rsid w:val="008F6C45"/>
    <w:rsid w:val="009032BB"/>
    <w:rsid w:val="0093169B"/>
    <w:rsid w:val="0095117B"/>
    <w:rsid w:val="00960530"/>
    <w:rsid w:val="0098561E"/>
    <w:rsid w:val="009A01C9"/>
    <w:rsid w:val="009B63E6"/>
    <w:rsid w:val="009C2D2B"/>
    <w:rsid w:val="00A063B6"/>
    <w:rsid w:val="00A86AA0"/>
    <w:rsid w:val="00A96950"/>
    <w:rsid w:val="00A97140"/>
    <w:rsid w:val="00AA00BA"/>
    <w:rsid w:val="00AA31F1"/>
    <w:rsid w:val="00AC3742"/>
    <w:rsid w:val="00AD6F63"/>
    <w:rsid w:val="00AD7101"/>
    <w:rsid w:val="00AE0B1A"/>
    <w:rsid w:val="00AE5343"/>
    <w:rsid w:val="00AE5C2D"/>
    <w:rsid w:val="00B30F18"/>
    <w:rsid w:val="00B53056"/>
    <w:rsid w:val="00B85230"/>
    <w:rsid w:val="00B91D65"/>
    <w:rsid w:val="00B95C7A"/>
    <w:rsid w:val="00BA6B51"/>
    <w:rsid w:val="00BB387D"/>
    <w:rsid w:val="00BB7147"/>
    <w:rsid w:val="00BC13E3"/>
    <w:rsid w:val="00BE2C4D"/>
    <w:rsid w:val="00C11560"/>
    <w:rsid w:val="00C36CFA"/>
    <w:rsid w:val="00C75E33"/>
    <w:rsid w:val="00C76385"/>
    <w:rsid w:val="00C87759"/>
    <w:rsid w:val="00CC127F"/>
    <w:rsid w:val="00CE4CE5"/>
    <w:rsid w:val="00D00FC0"/>
    <w:rsid w:val="00D518EA"/>
    <w:rsid w:val="00D56B31"/>
    <w:rsid w:val="00D6217C"/>
    <w:rsid w:val="00D7182D"/>
    <w:rsid w:val="00D77BF0"/>
    <w:rsid w:val="00DA1046"/>
    <w:rsid w:val="00DC065F"/>
    <w:rsid w:val="00DC5731"/>
    <w:rsid w:val="00DD1493"/>
    <w:rsid w:val="00E81C3B"/>
    <w:rsid w:val="00ED421F"/>
    <w:rsid w:val="00F5033A"/>
    <w:rsid w:val="00F60B69"/>
    <w:rsid w:val="00F649CD"/>
    <w:rsid w:val="00F64E4F"/>
    <w:rsid w:val="00F74790"/>
    <w:rsid w:val="00F85BDC"/>
    <w:rsid w:val="00FD0A9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footer" w:uiPriority="99" w:qFormat="1"/>
    <w:lsdException w:name="caption" w:qFormat="1"/>
    <w:lsdException w:name="table of figures" w:uiPriority="99" w:qFormat="1"/>
    <w:lsdException w:name="table of authorities" w:uiPriority="99"/>
    <w:lsdException w:name="toa heading" w:uiPriority="99"/>
    <w:lsdException w:name="Title" w:semiHidden="0" w:unhideWhenUsed="0" w:qFormat="1"/>
    <w:lsdException w:name="Default Paragraph Font" w:uiPriority="1"/>
    <w:lsdException w:name="Body Text" w:qFormat="1"/>
    <w:lsdException w:name="Subtitle" w:semiHidden="0" w:unhideWhenUsed="0" w:qFormat="1"/>
    <w:lsdException w:name="Hyperlink" w:uiPriority="99" w:qFormat="1"/>
    <w:lsdException w:name="Strong" w:semiHidden="0" w:unhideWhenUsed="0" w:qFormat="1"/>
    <w:lsdException w:name="Emphasis" w:semiHidden="0" w:uiPriority="20" w:unhideWhenUsed="0" w:qFormat="1"/>
    <w:lsdException w:name="HTML Top of Form" w:uiPriority="99"/>
    <w:lsdException w:name="HTML Bottom of Form" w:uiPriority="99"/>
    <w:lsdException w:name="Normal Table"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aliases w:val="N-DO NOT USE"/>
    <w:next w:val="BodyText"/>
    <w:qFormat/>
    <w:rsid w:val="00B85230"/>
    <w:pPr>
      <w:spacing w:before="180" w:after="180" w:line="280" w:lineRule="atLeast"/>
    </w:pPr>
    <w:rPr>
      <w:color w:val="FF0000"/>
    </w:rPr>
  </w:style>
  <w:style w:type="paragraph" w:styleId="Heading1">
    <w:name w:val="heading 1"/>
    <w:next w:val="BodyText"/>
    <w:link w:val="Heading1Char"/>
    <w:qFormat/>
    <w:rsid w:val="00AE0B1A"/>
    <w:pPr>
      <w:keepNext/>
      <w:keepLines/>
      <w:pageBreakBefore/>
      <w:numPr>
        <w:numId w:val="19"/>
      </w:numPr>
      <w:spacing w:after="1080"/>
      <w:outlineLvl w:val="0"/>
    </w:pPr>
    <w:rPr>
      <w:rFonts w:eastAsia="Times" w:cs="Arial"/>
      <w:kern w:val="28"/>
      <w:sz w:val="40"/>
    </w:rPr>
  </w:style>
  <w:style w:type="paragraph" w:styleId="Heading2">
    <w:name w:val="heading 2"/>
    <w:basedOn w:val="Heading1"/>
    <w:next w:val="BodyText"/>
    <w:link w:val="Heading2Char"/>
    <w:qFormat/>
    <w:rsid w:val="00AE0B1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AE0B1A"/>
    <w:pPr>
      <w:numPr>
        <w:ilvl w:val="2"/>
      </w:numPr>
      <w:outlineLvl w:val="2"/>
    </w:pPr>
    <w:rPr>
      <w:b/>
      <w:sz w:val="24"/>
    </w:rPr>
  </w:style>
  <w:style w:type="paragraph" w:styleId="Heading4">
    <w:name w:val="heading 4"/>
    <w:basedOn w:val="Heading3"/>
    <w:next w:val="BodyText"/>
    <w:link w:val="Heading4Char"/>
    <w:qFormat/>
    <w:rsid w:val="00AE0B1A"/>
    <w:pPr>
      <w:numPr>
        <w:ilvl w:val="3"/>
      </w:numPr>
      <w:spacing w:before="180"/>
      <w:outlineLvl w:val="3"/>
    </w:pPr>
    <w:rPr>
      <w:i/>
      <w:sz w:val="22"/>
    </w:rPr>
  </w:style>
  <w:style w:type="paragraph" w:styleId="Heading5">
    <w:name w:val="heading 5"/>
    <w:basedOn w:val="Heading4"/>
    <w:next w:val="BodyText"/>
    <w:link w:val="Heading5Char"/>
    <w:qFormat/>
    <w:rsid w:val="00AE0B1A"/>
    <w:pPr>
      <w:numPr>
        <w:ilvl w:val="4"/>
      </w:numPr>
      <w:outlineLvl w:val="4"/>
    </w:pPr>
    <w:rPr>
      <w:b w:val="0"/>
    </w:rPr>
  </w:style>
  <w:style w:type="paragraph" w:styleId="Heading6">
    <w:name w:val="heading 6"/>
    <w:basedOn w:val="Heading5"/>
    <w:next w:val="BodyText"/>
    <w:link w:val="Heading6Char"/>
    <w:qFormat/>
    <w:rsid w:val="00AE0B1A"/>
    <w:pPr>
      <w:numPr>
        <w:ilvl w:val="5"/>
      </w:numPr>
      <w:spacing w:before="240"/>
      <w:outlineLvl w:val="5"/>
    </w:pPr>
    <w:rPr>
      <w:b/>
      <w:i w:val="0"/>
      <w:sz w:val="20"/>
    </w:rPr>
  </w:style>
  <w:style w:type="paragraph" w:styleId="Heading7">
    <w:name w:val="heading 7"/>
    <w:basedOn w:val="Heading6"/>
    <w:next w:val="BodyText"/>
    <w:link w:val="Heading7Char"/>
    <w:qFormat/>
    <w:rsid w:val="00AE0B1A"/>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qFormat/>
    <w:rsid w:val="00AE0B1A"/>
    <w:pPr>
      <w:numPr>
        <w:ilvl w:val="7"/>
      </w:numPr>
      <w:outlineLvl w:val="7"/>
    </w:pPr>
    <w:rPr>
      <w:i w:val="0"/>
    </w:rPr>
  </w:style>
  <w:style w:type="paragraph" w:styleId="Heading9">
    <w:name w:val="heading 9"/>
    <w:aliases w:val="Heading appendix 1"/>
    <w:basedOn w:val="Headingappendix1base"/>
    <w:next w:val="BodyText"/>
    <w:link w:val="Heading9Char"/>
    <w:qFormat/>
    <w:rsid w:val="00AE0B1A"/>
    <w:pPr>
      <w:numPr>
        <w:numId w:val="32"/>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E0B1A"/>
    <w:rPr>
      <w:rFonts w:ascii="Arial" w:eastAsia="Times" w:hAnsi="Arial" w:cs="Arial"/>
      <w:kern w:val="28"/>
      <w:sz w:val="40"/>
    </w:rPr>
  </w:style>
  <w:style w:type="character" w:customStyle="1" w:styleId="Heading2Char">
    <w:name w:val="Heading 2 Char"/>
    <w:basedOn w:val="DefaultParagraphFont"/>
    <w:link w:val="Heading2"/>
    <w:rsid w:val="00AE0B1A"/>
    <w:rPr>
      <w:rFonts w:ascii="Arial" w:eastAsia="Times" w:hAnsi="Arial" w:cs="Arial"/>
      <w:kern w:val="28"/>
      <w:sz w:val="30"/>
      <w:szCs w:val="30"/>
    </w:rPr>
  </w:style>
  <w:style w:type="character" w:customStyle="1" w:styleId="Heading3Char">
    <w:name w:val="Heading 3 Char"/>
    <w:basedOn w:val="DefaultParagraphFont"/>
    <w:link w:val="Heading3"/>
    <w:rsid w:val="00AE0B1A"/>
    <w:rPr>
      <w:rFonts w:ascii="Arial" w:eastAsia="Times" w:hAnsi="Arial" w:cs="Arial"/>
      <w:b/>
      <w:kern w:val="28"/>
      <w:sz w:val="24"/>
      <w:szCs w:val="30"/>
    </w:rPr>
  </w:style>
  <w:style w:type="character" w:customStyle="1" w:styleId="Heading4Char">
    <w:name w:val="Heading 4 Char"/>
    <w:basedOn w:val="DefaultParagraphFont"/>
    <w:link w:val="Heading4"/>
    <w:rsid w:val="00AE0B1A"/>
    <w:rPr>
      <w:rFonts w:ascii="Arial" w:eastAsia="Times" w:hAnsi="Arial" w:cs="Arial"/>
      <w:b/>
      <w:i/>
      <w:kern w:val="28"/>
      <w:sz w:val="22"/>
      <w:szCs w:val="30"/>
    </w:rPr>
  </w:style>
  <w:style w:type="character" w:customStyle="1" w:styleId="Heading5Char">
    <w:name w:val="Heading 5 Char"/>
    <w:basedOn w:val="DefaultParagraphFont"/>
    <w:link w:val="Heading5"/>
    <w:rsid w:val="00AE0B1A"/>
    <w:rPr>
      <w:rFonts w:ascii="Arial" w:eastAsia="Times" w:hAnsi="Arial" w:cs="Arial"/>
      <w:i/>
      <w:kern w:val="28"/>
      <w:sz w:val="22"/>
      <w:szCs w:val="30"/>
    </w:rPr>
  </w:style>
  <w:style w:type="character" w:customStyle="1" w:styleId="Heading6Char">
    <w:name w:val="Heading 6 Char"/>
    <w:basedOn w:val="DefaultParagraphFont"/>
    <w:link w:val="Heading6"/>
    <w:rsid w:val="00AE0B1A"/>
    <w:rPr>
      <w:rFonts w:ascii="Arial" w:eastAsia="Times" w:hAnsi="Arial" w:cs="Arial"/>
      <w:b/>
      <w:kern w:val="28"/>
      <w:szCs w:val="30"/>
    </w:rPr>
  </w:style>
  <w:style w:type="character" w:customStyle="1" w:styleId="Heading7Char">
    <w:name w:val="Heading 7 Char"/>
    <w:basedOn w:val="DefaultParagraphFont"/>
    <w:link w:val="Heading7"/>
    <w:rsid w:val="00AE0B1A"/>
    <w:rPr>
      <w:rFonts w:ascii="Arial Bold" w:eastAsia="Times" w:hAnsi="Arial Bold" w:cs="Arial"/>
      <w:b/>
      <w:i/>
      <w:spacing w:val="10"/>
      <w:kern w:val="28"/>
      <w:sz w:val="16"/>
      <w:szCs w:val="30"/>
    </w:rPr>
  </w:style>
  <w:style w:type="character" w:customStyle="1" w:styleId="Heading8Char">
    <w:name w:val="Heading 8 Char"/>
    <w:basedOn w:val="DefaultParagraphFont"/>
    <w:link w:val="Heading8"/>
    <w:rsid w:val="00AE0B1A"/>
    <w:rPr>
      <w:rFonts w:ascii="Arial Bold" w:eastAsia="Times" w:hAnsi="Arial Bold" w:cs="Arial"/>
      <w:b/>
      <w:spacing w:val="10"/>
      <w:kern w:val="28"/>
      <w:sz w:val="16"/>
      <w:szCs w:val="30"/>
    </w:rPr>
  </w:style>
  <w:style w:type="character" w:customStyle="1" w:styleId="Heading9Char">
    <w:name w:val="Heading 9 Char"/>
    <w:aliases w:val="Heading appendix 1 Char"/>
    <w:basedOn w:val="DefaultParagraphFont"/>
    <w:link w:val="Heading9"/>
    <w:rsid w:val="00AE0B1A"/>
    <w:rPr>
      <w:rFonts w:ascii="Arial" w:eastAsia="Times" w:hAnsi="Arial"/>
      <w:sz w:val="40"/>
      <w:szCs w:val="40"/>
    </w:rPr>
  </w:style>
  <w:style w:type="paragraph" w:styleId="BodyText">
    <w:name w:val="Body Text"/>
    <w:link w:val="BodyTextChar"/>
    <w:qFormat/>
    <w:rsid w:val="00AE0B1A"/>
    <w:pPr>
      <w:spacing w:before="180" w:after="180" w:line="280" w:lineRule="atLeast"/>
    </w:pPr>
    <w:rPr>
      <w:rFonts w:eastAsia="Times" w:cs="Arial"/>
    </w:rPr>
  </w:style>
  <w:style w:type="character" w:customStyle="1" w:styleId="BodyTextChar">
    <w:name w:val="Body Text Char"/>
    <w:basedOn w:val="DefaultParagraphFont"/>
    <w:link w:val="BodyText"/>
    <w:rsid w:val="00AE0B1A"/>
    <w:rPr>
      <w:rFonts w:ascii="Arial" w:eastAsia="Times" w:hAnsi="Arial" w:cs="Arial"/>
    </w:rPr>
  </w:style>
  <w:style w:type="paragraph" w:styleId="Footer">
    <w:name w:val="footer"/>
    <w:next w:val="BodyText"/>
    <w:link w:val="FooterChar"/>
    <w:uiPriority w:val="99"/>
    <w:qFormat/>
    <w:rsid w:val="00AE0B1A"/>
    <w:pPr>
      <w:pBdr>
        <w:top w:val="single" w:sz="2" w:space="2" w:color="auto"/>
      </w:pBdr>
      <w:tabs>
        <w:tab w:val="right" w:pos="9072"/>
      </w:tabs>
      <w:spacing w:before="180" w:after="180" w:line="160" w:lineRule="atLeast"/>
      <w:mirrorIndents/>
    </w:pPr>
    <w:rPr>
      <w:rFonts w:ascii="Arial Bold" w:eastAsia="Times" w:hAnsi="Arial Bold" w:cs="Arial"/>
      <w:b/>
      <w:sz w:val="16"/>
      <w:szCs w:val="16"/>
    </w:rPr>
  </w:style>
  <w:style w:type="character" w:customStyle="1" w:styleId="FooterChar">
    <w:name w:val="Footer Char"/>
    <w:basedOn w:val="DefaultParagraphFont"/>
    <w:link w:val="Footer"/>
    <w:uiPriority w:val="99"/>
    <w:rsid w:val="00AE0B1A"/>
    <w:rPr>
      <w:rFonts w:ascii="Arial Bold" w:eastAsia="Times" w:hAnsi="Arial Bold" w:cs="Arial"/>
      <w:b/>
      <w:sz w:val="16"/>
      <w:szCs w:val="16"/>
    </w:rPr>
  </w:style>
  <w:style w:type="paragraph" w:styleId="Header">
    <w:name w:val="header"/>
    <w:basedOn w:val="BodyText"/>
    <w:link w:val="HeaderChar"/>
    <w:rsid w:val="00AE0B1A"/>
    <w:pPr>
      <w:tabs>
        <w:tab w:val="center" w:pos="4320"/>
        <w:tab w:val="right" w:pos="8640"/>
      </w:tabs>
      <w:spacing w:before="0" w:after="0"/>
    </w:pPr>
    <w:rPr>
      <w:rFonts w:ascii="Arial Bold" w:hAnsi="Arial Bold"/>
      <w:b/>
      <w:sz w:val="16"/>
      <w:szCs w:val="16"/>
    </w:rPr>
  </w:style>
  <w:style w:type="character" w:customStyle="1" w:styleId="HeaderChar">
    <w:name w:val="Header Char"/>
    <w:basedOn w:val="DefaultParagraphFont"/>
    <w:link w:val="Header"/>
    <w:rsid w:val="00AE0B1A"/>
    <w:rPr>
      <w:rFonts w:ascii="Arial Bold" w:eastAsia="Times" w:hAnsi="Arial Bold" w:cs="Arial"/>
      <w:b/>
      <w:sz w:val="16"/>
      <w:szCs w:val="16"/>
    </w:rPr>
  </w:style>
  <w:style w:type="paragraph" w:customStyle="1" w:styleId="Record">
    <w:name w:val="Record #"/>
    <w:next w:val="BodyText"/>
    <w:qFormat/>
    <w:rsid w:val="00AE0B1A"/>
    <w:pPr>
      <w:keepNext/>
      <w:spacing w:before="180" w:after="1440" w:line="280" w:lineRule="atLeast"/>
    </w:pPr>
    <w:rPr>
      <w:caps/>
      <w:spacing w:val="10"/>
      <w:sz w:val="19"/>
    </w:rPr>
  </w:style>
  <w:style w:type="character" w:customStyle="1" w:styleId="Captionbold">
    <w:name w:val="Caption bold"/>
    <w:qFormat/>
    <w:rsid w:val="00AE0B1A"/>
    <w:rPr>
      <w:b/>
    </w:rPr>
  </w:style>
  <w:style w:type="paragraph" w:customStyle="1" w:styleId="Documenttitle">
    <w:name w:val="Document title"/>
    <w:next w:val="BodyText"/>
    <w:qFormat/>
    <w:rsid w:val="00AE0B1A"/>
    <w:pPr>
      <w:keepNext/>
      <w:spacing w:before="1680" w:after="360"/>
      <w:outlineLvl w:val="0"/>
    </w:pPr>
    <w:rPr>
      <w:sz w:val="48"/>
    </w:rPr>
  </w:style>
  <w:style w:type="paragraph" w:customStyle="1" w:styleId="Notes">
    <w:name w:val="Notes"/>
    <w:basedOn w:val="BodyText"/>
    <w:next w:val="BodyText"/>
    <w:qFormat/>
    <w:rsid w:val="00AE0B1A"/>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rsid w:val="00AE0B1A"/>
    <w:pPr>
      <w:spacing w:before="180" w:after="180" w:line="280" w:lineRule="atLeast"/>
    </w:pPr>
    <w:rPr>
      <w:rFonts w:eastAsia="Times" w:cs="Arial"/>
    </w:rPr>
  </w:style>
  <w:style w:type="character" w:customStyle="1" w:styleId="CommentTextChar">
    <w:name w:val="Comment Text Char"/>
    <w:aliases w:val="CT-DO NOT USE Char"/>
    <w:basedOn w:val="DefaultParagraphFont"/>
    <w:link w:val="CommentText"/>
    <w:semiHidden/>
    <w:rsid w:val="00AE0B1A"/>
    <w:rPr>
      <w:rFonts w:ascii="Arial" w:eastAsia="Times" w:hAnsi="Arial" w:cs="Arial"/>
    </w:rPr>
  </w:style>
  <w:style w:type="paragraph" w:customStyle="1" w:styleId="Listbulletlevel1">
    <w:name w:val="List bullet level 1"/>
    <w:basedOn w:val="BodyText"/>
    <w:next w:val="BodyText"/>
    <w:link w:val="Listbulletlevel1Char"/>
    <w:qFormat/>
    <w:rsid w:val="00AE0B1A"/>
    <w:pPr>
      <w:numPr>
        <w:numId w:val="16"/>
      </w:numPr>
      <w:spacing w:before="60" w:after="60"/>
    </w:pPr>
  </w:style>
  <w:style w:type="character" w:styleId="BookTitle">
    <w:name w:val="Book Title"/>
    <w:aliases w:val="BT-DO NOT USE"/>
    <w:uiPriority w:val="33"/>
    <w:rsid w:val="00AE0B1A"/>
  </w:style>
  <w:style w:type="paragraph" w:customStyle="1" w:styleId="Listbulletlevel2">
    <w:name w:val="List bullet level 2"/>
    <w:basedOn w:val="Listbulletlevel1"/>
    <w:next w:val="BodyText"/>
    <w:qFormat/>
    <w:rsid w:val="00AE0B1A"/>
    <w:pPr>
      <w:numPr>
        <w:ilvl w:val="1"/>
      </w:numPr>
    </w:pPr>
  </w:style>
  <w:style w:type="paragraph" w:customStyle="1" w:styleId="Tabletitle">
    <w:name w:val="Table title"/>
    <w:basedOn w:val="BodyText"/>
    <w:next w:val="BodyText"/>
    <w:qFormat/>
    <w:rsid w:val="00AE0B1A"/>
    <w:pPr>
      <w:keepNext/>
      <w:spacing w:before="480" w:after="120" w:line="240" w:lineRule="atLeast"/>
    </w:pPr>
    <w:rPr>
      <w:rFonts w:eastAsia="Times New Roman"/>
      <w:i/>
      <w:sz w:val="18"/>
      <w:szCs w:val="18"/>
    </w:rPr>
  </w:style>
  <w:style w:type="character" w:customStyle="1" w:styleId="Tabletitlebold">
    <w:name w:val="Table title bold"/>
    <w:qFormat/>
    <w:rsid w:val="00AE0B1A"/>
    <w:rPr>
      <w:b/>
    </w:rPr>
  </w:style>
  <w:style w:type="paragraph" w:customStyle="1" w:styleId="Tabletextleft">
    <w:name w:val="Table text left"/>
    <w:next w:val="BodyText"/>
    <w:qFormat/>
    <w:rsid w:val="00AE0B1A"/>
    <w:pPr>
      <w:spacing w:before="20" w:after="20" w:line="200" w:lineRule="atLeast"/>
    </w:pPr>
    <w:rPr>
      <w:rFonts w:cs="Arial"/>
      <w:sz w:val="18"/>
    </w:rPr>
  </w:style>
  <w:style w:type="paragraph" w:customStyle="1" w:styleId="Tableheadingleft">
    <w:name w:val="Table heading left"/>
    <w:next w:val="BodyText"/>
    <w:rsid w:val="00AE0B1A"/>
    <w:pPr>
      <w:spacing w:before="20" w:after="20" w:line="200" w:lineRule="atLeast"/>
    </w:pPr>
    <w:rPr>
      <w:rFonts w:ascii="Arial Bold" w:hAnsi="Arial Bold" w:cs="Arial"/>
      <w:color w:val="FFFFFF"/>
      <w:sz w:val="18"/>
    </w:rPr>
  </w:style>
  <w:style w:type="paragraph" w:customStyle="1" w:styleId="References">
    <w:name w:val="References"/>
    <w:basedOn w:val="BodyText"/>
    <w:next w:val="BodyText"/>
    <w:qFormat/>
    <w:rsid w:val="00AE0B1A"/>
    <w:pPr>
      <w:spacing w:before="60" w:after="60" w:line="240" w:lineRule="atLeast"/>
      <w:ind w:left="284" w:hanging="284"/>
    </w:pPr>
    <w:rPr>
      <w:rFonts w:eastAsia="Times New Roman"/>
    </w:rPr>
  </w:style>
  <w:style w:type="character" w:styleId="CommentReference">
    <w:name w:val="annotation reference"/>
    <w:aliases w:val="CR-DO NOT USE"/>
    <w:semiHidden/>
    <w:rsid w:val="00AE0B1A"/>
  </w:style>
  <w:style w:type="paragraph" w:styleId="EndnoteText">
    <w:name w:val="endnote text"/>
    <w:aliases w:val="ET-DO NOT USE"/>
    <w:link w:val="EndnoteTextChar"/>
    <w:semiHidden/>
    <w:rsid w:val="00AE0B1A"/>
    <w:pPr>
      <w:spacing w:before="180" w:after="180" w:line="280" w:lineRule="atLeast"/>
    </w:pPr>
    <w:rPr>
      <w:rFonts w:eastAsia="Times" w:cs="Arial"/>
    </w:rPr>
  </w:style>
  <w:style w:type="character" w:customStyle="1" w:styleId="EndnoteTextChar">
    <w:name w:val="Endnote Text Char"/>
    <w:aliases w:val="ET-DO NOT USE Char"/>
    <w:basedOn w:val="DefaultParagraphFont"/>
    <w:link w:val="EndnoteText"/>
    <w:semiHidden/>
    <w:rsid w:val="00AE0B1A"/>
    <w:rPr>
      <w:rFonts w:ascii="Arial" w:eastAsia="Times" w:hAnsi="Arial" w:cs="Arial"/>
    </w:rPr>
  </w:style>
  <w:style w:type="character" w:customStyle="1" w:styleId="Bodytextbold">
    <w:name w:val="Body text bold"/>
    <w:qFormat/>
    <w:rsid w:val="00AE0B1A"/>
    <w:rPr>
      <w:b/>
    </w:rPr>
  </w:style>
  <w:style w:type="character" w:customStyle="1" w:styleId="Bodytextitalic">
    <w:name w:val="Body text italic"/>
    <w:qFormat/>
    <w:rsid w:val="00AE0B1A"/>
    <w:rPr>
      <w:i/>
    </w:rPr>
  </w:style>
  <w:style w:type="character" w:styleId="Strong">
    <w:name w:val="Strong"/>
    <w:aliases w:val="St-DO NOT USE"/>
    <w:qFormat/>
    <w:rsid w:val="00AE0B1A"/>
  </w:style>
  <w:style w:type="paragraph" w:styleId="TOC1">
    <w:name w:val="toc 1"/>
    <w:basedOn w:val="BodyText"/>
    <w:next w:val="BodyText"/>
    <w:autoRedefine/>
    <w:uiPriority w:val="39"/>
    <w:qFormat/>
    <w:rsid w:val="003543F5"/>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AE0B1A"/>
    <w:pPr>
      <w:spacing w:before="60"/>
      <w:ind w:left="142"/>
    </w:pPr>
  </w:style>
  <w:style w:type="paragraph" w:styleId="TOC3">
    <w:name w:val="toc 3"/>
    <w:basedOn w:val="TOC2"/>
    <w:next w:val="BodyText"/>
    <w:autoRedefine/>
    <w:uiPriority w:val="39"/>
    <w:qFormat/>
    <w:rsid w:val="00AE0B1A"/>
    <w:pPr>
      <w:ind w:left="284"/>
    </w:pPr>
  </w:style>
  <w:style w:type="paragraph" w:styleId="TOC4">
    <w:name w:val="toc 4"/>
    <w:basedOn w:val="TOC3"/>
    <w:next w:val="BodyText"/>
    <w:autoRedefine/>
    <w:uiPriority w:val="39"/>
    <w:qFormat/>
    <w:rsid w:val="00AE0B1A"/>
    <w:pPr>
      <w:ind w:left="425"/>
    </w:pPr>
  </w:style>
  <w:style w:type="paragraph" w:styleId="BodyText3">
    <w:name w:val="Body Text 3"/>
    <w:aliases w:val="BT3-DO NOT USE"/>
    <w:basedOn w:val="BodyText"/>
    <w:link w:val="BodyText3Char"/>
    <w:semiHidden/>
    <w:rsid w:val="00AE0B1A"/>
  </w:style>
  <w:style w:type="character" w:customStyle="1" w:styleId="BodyText3Char">
    <w:name w:val="Body Text 3 Char"/>
    <w:aliases w:val="BT3-DO NOT USE Char"/>
    <w:basedOn w:val="DefaultParagraphFont"/>
    <w:link w:val="BodyText3"/>
    <w:semiHidden/>
    <w:rsid w:val="00AE0B1A"/>
    <w:rPr>
      <w:rFonts w:ascii="Arial" w:eastAsia="Times" w:hAnsi="Arial" w:cs="Arial"/>
    </w:rPr>
  </w:style>
  <w:style w:type="paragraph" w:customStyle="1" w:styleId="Head1nonumbers">
    <w:name w:val="Head 1 no numbers"/>
    <w:next w:val="BodyText"/>
    <w:link w:val="Head1nonumbersChar"/>
    <w:qFormat/>
    <w:rsid w:val="00AE0B1A"/>
    <w:pPr>
      <w:keepNext/>
      <w:keepLines/>
      <w:pageBreakBefore/>
      <w:spacing w:after="1080"/>
      <w:outlineLvl w:val="0"/>
    </w:pPr>
    <w:rPr>
      <w:rFonts w:eastAsia="Times" w:cs="Arial"/>
      <w:kern w:val="28"/>
      <w:sz w:val="40"/>
    </w:rPr>
  </w:style>
  <w:style w:type="paragraph" w:customStyle="1" w:styleId="Figuresandimagesleft">
    <w:name w:val="Figures and images left"/>
    <w:basedOn w:val="BodyText"/>
    <w:next w:val="BodyText"/>
    <w:link w:val="FiguresandimagesleftChar"/>
    <w:qFormat/>
    <w:rsid w:val="00AE0B1A"/>
    <w:pPr>
      <w:keepNext/>
      <w:spacing w:before="480" w:after="80" w:line="160" w:lineRule="atLeast"/>
    </w:pPr>
  </w:style>
  <w:style w:type="character" w:customStyle="1" w:styleId="FiguresandimagesleftChar">
    <w:name w:val="Figures and images left Char"/>
    <w:basedOn w:val="BodyTextChar"/>
    <w:link w:val="Figuresandimagesleft"/>
    <w:rsid w:val="00AE0B1A"/>
    <w:rPr>
      <w:rFonts w:ascii="Arial" w:eastAsia="Times" w:hAnsi="Arial" w:cs="Arial"/>
    </w:rPr>
  </w:style>
  <w:style w:type="character" w:styleId="Hyperlink">
    <w:name w:val="Hyperlink"/>
    <w:uiPriority w:val="99"/>
    <w:qFormat/>
    <w:rsid w:val="00AE0B1A"/>
    <w:rPr>
      <w:color w:val="0000FF"/>
    </w:rPr>
  </w:style>
  <w:style w:type="paragraph" w:styleId="TOC5">
    <w:name w:val="toc 5"/>
    <w:basedOn w:val="TOC4"/>
    <w:next w:val="BodyText"/>
    <w:autoRedefine/>
    <w:uiPriority w:val="39"/>
    <w:qFormat/>
    <w:rsid w:val="00AE0B1A"/>
    <w:pPr>
      <w:ind w:left="567"/>
    </w:pPr>
  </w:style>
  <w:style w:type="paragraph" w:customStyle="1" w:styleId="Versopageinfo">
    <w:name w:val="Verso page info"/>
    <w:basedOn w:val="BodyText"/>
    <w:next w:val="BodyText"/>
    <w:link w:val="VersopageinfoChar"/>
    <w:qFormat/>
    <w:rsid w:val="00AE0B1A"/>
    <w:pPr>
      <w:spacing w:before="0"/>
    </w:pPr>
  </w:style>
  <w:style w:type="character" w:customStyle="1" w:styleId="VersopageinfoChar">
    <w:name w:val="Verso page info Char"/>
    <w:basedOn w:val="BodyTextChar"/>
    <w:link w:val="Versopageinfo"/>
    <w:rsid w:val="00AE0B1A"/>
    <w:rPr>
      <w:rFonts w:ascii="Arial" w:eastAsia="Times" w:hAnsi="Arial" w:cs="Arial"/>
    </w:rPr>
  </w:style>
  <w:style w:type="character" w:customStyle="1" w:styleId="Listbulletlevel1Char">
    <w:name w:val="List bullet level 1 Char"/>
    <w:basedOn w:val="BodyTextChar"/>
    <w:link w:val="Listbulletlevel1"/>
    <w:rsid w:val="00AE0B1A"/>
    <w:rPr>
      <w:rFonts w:ascii="Arial" w:eastAsia="Times" w:hAnsi="Arial" w:cs="Arial"/>
    </w:rPr>
  </w:style>
  <w:style w:type="character" w:customStyle="1" w:styleId="Hyperlinkprint">
    <w:name w:val="Hyperlink print"/>
    <w:basedOn w:val="Hyperlink"/>
    <w:qFormat/>
    <w:rsid w:val="00AE0B1A"/>
    <w:rPr>
      <w:color w:val="auto"/>
    </w:rPr>
  </w:style>
  <w:style w:type="paragraph" w:styleId="TOCHeading">
    <w:name w:val="TOC Heading"/>
    <w:next w:val="BodyText"/>
    <w:qFormat/>
    <w:rsid w:val="00AE0B1A"/>
    <w:pPr>
      <w:pageBreakBefore/>
      <w:spacing w:before="180" w:after="960"/>
    </w:pPr>
    <w:rPr>
      <w:sz w:val="40"/>
    </w:rPr>
  </w:style>
  <w:style w:type="paragraph" w:styleId="Closing">
    <w:name w:val="Closing"/>
    <w:aliases w:val="C-DO NOT USE"/>
    <w:basedOn w:val="CommentSubject"/>
    <w:next w:val="BodyText"/>
    <w:link w:val="ClosingChar"/>
    <w:semiHidden/>
    <w:rsid w:val="00AE0B1A"/>
  </w:style>
  <w:style w:type="character" w:customStyle="1" w:styleId="ClosingChar">
    <w:name w:val="Closing Char"/>
    <w:aliases w:val="C-DO NOT USE Char"/>
    <w:basedOn w:val="DefaultParagraphFont"/>
    <w:link w:val="Closing"/>
    <w:semiHidden/>
    <w:rsid w:val="00AE0B1A"/>
    <w:rPr>
      <w:rFonts w:ascii="Arial" w:eastAsia="Times" w:hAnsi="Arial" w:cs="Arial"/>
    </w:rPr>
  </w:style>
  <w:style w:type="paragraph" w:styleId="Date">
    <w:name w:val="Date"/>
    <w:aliases w:val="D-DO NOT USE"/>
    <w:next w:val="BodyText"/>
    <w:link w:val="DateChar"/>
    <w:semiHidden/>
    <w:rsid w:val="00AE0B1A"/>
    <w:pPr>
      <w:spacing w:before="180" w:after="180" w:line="280" w:lineRule="atLeast"/>
    </w:pPr>
    <w:rPr>
      <w:rFonts w:eastAsia="Times" w:cs="Arial"/>
    </w:rPr>
  </w:style>
  <w:style w:type="character" w:customStyle="1" w:styleId="DateChar">
    <w:name w:val="Date Char"/>
    <w:aliases w:val="D-DO NOT USE Char"/>
    <w:basedOn w:val="DefaultParagraphFont"/>
    <w:link w:val="Date"/>
    <w:semiHidden/>
    <w:rsid w:val="00AE0B1A"/>
    <w:rPr>
      <w:rFonts w:ascii="Arial" w:eastAsia="Times" w:hAnsi="Arial" w:cs="Arial"/>
    </w:rPr>
  </w:style>
  <w:style w:type="paragraph" w:styleId="E-mailSignature">
    <w:name w:val="E-mail Signature"/>
    <w:aliases w:val="EM-DO NOT USE"/>
    <w:next w:val="BodyText"/>
    <w:link w:val="E-mailSignatureChar"/>
    <w:semiHidden/>
    <w:rsid w:val="00AE0B1A"/>
    <w:pPr>
      <w:spacing w:before="180" w:after="180" w:line="280" w:lineRule="atLeast"/>
    </w:pPr>
    <w:rPr>
      <w:rFonts w:eastAsia="Times" w:cs="Arial"/>
    </w:rPr>
  </w:style>
  <w:style w:type="character" w:customStyle="1" w:styleId="E-mailSignatureChar">
    <w:name w:val="E-mail Signature Char"/>
    <w:aliases w:val="EM-DO NOT USE Char"/>
    <w:basedOn w:val="DefaultParagraphFont"/>
    <w:link w:val="E-mailSignature"/>
    <w:semiHidden/>
    <w:rsid w:val="00AE0B1A"/>
    <w:rPr>
      <w:rFonts w:ascii="Arial" w:eastAsia="Times" w:hAnsi="Arial" w:cs="Arial"/>
    </w:rPr>
  </w:style>
  <w:style w:type="paragraph" w:styleId="EnvelopeAddress">
    <w:name w:val="envelope address"/>
    <w:aliases w:val="EA-DO NOT USE"/>
    <w:next w:val="BodyText"/>
    <w:semiHidden/>
    <w:rsid w:val="00AE0B1A"/>
    <w:pPr>
      <w:spacing w:before="180" w:after="180" w:line="280" w:lineRule="atLeast"/>
    </w:pPr>
    <w:rPr>
      <w:rFonts w:eastAsia="Times" w:cs="Arial"/>
    </w:rPr>
  </w:style>
  <w:style w:type="paragraph" w:styleId="EnvelopeReturn">
    <w:name w:val="envelope return"/>
    <w:aliases w:val="ER-DO NOT USE"/>
    <w:next w:val="BodyText"/>
    <w:semiHidden/>
    <w:rsid w:val="00AE0B1A"/>
    <w:pPr>
      <w:spacing w:before="180" w:after="180" w:line="280" w:lineRule="atLeast"/>
    </w:pPr>
    <w:rPr>
      <w:rFonts w:eastAsia="Times" w:cs="Arial"/>
    </w:rPr>
  </w:style>
  <w:style w:type="character" w:styleId="FollowedHyperlink">
    <w:name w:val="FollowedHyperlink"/>
    <w:basedOn w:val="Hyperlink"/>
    <w:rsid w:val="00AE0B1A"/>
    <w:rPr>
      <w:color w:val="0000FF"/>
    </w:rPr>
  </w:style>
  <w:style w:type="paragraph" w:styleId="HTMLAddress">
    <w:name w:val="HTML Address"/>
    <w:aliases w:val="HAd-DO NOT USE"/>
    <w:next w:val="BodyText"/>
    <w:link w:val="HTMLAddressChar"/>
    <w:semiHidden/>
    <w:rsid w:val="00AE0B1A"/>
    <w:pPr>
      <w:spacing w:before="180" w:after="180" w:line="280" w:lineRule="atLeast"/>
    </w:pPr>
    <w:rPr>
      <w:rFonts w:eastAsia="Times" w:cs="Arial"/>
    </w:rPr>
  </w:style>
  <w:style w:type="character" w:customStyle="1" w:styleId="HTMLAddressChar">
    <w:name w:val="HTML Address Char"/>
    <w:aliases w:val="HAd-DO NOT USE Char"/>
    <w:basedOn w:val="DefaultParagraphFont"/>
    <w:link w:val="HTMLAddress"/>
    <w:semiHidden/>
    <w:rsid w:val="00AE0B1A"/>
    <w:rPr>
      <w:rFonts w:ascii="Arial" w:eastAsia="Times" w:hAnsi="Arial" w:cs="Arial"/>
    </w:rPr>
  </w:style>
  <w:style w:type="paragraph" w:styleId="HTMLPreformatted">
    <w:name w:val="HTML Preformatted"/>
    <w:aliases w:val="HP-DO NOT USE"/>
    <w:next w:val="BodyText"/>
    <w:link w:val="HTMLPreformattedChar"/>
    <w:semiHidden/>
    <w:rsid w:val="00AE0B1A"/>
    <w:pPr>
      <w:spacing w:before="180" w:after="180" w:line="280" w:lineRule="atLeast"/>
    </w:pPr>
    <w:rPr>
      <w:rFonts w:eastAsia="Times" w:cs="Arial"/>
    </w:rPr>
  </w:style>
  <w:style w:type="character" w:customStyle="1" w:styleId="HTMLPreformattedChar">
    <w:name w:val="HTML Preformatted Char"/>
    <w:aliases w:val="HP-DO NOT USE Char"/>
    <w:basedOn w:val="DefaultParagraphFont"/>
    <w:link w:val="HTMLPreformatted"/>
    <w:semiHidden/>
    <w:rsid w:val="00AE0B1A"/>
    <w:rPr>
      <w:rFonts w:ascii="Arial" w:eastAsia="Times" w:hAnsi="Arial" w:cs="Arial"/>
    </w:rPr>
  </w:style>
  <w:style w:type="paragraph" w:styleId="List">
    <w:name w:val="List"/>
    <w:basedOn w:val="BodyText"/>
    <w:next w:val="BodyText"/>
    <w:semiHidden/>
    <w:rsid w:val="00AE0B1A"/>
    <w:pPr>
      <w:ind w:left="283" w:hanging="283"/>
    </w:pPr>
  </w:style>
  <w:style w:type="paragraph" w:styleId="List2">
    <w:name w:val="List 2"/>
    <w:basedOn w:val="List"/>
    <w:next w:val="BodyText"/>
    <w:semiHidden/>
    <w:rsid w:val="00AE0B1A"/>
    <w:pPr>
      <w:ind w:left="566"/>
    </w:pPr>
  </w:style>
  <w:style w:type="paragraph" w:styleId="List3">
    <w:name w:val="List 3"/>
    <w:basedOn w:val="List2"/>
    <w:next w:val="BodyText"/>
    <w:semiHidden/>
    <w:rsid w:val="00AE0B1A"/>
    <w:pPr>
      <w:ind w:left="849"/>
    </w:pPr>
  </w:style>
  <w:style w:type="paragraph" w:styleId="List4">
    <w:name w:val="List 4"/>
    <w:basedOn w:val="List3"/>
    <w:next w:val="BodyText"/>
    <w:semiHidden/>
    <w:rsid w:val="00AE0B1A"/>
    <w:pPr>
      <w:ind w:left="1132"/>
    </w:pPr>
  </w:style>
  <w:style w:type="paragraph" w:styleId="List5">
    <w:name w:val="List 5"/>
    <w:basedOn w:val="List4"/>
    <w:next w:val="BodyText"/>
    <w:semiHidden/>
    <w:rsid w:val="00AE0B1A"/>
    <w:pPr>
      <w:ind w:left="1415"/>
    </w:pPr>
  </w:style>
  <w:style w:type="paragraph" w:styleId="ListBullet">
    <w:name w:val="List Bullet"/>
    <w:basedOn w:val="BodyText"/>
    <w:next w:val="BodyText"/>
    <w:semiHidden/>
    <w:rsid w:val="00AE0B1A"/>
    <w:pPr>
      <w:numPr>
        <w:numId w:val="1"/>
      </w:numPr>
    </w:pPr>
  </w:style>
  <w:style w:type="paragraph" w:styleId="ListBullet2">
    <w:name w:val="List Bullet 2"/>
    <w:basedOn w:val="ListBullet"/>
    <w:next w:val="BodyText"/>
    <w:semiHidden/>
    <w:rsid w:val="00AE0B1A"/>
    <w:pPr>
      <w:numPr>
        <w:numId w:val="2"/>
      </w:numPr>
    </w:pPr>
  </w:style>
  <w:style w:type="paragraph" w:styleId="ListBullet3">
    <w:name w:val="List Bullet 3"/>
    <w:basedOn w:val="ListBullet2"/>
    <w:next w:val="BodyText"/>
    <w:semiHidden/>
    <w:rsid w:val="00AE0B1A"/>
    <w:pPr>
      <w:numPr>
        <w:numId w:val="3"/>
      </w:numPr>
    </w:pPr>
  </w:style>
  <w:style w:type="paragraph" w:styleId="ListBullet4">
    <w:name w:val="List Bullet 4"/>
    <w:basedOn w:val="ListBullet3"/>
    <w:next w:val="BodyText"/>
    <w:semiHidden/>
    <w:rsid w:val="00AE0B1A"/>
    <w:pPr>
      <w:numPr>
        <w:numId w:val="4"/>
      </w:numPr>
    </w:pPr>
  </w:style>
  <w:style w:type="paragraph" w:styleId="ListBullet5">
    <w:name w:val="List Bullet 5"/>
    <w:basedOn w:val="ListBullet4"/>
    <w:next w:val="BodyText"/>
    <w:semiHidden/>
    <w:rsid w:val="00AE0B1A"/>
    <w:pPr>
      <w:numPr>
        <w:numId w:val="5"/>
      </w:numPr>
    </w:pPr>
  </w:style>
  <w:style w:type="paragraph" w:styleId="ListContinue">
    <w:name w:val="List Continue"/>
    <w:basedOn w:val="BodyText"/>
    <w:next w:val="BodyText"/>
    <w:semiHidden/>
    <w:rsid w:val="00AE0B1A"/>
    <w:pPr>
      <w:ind w:left="283"/>
    </w:pPr>
  </w:style>
  <w:style w:type="paragraph" w:styleId="ListContinue2">
    <w:name w:val="List Continue 2"/>
    <w:basedOn w:val="ListContinue"/>
    <w:next w:val="BodyText"/>
    <w:semiHidden/>
    <w:rsid w:val="00AE0B1A"/>
    <w:pPr>
      <w:ind w:left="566"/>
    </w:pPr>
  </w:style>
  <w:style w:type="paragraph" w:styleId="ListContinue3">
    <w:name w:val="List Continue 3"/>
    <w:basedOn w:val="ListContinue2"/>
    <w:next w:val="BodyText"/>
    <w:semiHidden/>
    <w:rsid w:val="00AE0B1A"/>
    <w:pPr>
      <w:ind w:left="849"/>
    </w:pPr>
  </w:style>
  <w:style w:type="paragraph" w:styleId="ListContinue4">
    <w:name w:val="List Continue 4"/>
    <w:basedOn w:val="ListContinue3"/>
    <w:next w:val="BodyText"/>
    <w:semiHidden/>
    <w:rsid w:val="00AE0B1A"/>
    <w:pPr>
      <w:ind w:left="1132"/>
    </w:pPr>
  </w:style>
  <w:style w:type="paragraph" w:styleId="ListContinue5">
    <w:name w:val="List Continue 5"/>
    <w:basedOn w:val="ListContinue4"/>
    <w:next w:val="BodyText"/>
    <w:semiHidden/>
    <w:rsid w:val="00AE0B1A"/>
    <w:pPr>
      <w:ind w:left="1415"/>
    </w:pPr>
  </w:style>
  <w:style w:type="paragraph" w:styleId="ListNumber">
    <w:name w:val="List Number"/>
    <w:basedOn w:val="BodyText"/>
    <w:next w:val="BodyText"/>
    <w:semiHidden/>
    <w:rsid w:val="00AE0B1A"/>
    <w:pPr>
      <w:numPr>
        <w:numId w:val="6"/>
      </w:numPr>
    </w:pPr>
  </w:style>
  <w:style w:type="paragraph" w:styleId="ListNumber2">
    <w:name w:val="List Number 2"/>
    <w:basedOn w:val="ListNumber"/>
    <w:next w:val="BodyText"/>
    <w:semiHidden/>
    <w:rsid w:val="00AE0B1A"/>
    <w:pPr>
      <w:numPr>
        <w:numId w:val="7"/>
      </w:numPr>
    </w:pPr>
  </w:style>
  <w:style w:type="paragraph" w:styleId="ListNumber3">
    <w:name w:val="List Number 3"/>
    <w:basedOn w:val="ListNumber2"/>
    <w:next w:val="BodyText"/>
    <w:semiHidden/>
    <w:rsid w:val="00AE0B1A"/>
    <w:pPr>
      <w:numPr>
        <w:numId w:val="8"/>
      </w:numPr>
    </w:pPr>
  </w:style>
  <w:style w:type="paragraph" w:styleId="ListNumber4">
    <w:name w:val="List Number 4"/>
    <w:basedOn w:val="ListNumber3"/>
    <w:next w:val="BodyText"/>
    <w:semiHidden/>
    <w:rsid w:val="00AE0B1A"/>
    <w:pPr>
      <w:numPr>
        <w:numId w:val="9"/>
      </w:numPr>
    </w:pPr>
  </w:style>
  <w:style w:type="paragraph" w:styleId="ListNumber5">
    <w:name w:val="List Number 5"/>
    <w:basedOn w:val="ListNumber4"/>
    <w:next w:val="BodyText"/>
    <w:semiHidden/>
    <w:rsid w:val="00AE0B1A"/>
    <w:pPr>
      <w:numPr>
        <w:numId w:val="10"/>
      </w:numPr>
    </w:pPr>
  </w:style>
  <w:style w:type="paragraph" w:styleId="MessageHeader">
    <w:name w:val="Message Header"/>
    <w:aliases w:val="MH-DO NOT USE"/>
    <w:link w:val="MessageHeaderChar"/>
    <w:semiHidden/>
    <w:rsid w:val="00AE0B1A"/>
    <w:pPr>
      <w:spacing w:before="180" w:after="180" w:line="280" w:lineRule="atLeast"/>
    </w:pPr>
    <w:rPr>
      <w:rFonts w:eastAsia="Times" w:cs="Arial"/>
    </w:rPr>
  </w:style>
  <w:style w:type="character" w:customStyle="1" w:styleId="MessageHeaderChar">
    <w:name w:val="Message Header Char"/>
    <w:aliases w:val="MH-DO NOT USE Char"/>
    <w:basedOn w:val="DefaultParagraphFont"/>
    <w:link w:val="MessageHeader"/>
    <w:semiHidden/>
    <w:rsid w:val="00AE0B1A"/>
    <w:rPr>
      <w:rFonts w:ascii="Arial" w:eastAsia="Times" w:hAnsi="Arial" w:cs="Arial"/>
    </w:rPr>
  </w:style>
  <w:style w:type="paragraph" w:styleId="NormalWeb">
    <w:name w:val="Normal (Web)"/>
    <w:aliases w:val="NW-DO NOT USE"/>
    <w:next w:val="BodyText"/>
    <w:semiHidden/>
    <w:rsid w:val="00AE0B1A"/>
    <w:pPr>
      <w:spacing w:before="180" w:after="180" w:line="280" w:lineRule="atLeast"/>
    </w:pPr>
    <w:rPr>
      <w:rFonts w:eastAsia="Times" w:cs="Arial"/>
    </w:rPr>
  </w:style>
  <w:style w:type="paragraph" w:styleId="NormalIndent">
    <w:name w:val="Normal Indent"/>
    <w:aliases w:val="NI-DO NOT USE"/>
    <w:next w:val="BodyText"/>
    <w:semiHidden/>
    <w:rsid w:val="00AE0B1A"/>
    <w:pPr>
      <w:spacing w:before="180" w:after="180" w:line="280" w:lineRule="atLeast"/>
    </w:pPr>
    <w:rPr>
      <w:rFonts w:eastAsia="Times" w:cs="Arial"/>
    </w:rPr>
  </w:style>
  <w:style w:type="paragraph" w:styleId="NoteHeading">
    <w:name w:val="Note Heading"/>
    <w:basedOn w:val="BodyText"/>
    <w:next w:val="BodyText"/>
    <w:link w:val="NoteHeadingChar"/>
    <w:semiHidden/>
    <w:rsid w:val="00AE0B1A"/>
  </w:style>
  <w:style w:type="character" w:customStyle="1" w:styleId="NoteHeadingChar">
    <w:name w:val="Note Heading Char"/>
    <w:basedOn w:val="DefaultParagraphFont"/>
    <w:link w:val="NoteHeading"/>
    <w:semiHidden/>
    <w:rsid w:val="00AE0B1A"/>
    <w:rPr>
      <w:rFonts w:ascii="Arial" w:eastAsia="Times" w:hAnsi="Arial" w:cs="Arial"/>
    </w:rPr>
  </w:style>
  <w:style w:type="character" w:styleId="PageNumber">
    <w:name w:val="page number"/>
    <w:aliases w:val="P-DO NOT USE"/>
    <w:semiHidden/>
    <w:rsid w:val="00AE0B1A"/>
  </w:style>
  <w:style w:type="paragraph" w:styleId="PlainText">
    <w:name w:val="Plain Text"/>
    <w:aliases w:val="PT-DO NOT USE"/>
    <w:link w:val="PlainTextChar"/>
    <w:semiHidden/>
    <w:rsid w:val="00AE0B1A"/>
    <w:pPr>
      <w:spacing w:before="180" w:after="180" w:line="280" w:lineRule="atLeast"/>
    </w:pPr>
    <w:rPr>
      <w:rFonts w:eastAsia="Times" w:cs="Arial"/>
    </w:rPr>
  </w:style>
  <w:style w:type="character" w:customStyle="1" w:styleId="PlainTextChar">
    <w:name w:val="Plain Text Char"/>
    <w:aliases w:val="PT-DO NOT USE Char"/>
    <w:basedOn w:val="DefaultParagraphFont"/>
    <w:link w:val="PlainText"/>
    <w:semiHidden/>
    <w:rsid w:val="00AE0B1A"/>
    <w:rPr>
      <w:rFonts w:ascii="Arial" w:eastAsia="Times" w:hAnsi="Arial" w:cs="Arial"/>
    </w:rPr>
  </w:style>
  <w:style w:type="paragraph" w:styleId="Salutation">
    <w:name w:val="Salutation"/>
    <w:aliases w:val="Sa-DO NOT USE"/>
    <w:next w:val="BodyText"/>
    <w:link w:val="SalutationChar"/>
    <w:semiHidden/>
    <w:rsid w:val="00AE0B1A"/>
    <w:pPr>
      <w:spacing w:before="180" w:after="180" w:line="280" w:lineRule="atLeast"/>
    </w:pPr>
    <w:rPr>
      <w:rFonts w:eastAsia="Times" w:cs="Arial"/>
    </w:rPr>
  </w:style>
  <w:style w:type="character" w:customStyle="1" w:styleId="SalutationChar">
    <w:name w:val="Salutation Char"/>
    <w:aliases w:val="Sa-DO NOT USE Char"/>
    <w:basedOn w:val="DefaultParagraphFont"/>
    <w:link w:val="Salutation"/>
    <w:semiHidden/>
    <w:rsid w:val="00AE0B1A"/>
    <w:rPr>
      <w:rFonts w:ascii="Arial" w:eastAsia="Times" w:hAnsi="Arial" w:cs="Arial"/>
    </w:rPr>
  </w:style>
  <w:style w:type="paragraph" w:styleId="Signature">
    <w:name w:val="Signature"/>
    <w:aliases w:val="Si-DO NOT USE"/>
    <w:next w:val="BodyText"/>
    <w:link w:val="SignatureChar"/>
    <w:semiHidden/>
    <w:rsid w:val="00AE0B1A"/>
    <w:pPr>
      <w:spacing w:before="180" w:after="180" w:line="280" w:lineRule="atLeast"/>
    </w:pPr>
    <w:rPr>
      <w:rFonts w:eastAsia="Times" w:cs="Arial"/>
    </w:rPr>
  </w:style>
  <w:style w:type="character" w:customStyle="1" w:styleId="SignatureChar">
    <w:name w:val="Signature Char"/>
    <w:aliases w:val="Si-DO NOT USE Char"/>
    <w:basedOn w:val="DefaultParagraphFont"/>
    <w:link w:val="Signature"/>
    <w:semiHidden/>
    <w:rsid w:val="00AE0B1A"/>
    <w:rPr>
      <w:rFonts w:ascii="Arial" w:eastAsia="Times" w:hAnsi="Arial" w:cs="Arial"/>
    </w:rPr>
  </w:style>
  <w:style w:type="paragraph" w:styleId="Subtitle">
    <w:name w:val="Subtitle"/>
    <w:aliases w:val="S-DO NOT USE"/>
    <w:next w:val="BodyText"/>
    <w:link w:val="SubtitleChar"/>
    <w:qFormat/>
    <w:rsid w:val="00AE0B1A"/>
    <w:pPr>
      <w:spacing w:before="180" w:after="180" w:line="280" w:lineRule="atLeast"/>
    </w:pPr>
    <w:rPr>
      <w:rFonts w:eastAsia="Times" w:cs="Arial"/>
    </w:rPr>
  </w:style>
  <w:style w:type="character" w:customStyle="1" w:styleId="SubtitleChar">
    <w:name w:val="Subtitle Char"/>
    <w:aliases w:val="S-DO NOT USE Char"/>
    <w:basedOn w:val="DefaultParagraphFont"/>
    <w:link w:val="Subtitle"/>
    <w:rsid w:val="00AE0B1A"/>
    <w:rPr>
      <w:rFonts w:ascii="Arial" w:eastAsia="Times" w:hAnsi="Arial" w:cs="Arial"/>
    </w:rPr>
  </w:style>
  <w:style w:type="table" w:styleId="Table3Deffects1">
    <w:name w:val="Table 3D effects 1"/>
    <w:basedOn w:val="TableNormal"/>
    <w:rsid w:val="00AE0B1A"/>
    <w:pPr>
      <w:spacing w:before="600" w:after="600" w:line="280" w:lineRule="atLeast"/>
      <w:jc w:val="right"/>
    </w:pPr>
    <w:rPr>
      <w:rFonts w:eastAsia="Time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qFormat/>
    <w:rsid w:val="00AE0B1A"/>
    <w:pPr>
      <w:spacing w:before="180" w:after="180" w:line="280" w:lineRule="atLeast"/>
    </w:pPr>
    <w:rPr>
      <w:rFonts w:eastAsia="Times" w:cs="Arial"/>
    </w:rPr>
  </w:style>
  <w:style w:type="character" w:customStyle="1" w:styleId="TitleChar">
    <w:name w:val="Title Char"/>
    <w:aliases w:val="T-DO NOT USE Char"/>
    <w:basedOn w:val="DefaultParagraphFont"/>
    <w:link w:val="Title"/>
    <w:rsid w:val="00AE0B1A"/>
    <w:rPr>
      <w:rFonts w:ascii="Arial" w:eastAsia="Times" w:hAnsi="Arial" w:cs="Arial"/>
    </w:rPr>
  </w:style>
  <w:style w:type="character" w:customStyle="1" w:styleId="Head1nonumbersChar">
    <w:name w:val="Head 1 no numbers Char"/>
    <w:basedOn w:val="Heading1Char"/>
    <w:link w:val="Head1nonumbers"/>
    <w:rsid w:val="00AE0B1A"/>
    <w:rPr>
      <w:rFonts w:ascii="Arial" w:eastAsia="Times" w:hAnsi="Arial" w:cs="Arial"/>
      <w:kern w:val="28"/>
      <w:sz w:val="40"/>
    </w:rPr>
  </w:style>
  <w:style w:type="paragraph" w:customStyle="1" w:styleId="Head2nonumbers">
    <w:name w:val="Head 2 no numbers"/>
    <w:basedOn w:val="Head1nonumbers"/>
    <w:next w:val="BodyText"/>
    <w:link w:val="Head2nonumbersChar"/>
    <w:qFormat/>
    <w:rsid w:val="00AE0B1A"/>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AE0B1A"/>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AE0B1A"/>
    <w:pPr>
      <w:numPr>
        <w:ilvl w:val="3"/>
      </w:numPr>
      <w:spacing w:before="180"/>
      <w:outlineLvl w:val="3"/>
    </w:pPr>
    <w:rPr>
      <w:i/>
      <w:sz w:val="22"/>
      <w:szCs w:val="22"/>
    </w:rPr>
  </w:style>
  <w:style w:type="paragraph" w:customStyle="1" w:styleId="Head5nonumbers">
    <w:name w:val="Head 5 no numbers"/>
    <w:basedOn w:val="Head4nonumbers"/>
    <w:next w:val="BodyText"/>
    <w:qFormat/>
    <w:rsid w:val="00AE0B1A"/>
    <w:pPr>
      <w:numPr>
        <w:ilvl w:val="4"/>
      </w:numPr>
      <w:outlineLvl w:val="4"/>
    </w:pPr>
    <w:rPr>
      <w:b w:val="0"/>
    </w:rPr>
  </w:style>
  <w:style w:type="character" w:customStyle="1" w:styleId="Head2nonumbersChar">
    <w:name w:val="Head 2 no numbers Char"/>
    <w:basedOn w:val="Head1nonumbersChar"/>
    <w:link w:val="Head2nonumbers"/>
    <w:rsid w:val="00AE0B1A"/>
    <w:rPr>
      <w:rFonts w:ascii="Arial" w:eastAsia="Times" w:hAnsi="Arial" w:cs="Arial"/>
      <w:kern w:val="28"/>
      <w:sz w:val="30"/>
      <w:szCs w:val="28"/>
    </w:rPr>
  </w:style>
  <w:style w:type="character" w:customStyle="1" w:styleId="Head3nonumbersChar">
    <w:name w:val="Head 3 no numbers Char"/>
    <w:basedOn w:val="Head2nonumbersChar"/>
    <w:link w:val="Head3nonumbers"/>
    <w:rsid w:val="00AE0B1A"/>
    <w:rPr>
      <w:rFonts w:ascii="Arial" w:eastAsia="Times" w:hAnsi="Arial" w:cs="Lucida Sans Unicode"/>
      <w:b/>
      <w:kern w:val="28"/>
      <w:sz w:val="24"/>
      <w:szCs w:val="24"/>
    </w:rPr>
  </w:style>
  <w:style w:type="character" w:customStyle="1" w:styleId="Head4nonumbersChar">
    <w:name w:val="Head 4 no numbers Char"/>
    <w:basedOn w:val="Heading4Char"/>
    <w:link w:val="Head4nonumbers"/>
    <w:rsid w:val="00AE0B1A"/>
    <w:rPr>
      <w:rFonts w:ascii="Arial" w:eastAsia="Times" w:hAnsi="Arial" w:cs="Lucida Sans Unicode"/>
      <w:b/>
      <w:i/>
      <w:kern w:val="28"/>
      <w:sz w:val="22"/>
      <w:szCs w:val="22"/>
    </w:rPr>
  </w:style>
  <w:style w:type="paragraph" w:styleId="TOC6">
    <w:name w:val="toc 6"/>
    <w:basedOn w:val="Normal"/>
    <w:next w:val="Normal"/>
    <w:autoRedefine/>
    <w:uiPriority w:val="39"/>
    <w:rsid w:val="00AE0B1A"/>
    <w:pPr>
      <w:ind w:left="1050"/>
    </w:pPr>
  </w:style>
  <w:style w:type="paragraph" w:customStyle="1" w:styleId="Listbulletlevel1numbered">
    <w:name w:val="List bullet level 1 numbered"/>
    <w:basedOn w:val="BodyText"/>
    <w:next w:val="BodyText"/>
    <w:link w:val="Listbulletlevel1numberedChar"/>
    <w:qFormat/>
    <w:rsid w:val="00AE0B1A"/>
    <w:pPr>
      <w:numPr>
        <w:numId w:val="17"/>
      </w:numPr>
      <w:spacing w:before="60" w:after="60"/>
      <w:ind w:left="568" w:hanging="284"/>
    </w:pPr>
  </w:style>
  <w:style w:type="character" w:customStyle="1" w:styleId="Listbulletlevel1numberedChar">
    <w:name w:val="List bullet level 1 numbered Char"/>
    <w:basedOn w:val="Listbulletlevel1Char"/>
    <w:link w:val="Listbulletlevel1numbered"/>
    <w:rsid w:val="00AE0B1A"/>
    <w:rPr>
      <w:rFonts w:ascii="Arial" w:eastAsia="Times" w:hAnsi="Arial" w:cs="Arial"/>
    </w:rPr>
  </w:style>
  <w:style w:type="paragraph" w:customStyle="1" w:styleId="Listbulletlevel2numbered">
    <w:name w:val="List bullet level 2 numbered"/>
    <w:basedOn w:val="Listbulletlevel1numbered"/>
    <w:qFormat/>
    <w:rsid w:val="00AE0B1A"/>
    <w:pPr>
      <w:numPr>
        <w:ilvl w:val="1"/>
      </w:numPr>
      <w:ind w:left="851" w:hanging="284"/>
    </w:pPr>
  </w:style>
  <w:style w:type="paragraph" w:styleId="TableofFigures">
    <w:name w:val="table of figures"/>
    <w:basedOn w:val="TOC1"/>
    <w:next w:val="BodyText"/>
    <w:uiPriority w:val="99"/>
    <w:qFormat/>
    <w:rsid w:val="00AE0B1A"/>
  </w:style>
  <w:style w:type="numbering" w:styleId="111111">
    <w:name w:val="Outline List 2"/>
    <w:basedOn w:val="NoList"/>
    <w:rsid w:val="00AE0B1A"/>
    <w:pPr>
      <w:numPr>
        <w:numId w:val="12"/>
      </w:numPr>
    </w:pPr>
  </w:style>
  <w:style w:type="numbering" w:styleId="1ai">
    <w:name w:val="Outline List 1"/>
    <w:basedOn w:val="NoList"/>
    <w:rsid w:val="00AE0B1A"/>
    <w:pPr>
      <w:numPr>
        <w:numId w:val="13"/>
      </w:numPr>
    </w:pPr>
  </w:style>
  <w:style w:type="numbering" w:styleId="ArticleSection">
    <w:name w:val="Outline List 3"/>
    <w:basedOn w:val="NoList"/>
    <w:rsid w:val="00AE0B1A"/>
    <w:pPr>
      <w:numPr>
        <w:numId w:val="14"/>
      </w:numPr>
    </w:pPr>
  </w:style>
  <w:style w:type="character" w:styleId="Emphasis">
    <w:name w:val="Emphasis"/>
    <w:aliases w:val="E-DO NOT USE"/>
    <w:uiPriority w:val="20"/>
    <w:qFormat/>
    <w:rsid w:val="00AE0B1A"/>
  </w:style>
  <w:style w:type="character" w:styleId="HTMLAcronym">
    <w:name w:val="HTML Acronym"/>
    <w:aliases w:val="HA-DO NOT USE"/>
    <w:semiHidden/>
    <w:rsid w:val="00AE0B1A"/>
  </w:style>
  <w:style w:type="character" w:styleId="HTMLCite">
    <w:name w:val="HTML Cite"/>
    <w:aliases w:val="HCi-DO NOT USE"/>
    <w:semiHidden/>
    <w:rsid w:val="00AE0B1A"/>
  </w:style>
  <w:style w:type="character" w:styleId="HTMLCode">
    <w:name w:val="HTML Code"/>
    <w:aliases w:val="HC-DO NOT USE"/>
    <w:semiHidden/>
    <w:rsid w:val="00AE0B1A"/>
  </w:style>
  <w:style w:type="character" w:styleId="HTMLDefinition">
    <w:name w:val="HTML Definition"/>
    <w:aliases w:val="HD-DO NOT USE"/>
    <w:semiHidden/>
    <w:rsid w:val="00AE0B1A"/>
  </w:style>
  <w:style w:type="character" w:styleId="HTMLKeyboard">
    <w:name w:val="HTML Keyboard"/>
    <w:aliases w:val="HK-DO NOT USE"/>
    <w:semiHidden/>
    <w:rsid w:val="00AE0B1A"/>
  </w:style>
  <w:style w:type="character" w:styleId="HTMLSample">
    <w:name w:val="HTML Sample"/>
    <w:aliases w:val="HS-DO NOT USE"/>
    <w:semiHidden/>
    <w:rsid w:val="00AE0B1A"/>
  </w:style>
  <w:style w:type="character" w:styleId="HTMLTypewriter">
    <w:name w:val="HTML Typewriter"/>
    <w:aliases w:val="HT-DO NOT USE"/>
    <w:semiHidden/>
    <w:rsid w:val="00AE0B1A"/>
  </w:style>
  <w:style w:type="character" w:styleId="HTMLVariable">
    <w:name w:val="HTML Variable"/>
    <w:aliases w:val="HV-DO NOT USE"/>
    <w:semiHidden/>
    <w:rsid w:val="00AE0B1A"/>
  </w:style>
  <w:style w:type="character" w:styleId="LineNumber">
    <w:name w:val="line number"/>
    <w:aliases w:val="LN-DO NOT USE"/>
    <w:semiHidden/>
    <w:rsid w:val="00AE0B1A"/>
  </w:style>
  <w:style w:type="table" w:styleId="Table3Deffects2">
    <w:name w:val="Table 3D effects 2"/>
    <w:basedOn w:val="TableNormal"/>
    <w:rsid w:val="00AE0B1A"/>
    <w:pPr>
      <w:spacing w:before="180" w:after="180" w:line="280" w:lineRule="atLeast"/>
    </w:pPr>
    <w:rPr>
      <w:rFonts w:eastAsia="Times"/>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AE0B1A"/>
    <w:pPr>
      <w:spacing w:before="180" w:after="180" w:line="280" w:lineRule="atLeast"/>
    </w:pPr>
    <w:rPr>
      <w:rFonts w:eastAsia="Time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AE0B1A"/>
    <w:pPr>
      <w:spacing w:before="180" w:after="180" w:line="280" w:lineRule="atLeast"/>
    </w:pPr>
    <w:rPr>
      <w:rFonts w:eastAsia="Time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AE0B1A"/>
    <w:pPr>
      <w:spacing w:before="180" w:after="180" w:line="280" w:lineRule="atLeast"/>
    </w:pPr>
    <w:rPr>
      <w:rFonts w:eastAsia="Time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AE0B1A"/>
    <w:pPr>
      <w:spacing w:before="180" w:after="180" w:line="280" w:lineRule="atLeast"/>
    </w:pPr>
    <w:rPr>
      <w:rFonts w:eastAsia="Times"/>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AE0B1A"/>
    <w:pPr>
      <w:spacing w:before="180" w:after="180" w:line="280" w:lineRule="atLeast"/>
    </w:pPr>
    <w:rPr>
      <w:rFonts w:eastAsia="Time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AE0B1A"/>
    <w:pPr>
      <w:spacing w:before="180" w:after="180" w:line="280" w:lineRule="atLeast"/>
    </w:pPr>
    <w:rPr>
      <w:rFonts w:eastAsia="Times"/>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AE0B1A"/>
    <w:pPr>
      <w:spacing w:before="180" w:after="180" w:line="280" w:lineRule="atLeast"/>
    </w:pPr>
    <w:rPr>
      <w:rFonts w:eastAsia="Time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AE0B1A"/>
    <w:pPr>
      <w:spacing w:before="180" w:after="180" w:line="280" w:lineRule="atLeast"/>
    </w:pPr>
    <w:rPr>
      <w:rFonts w:eastAsia="Time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AE0B1A"/>
    <w:pPr>
      <w:spacing w:before="180" w:after="180" w:line="280" w:lineRule="atLeast"/>
    </w:pPr>
    <w:rPr>
      <w:rFonts w:eastAsia="Times"/>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AE0B1A"/>
    <w:pPr>
      <w:spacing w:before="180" w:after="180" w:line="280" w:lineRule="atLeast"/>
    </w:pPr>
    <w:rPr>
      <w:rFonts w:eastAsia="Times"/>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AE0B1A"/>
    <w:pPr>
      <w:spacing w:before="180" w:after="180" w:line="280" w:lineRule="atLeast"/>
    </w:pPr>
    <w:rPr>
      <w:rFonts w:eastAsia="Times"/>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AE0B1A"/>
    <w:pPr>
      <w:spacing w:before="180" w:after="180" w:line="280" w:lineRule="atLeast"/>
    </w:pPr>
    <w:rPr>
      <w:rFonts w:eastAsia="Time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AE0B1A"/>
    <w:pPr>
      <w:spacing w:before="180" w:after="180" w:line="280" w:lineRule="atLeast"/>
    </w:pPr>
    <w:rPr>
      <w:rFonts w:eastAsia="Time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AE0B1A"/>
    <w:pPr>
      <w:spacing w:before="180" w:after="180" w:line="280" w:lineRule="atLeast"/>
    </w:pPr>
    <w:rPr>
      <w:rFonts w:eastAsia="Time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AE0B1A"/>
    <w:pPr>
      <w:spacing w:before="180" w:after="180" w:line="280" w:lineRule="atLeast"/>
    </w:pPr>
    <w:rPr>
      <w:rFonts w:eastAsia="Time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AE0B1A"/>
    <w:pPr>
      <w:spacing w:before="180" w:after="180" w:line="280" w:lineRule="atLeast"/>
    </w:pPr>
    <w:rPr>
      <w:rFonts w:eastAsia="Tim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rsid w:val="00AE0B1A"/>
    <w:pPr>
      <w:spacing w:before="180" w:after="180" w:line="280" w:lineRule="atLeast"/>
    </w:pPr>
    <w:rPr>
      <w:rFonts w:eastAsia="Time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AE0B1A"/>
    <w:pPr>
      <w:spacing w:before="180" w:after="180" w:line="280" w:lineRule="atLeast"/>
    </w:pPr>
    <w:rPr>
      <w:rFonts w:eastAsia="Times"/>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AE0B1A"/>
    <w:pPr>
      <w:spacing w:before="180" w:after="180" w:line="280" w:lineRule="atLeast"/>
    </w:pPr>
    <w:rPr>
      <w:rFonts w:eastAsia="Time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AE0B1A"/>
    <w:pPr>
      <w:spacing w:before="180" w:after="180" w:line="280" w:lineRule="atLeast"/>
    </w:pPr>
    <w:rPr>
      <w:rFonts w:eastAsia="Time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AE0B1A"/>
    <w:pPr>
      <w:spacing w:before="180" w:after="180" w:line="280" w:lineRule="atLeast"/>
    </w:pPr>
    <w:rPr>
      <w:rFonts w:eastAsia="Time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AE0B1A"/>
    <w:pPr>
      <w:spacing w:before="180" w:after="180" w:line="280" w:lineRule="atLeast"/>
    </w:pPr>
    <w:rPr>
      <w:rFonts w:eastAsia="Time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AE0B1A"/>
    <w:pPr>
      <w:spacing w:before="180" w:after="180" w:line="280" w:lineRule="atLeast"/>
    </w:pPr>
    <w:rPr>
      <w:rFonts w:eastAsia="Times"/>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AE0B1A"/>
    <w:pPr>
      <w:spacing w:before="180" w:after="180" w:line="280" w:lineRule="atLeast"/>
    </w:pPr>
    <w:rPr>
      <w:rFonts w:eastAsia="Time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AE0B1A"/>
    <w:pPr>
      <w:spacing w:before="180" w:after="180" w:line="280" w:lineRule="atLeast"/>
    </w:pPr>
    <w:rPr>
      <w:rFonts w:eastAsia="Time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AE0B1A"/>
    <w:pPr>
      <w:spacing w:before="180" w:after="180" w:line="280" w:lineRule="atLeast"/>
    </w:pPr>
    <w:rPr>
      <w:rFonts w:eastAsia="Time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AE0B1A"/>
    <w:pPr>
      <w:spacing w:before="180" w:after="180" w:line="280" w:lineRule="atLeast"/>
    </w:pPr>
    <w:rPr>
      <w:rFonts w:eastAsia="Time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AE0B1A"/>
    <w:pPr>
      <w:spacing w:before="180" w:after="180" w:line="280" w:lineRule="atLeast"/>
    </w:pPr>
    <w:rPr>
      <w:rFonts w:eastAsia="Time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AE0B1A"/>
    <w:pPr>
      <w:spacing w:before="180" w:after="180" w:line="280" w:lineRule="atLeast"/>
    </w:pPr>
    <w:rPr>
      <w:rFonts w:eastAsia="Time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AE0B1A"/>
    <w:pPr>
      <w:spacing w:before="180" w:after="180" w:line="280" w:lineRule="atLeast"/>
    </w:pPr>
    <w:rPr>
      <w:rFonts w:eastAsia="Time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AE0B1A"/>
    <w:pPr>
      <w:spacing w:before="180" w:after="180" w:line="280" w:lineRule="atLeast"/>
    </w:pPr>
    <w:rPr>
      <w:rFonts w:eastAsia="Time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AE0B1A"/>
    <w:pPr>
      <w:spacing w:before="180" w:after="180" w:line="280" w:lineRule="atLeast"/>
    </w:pPr>
    <w:rPr>
      <w:rFonts w:eastAsia="Time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AE0B1A"/>
    <w:pPr>
      <w:spacing w:before="180" w:after="180" w:line="280" w:lineRule="atLeast"/>
    </w:pPr>
    <w:rPr>
      <w:rFonts w:eastAsia="Time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AE0B1A"/>
    <w:pPr>
      <w:spacing w:before="180" w:after="180" w:line="280" w:lineRule="atLeast"/>
    </w:pPr>
    <w:rPr>
      <w:rFonts w:eastAsia="Time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AE0B1A"/>
    <w:pPr>
      <w:spacing w:before="180" w:after="180" w:line="280" w:lineRule="atLeast"/>
    </w:pPr>
    <w:rPr>
      <w:rFonts w:eastAsia="Time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AE0B1A"/>
    <w:pPr>
      <w:spacing w:before="180" w:after="180" w:line="280" w:lineRule="atLeast"/>
    </w:pPr>
    <w:rPr>
      <w:rFonts w:eastAsia="Time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AE0B1A"/>
    <w:pPr>
      <w:spacing w:before="180" w:after="180" w:line="280" w:lineRule="atLeast"/>
    </w:pPr>
    <w:rPr>
      <w:rFonts w:eastAsia="Time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AE0B1A"/>
    <w:pPr>
      <w:spacing w:before="180" w:after="180" w:line="280" w:lineRule="atLeast"/>
    </w:pPr>
    <w:rPr>
      <w:rFonts w:eastAsia="Time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AE0B1A"/>
    <w:pPr>
      <w:spacing w:before="180" w:after="180" w:line="280" w:lineRule="atLeast"/>
    </w:pPr>
    <w:rPr>
      <w:rFonts w:eastAsia="Tim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AE0B1A"/>
    <w:pPr>
      <w:spacing w:before="180" w:after="180" w:line="280" w:lineRule="atLeast"/>
    </w:pPr>
    <w:rPr>
      <w:rFonts w:eastAsia="Time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AE0B1A"/>
    <w:pPr>
      <w:spacing w:before="180" w:after="180" w:line="280" w:lineRule="atLeast"/>
    </w:pPr>
    <w:rPr>
      <w:rFonts w:eastAsia="Time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AE0B1A"/>
    <w:pPr>
      <w:spacing w:before="180" w:after="180" w:line="280" w:lineRule="atLeast"/>
    </w:pPr>
    <w:rPr>
      <w:rFonts w:eastAsia="Time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E0B1A"/>
    <w:pPr>
      <w:spacing w:before="20" w:after="20" w:line="200" w:lineRule="atLeast"/>
    </w:pPr>
    <w:rPr>
      <w:rFonts w:eastAsia="Times"/>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AE0B1A"/>
    <w:rPr>
      <w:position w:val="0"/>
      <w:vertAlign w:val="superscript"/>
    </w:rPr>
  </w:style>
  <w:style w:type="character" w:customStyle="1" w:styleId="Subscript">
    <w:name w:val="Subscript"/>
    <w:basedOn w:val="DefaultParagraphFont"/>
    <w:qFormat/>
    <w:rsid w:val="00AE0B1A"/>
    <w:rPr>
      <w:position w:val="-4"/>
      <w:vertAlign w:val="subscript"/>
    </w:rPr>
  </w:style>
  <w:style w:type="paragraph" w:styleId="BodyText2">
    <w:name w:val="Body Text 2"/>
    <w:aliases w:val="BT2-DO NOT USE"/>
    <w:basedOn w:val="Normal"/>
    <w:link w:val="BodyText2Char"/>
    <w:semiHidden/>
    <w:rsid w:val="00AE0B1A"/>
    <w:pPr>
      <w:spacing w:after="120" w:line="480" w:lineRule="auto"/>
    </w:pPr>
  </w:style>
  <w:style w:type="character" w:customStyle="1" w:styleId="BodyText2Char">
    <w:name w:val="Body Text 2 Char"/>
    <w:aliases w:val="BT2-DO NOT USE Char"/>
    <w:basedOn w:val="DefaultParagraphFont"/>
    <w:link w:val="BodyText2"/>
    <w:semiHidden/>
    <w:rsid w:val="00AE0B1A"/>
    <w:rPr>
      <w:rFonts w:ascii="Arial" w:eastAsia="Times" w:hAnsi="Arial" w:cs="Arial"/>
    </w:rPr>
  </w:style>
  <w:style w:type="table" w:styleId="LightShading-Accent5">
    <w:name w:val="Light Shading Accent 5"/>
    <w:basedOn w:val="TableNormal"/>
    <w:uiPriority w:val="60"/>
    <w:rsid w:val="00AE0B1A"/>
    <w:pPr>
      <w:spacing w:before="180" w:after="180"/>
    </w:pPr>
    <w:rPr>
      <w:rFonts w:eastAsia="Times"/>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rsid w:val="00AE0B1A"/>
    <w:pPr>
      <w:spacing w:before="180" w:after="180"/>
    </w:pPr>
    <w:rPr>
      <w:rFonts w:eastAsia="Times"/>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AE0B1A"/>
    <w:pPr>
      <w:spacing w:before="180" w:after="180"/>
    </w:pPr>
    <w:rPr>
      <w:rFonts w:eastAsia="Times"/>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AE0B1A"/>
    <w:pPr>
      <w:spacing w:before="180" w:after="180"/>
    </w:pPr>
    <w:rPr>
      <w:rFonts w:eastAsia="Times"/>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AE0B1A"/>
    <w:pPr>
      <w:spacing w:before="180" w:after="180"/>
    </w:pPr>
    <w:rPr>
      <w:rFonts w:eastAsia="Times"/>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rsid w:val="00AE0B1A"/>
    <w:pPr>
      <w:spacing w:before="180" w:after="180"/>
    </w:pPr>
    <w:rPr>
      <w:rFonts w:eastAsia="Times"/>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rsid w:val="00AE0B1A"/>
    <w:pPr>
      <w:spacing w:before="180" w:after="180"/>
    </w:pPr>
    <w:rPr>
      <w:rFonts w:eastAsia="Time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AE0B1A"/>
    <w:pPr>
      <w:spacing w:before="0" w:after="600"/>
      <w:outlineLvl w:val="1"/>
    </w:pPr>
    <w:rPr>
      <w:sz w:val="32"/>
      <w:szCs w:val="36"/>
    </w:rPr>
  </w:style>
  <w:style w:type="character" w:customStyle="1" w:styleId="DocumentsubtitleChar">
    <w:name w:val="Document subtitle Char"/>
    <w:basedOn w:val="DefaultParagraphFont"/>
    <w:link w:val="Documentsubtitle"/>
    <w:rsid w:val="00AE0B1A"/>
    <w:rPr>
      <w:rFonts w:ascii="Arial" w:hAnsi="Arial"/>
      <w:sz w:val="32"/>
      <w:szCs w:val="36"/>
    </w:rPr>
  </w:style>
  <w:style w:type="paragraph" w:styleId="Bibliography">
    <w:name w:val="Bibliography"/>
    <w:next w:val="BodyText"/>
    <w:uiPriority w:val="37"/>
    <w:rsid w:val="00AE0B1A"/>
    <w:pPr>
      <w:pBdr>
        <w:top w:val="single" w:sz="4" w:space="1" w:color="808080"/>
        <w:left w:val="single" w:sz="4" w:space="4" w:color="808080"/>
        <w:bottom w:val="single" w:sz="4" w:space="1" w:color="808080"/>
        <w:right w:val="single" w:sz="4" w:space="4" w:color="808080"/>
      </w:pBdr>
      <w:spacing w:before="360" w:after="160" w:line="280" w:lineRule="atLeast"/>
    </w:pPr>
    <w:rPr>
      <w:rFonts w:cs="Arial"/>
    </w:rPr>
  </w:style>
  <w:style w:type="paragraph" w:styleId="Caption">
    <w:name w:val="caption"/>
    <w:next w:val="BodyText"/>
    <w:qFormat/>
    <w:rsid w:val="00AE0B1A"/>
    <w:pPr>
      <w:spacing w:before="120" w:after="480" w:line="200" w:lineRule="atLeast"/>
    </w:pPr>
    <w:rPr>
      <w:rFonts w:cs="Arial"/>
      <w:i/>
      <w:sz w:val="18"/>
      <w:szCs w:val="18"/>
    </w:rPr>
  </w:style>
  <w:style w:type="paragraph" w:styleId="CommentSubject">
    <w:name w:val="annotation subject"/>
    <w:aliases w:val="CS-DO NOT USE"/>
    <w:link w:val="CommentSubjectChar"/>
    <w:semiHidden/>
    <w:rsid w:val="00AE0B1A"/>
    <w:pPr>
      <w:spacing w:before="180" w:after="180" w:line="280" w:lineRule="atLeast"/>
    </w:pPr>
    <w:rPr>
      <w:rFonts w:eastAsia="Times" w:cs="Arial"/>
    </w:rPr>
  </w:style>
  <w:style w:type="character" w:customStyle="1" w:styleId="CommentSubjectChar">
    <w:name w:val="Comment Subject Char"/>
    <w:aliases w:val="CS-DO NOT USE Char"/>
    <w:basedOn w:val="CommentTextChar"/>
    <w:link w:val="CommentSubject"/>
    <w:semiHidden/>
    <w:rsid w:val="00AE0B1A"/>
    <w:rPr>
      <w:rFonts w:ascii="Arial" w:eastAsia="Times" w:hAnsi="Arial" w:cs="Arial"/>
    </w:rPr>
  </w:style>
  <w:style w:type="paragraph" w:styleId="DocumentMap">
    <w:name w:val="Document Map"/>
    <w:aliases w:val="DM-DO NOT USE"/>
    <w:link w:val="DocumentMapChar"/>
    <w:semiHidden/>
    <w:rsid w:val="00AE0B1A"/>
    <w:pPr>
      <w:spacing w:before="180" w:after="180" w:line="280" w:lineRule="atLeast"/>
    </w:pPr>
    <w:rPr>
      <w:rFonts w:eastAsia="Times" w:cs="Arial"/>
    </w:rPr>
  </w:style>
  <w:style w:type="character" w:customStyle="1" w:styleId="DocumentMapChar">
    <w:name w:val="Document Map Char"/>
    <w:aliases w:val="DM-DO NOT USE Char"/>
    <w:basedOn w:val="DefaultParagraphFont"/>
    <w:link w:val="DocumentMap"/>
    <w:semiHidden/>
    <w:rsid w:val="00AE0B1A"/>
    <w:rPr>
      <w:rFonts w:ascii="Arial" w:eastAsia="Times" w:hAnsi="Arial" w:cs="Arial"/>
    </w:rPr>
  </w:style>
  <w:style w:type="paragraph" w:styleId="FootnoteText">
    <w:name w:val="footnote text"/>
    <w:link w:val="FootnoteTextChar"/>
    <w:rsid w:val="00AE0B1A"/>
    <w:pPr>
      <w:tabs>
        <w:tab w:val="left" w:pos="284"/>
      </w:tabs>
      <w:spacing w:before="30"/>
      <w:ind w:left="113" w:hanging="113"/>
    </w:pPr>
    <w:rPr>
      <w:rFonts w:eastAsia="Times" w:cs="Arial"/>
      <w:sz w:val="16"/>
    </w:rPr>
  </w:style>
  <w:style w:type="character" w:customStyle="1" w:styleId="FootnoteTextChar">
    <w:name w:val="Footnote Text Char"/>
    <w:basedOn w:val="DefaultParagraphFont"/>
    <w:link w:val="FootnoteText"/>
    <w:rsid w:val="00AE0B1A"/>
    <w:rPr>
      <w:rFonts w:ascii="Arial" w:eastAsia="Times" w:hAnsi="Arial" w:cs="Arial"/>
      <w:sz w:val="16"/>
    </w:rPr>
  </w:style>
  <w:style w:type="paragraph" w:styleId="Index1">
    <w:name w:val="index 1"/>
    <w:basedOn w:val="Normal"/>
    <w:next w:val="Normal"/>
    <w:autoRedefine/>
    <w:semiHidden/>
    <w:rsid w:val="00AE0B1A"/>
    <w:pPr>
      <w:spacing w:line="240" w:lineRule="auto"/>
      <w:ind w:left="200" w:hanging="200"/>
    </w:pPr>
  </w:style>
  <w:style w:type="paragraph" w:styleId="Index2">
    <w:name w:val="index 2"/>
    <w:basedOn w:val="Normal"/>
    <w:next w:val="Normal"/>
    <w:autoRedefine/>
    <w:semiHidden/>
    <w:rsid w:val="00AE0B1A"/>
    <w:pPr>
      <w:spacing w:line="240" w:lineRule="auto"/>
      <w:ind w:left="400" w:hanging="200"/>
    </w:pPr>
  </w:style>
  <w:style w:type="paragraph" w:styleId="Index3">
    <w:name w:val="index 3"/>
    <w:basedOn w:val="Normal"/>
    <w:next w:val="Normal"/>
    <w:autoRedefine/>
    <w:semiHidden/>
    <w:rsid w:val="00AE0B1A"/>
    <w:pPr>
      <w:spacing w:line="240" w:lineRule="auto"/>
      <w:ind w:left="600" w:hanging="200"/>
    </w:pPr>
  </w:style>
  <w:style w:type="paragraph" w:styleId="Index4">
    <w:name w:val="index 4"/>
    <w:basedOn w:val="Normal"/>
    <w:next w:val="Normal"/>
    <w:autoRedefine/>
    <w:semiHidden/>
    <w:rsid w:val="00AE0B1A"/>
    <w:pPr>
      <w:spacing w:line="240" w:lineRule="auto"/>
      <w:ind w:left="800" w:hanging="200"/>
    </w:pPr>
  </w:style>
  <w:style w:type="paragraph" w:styleId="Index5">
    <w:name w:val="index 5"/>
    <w:basedOn w:val="Normal"/>
    <w:next w:val="Normal"/>
    <w:autoRedefine/>
    <w:semiHidden/>
    <w:rsid w:val="00AE0B1A"/>
    <w:pPr>
      <w:spacing w:line="240" w:lineRule="auto"/>
      <w:ind w:left="1000" w:hanging="200"/>
    </w:pPr>
  </w:style>
  <w:style w:type="paragraph" w:styleId="Index6">
    <w:name w:val="index 6"/>
    <w:basedOn w:val="Normal"/>
    <w:next w:val="Normal"/>
    <w:autoRedefine/>
    <w:semiHidden/>
    <w:rsid w:val="00AE0B1A"/>
    <w:pPr>
      <w:spacing w:line="240" w:lineRule="auto"/>
      <w:ind w:left="1200" w:hanging="200"/>
    </w:pPr>
  </w:style>
  <w:style w:type="paragraph" w:styleId="Index7">
    <w:name w:val="index 7"/>
    <w:basedOn w:val="Normal"/>
    <w:next w:val="Normal"/>
    <w:autoRedefine/>
    <w:semiHidden/>
    <w:rsid w:val="00AE0B1A"/>
    <w:pPr>
      <w:spacing w:line="240" w:lineRule="auto"/>
      <w:ind w:left="1400" w:hanging="200"/>
    </w:pPr>
  </w:style>
  <w:style w:type="paragraph" w:styleId="Index8">
    <w:name w:val="index 8"/>
    <w:basedOn w:val="Normal"/>
    <w:next w:val="Normal"/>
    <w:autoRedefine/>
    <w:semiHidden/>
    <w:rsid w:val="00AE0B1A"/>
    <w:pPr>
      <w:spacing w:line="240" w:lineRule="auto"/>
      <w:ind w:left="1600" w:hanging="200"/>
    </w:pPr>
  </w:style>
  <w:style w:type="paragraph" w:styleId="Index9">
    <w:name w:val="index 9"/>
    <w:basedOn w:val="Normal"/>
    <w:next w:val="Normal"/>
    <w:autoRedefine/>
    <w:semiHidden/>
    <w:rsid w:val="00AE0B1A"/>
    <w:pPr>
      <w:spacing w:line="240" w:lineRule="auto"/>
      <w:ind w:left="1800" w:hanging="200"/>
    </w:pPr>
  </w:style>
  <w:style w:type="paragraph" w:styleId="IndexHeading">
    <w:name w:val="index heading"/>
    <w:aliases w:val="IH-DO NOT USE"/>
    <w:basedOn w:val="IntenseQuote"/>
    <w:next w:val="Index1"/>
    <w:semiHidden/>
    <w:rsid w:val="00AE0B1A"/>
  </w:style>
  <w:style w:type="paragraph" w:styleId="IntenseQuote">
    <w:name w:val="Intense Quote"/>
    <w:aliases w:val="IQ-DO NOT USE"/>
    <w:next w:val="Normal"/>
    <w:link w:val="IntenseQuoteChar"/>
    <w:uiPriority w:val="30"/>
    <w:qFormat/>
    <w:rsid w:val="00AE0B1A"/>
    <w:pPr>
      <w:spacing w:before="180" w:after="180" w:line="280" w:lineRule="atLeast"/>
    </w:pPr>
    <w:rPr>
      <w:rFonts w:eastAsia="Times" w:cs="Arial"/>
    </w:rPr>
  </w:style>
  <w:style w:type="character" w:customStyle="1" w:styleId="IntenseQuoteChar">
    <w:name w:val="Intense Quote Char"/>
    <w:aliases w:val="IQ-DO NOT USE Char"/>
    <w:basedOn w:val="DefaultParagraphFont"/>
    <w:link w:val="IntenseQuote"/>
    <w:uiPriority w:val="30"/>
    <w:rsid w:val="00AE0B1A"/>
    <w:rPr>
      <w:rFonts w:ascii="Arial" w:eastAsia="Times" w:hAnsi="Arial" w:cs="Arial"/>
    </w:rPr>
  </w:style>
  <w:style w:type="paragraph" w:styleId="ListParagraph">
    <w:name w:val="List Paragraph"/>
    <w:aliases w:val="LP-DO NOT USE"/>
    <w:basedOn w:val="MacroText"/>
    <w:uiPriority w:val="34"/>
    <w:qFormat/>
    <w:rsid w:val="00AE0B1A"/>
  </w:style>
  <w:style w:type="paragraph" w:styleId="MacroText">
    <w:name w:val="macro"/>
    <w:aliases w:val="MT-DO NOT USE"/>
    <w:basedOn w:val="MessageHeader"/>
    <w:link w:val="MacroTextChar"/>
    <w:semiHidden/>
    <w:rsid w:val="00AE0B1A"/>
  </w:style>
  <w:style w:type="character" w:customStyle="1" w:styleId="MacroTextChar">
    <w:name w:val="Macro Text Char"/>
    <w:aliases w:val="MT-DO NOT USE Char"/>
    <w:basedOn w:val="DefaultParagraphFont"/>
    <w:link w:val="MacroText"/>
    <w:semiHidden/>
    <w:rsid w:val="00AE0B1A"/>
    <w:rPr>
      <w:rFonts w:ascii="Arial" w:eastAsia="Times" w:hAnsi="Arial" w:cs="Arial"/>
    </w:rPr>
  </w:style>
  <w:style w:type="paragraph" w:styleId="NoSpacing">
    <w:name w:val="No Spacing"/>
    <w:aliases w:val="NS-DO NOT USE"/>
    <w:uiPriority w:val="1"/>
    <w:qFormat/>
    <w:rsid w:val="00AE0B1A"/>
    <w:pPr>
      <w:spacing w:before="180" w:after="180"/>
    </w:pPr>
    <w:rPr>
      <w:rFonts w:eastAsia="Times"/>
    </w:rPr>
  </w:style>
  <w:style w:type="paragraph" w:styleId="Quote">
    <w:name w:val="Quote"/>
    <w:aliases w:val="Q-DO NOT USE"/>
    <w:next w:val="Normal"/>
    <w:link w:val="QuoteChar"/>
    <w:uiPriority w:val="29"/>
    <w:qFormat/>
    <w:rsid w:val="00AE0B1A"/>
    <w:pPr>
      <w:spacing w:before="180" w:after="180" w:line="280" w:lineRule="atLeast"/>
    </w:pPr>
    <w:rPr>
      <w:rFonts w:eastAsia="Times" w:cs="Arial"/>
    </w:rPr>
  </w:style>
  <w:style w:type="character" w:customStyle="1" w:styleId="QuoteChar">
    <w:name w:val="Quote Char"/>
    <w:aliases w:val="Q-DO NOT USE Char"/>
    <w:basedOn w:val="DefaultParagraphFont"/>
    <w:link w:val="Quote"/>
    <w:uiPriority w:val="29"/>
    <w:rsid w:val="00AE0B1A"/>
    <w:rPr>
      <w:rFonts w:ascii="Arial" w:eastAsia="Times" w:hAnsi="Arial" w:cs="Arial"/>
    </w:rPr>
  </w:style>
  <w:style w:type="paragraph" w:styleId="TOAHeading">
    <w:name w:val="toa heading"/>
    <w:next w:val="Normal"/>
    <w:uiPriority w:val="99"/>
    <w:semiHidden/>
    <w:rsid w:val="00AE0B1A"/>
    <w:pPr>
      <w:spacing w:before="120" w:after="180" w:line="280" w:lineRule="atLeast"/>
    </w:pPr>
    <w:rPr>
      <w:rFonts w:eastAsiaTheme="majorEastAsia" w:cstheme="majorBidi"/>
      <w:bCs/>
      <w:szCs w:val="24"/>
    </w:rPr>
  </w:style>
  <w:style w:type="paragraph" w:styleId="TOC7">
    <w:name w:val="toc 7"/>
    <w:basedOn w:val="Normal"/>
    <w:next w:val="Normal"/>
    <w:autoRedefine/>
    <w:uiPriority w:val="39"/>
    <w:rsid w:val="00AE0B1A"/>
    <w:pPr>
      <w:spacing w:after="100"/>
      <w:ind w:left="1200"/>
    </w:pPr>
  </w:style>
  <w:style w:type="paragraph" w:styleId="TOC8">
    <w:name w:val="toc 8"/>
    <w:basedOn w:val="Normal"/>
    <w:next w:val="Normal"/>
    <w:autoRedefine/>
    <w:uiPriority w:val="39"/>
    <w:rsid w:val="00AE0B1A"/>
    <w:pPr>
      <w:spacing w:after="100"/>
      <w:ind w:left="1400"/>
    </w:pPr>
  </w:style>
  <w:style w:type="paragraph" w:styleId="TOC9">
    <w:name w:val="toc 9"/>
    <w:basedOn w:val="Normal"/>
    <w:next w:val="Normal"/>
    <w:autoRedefine/>
    <w:uiPriority w:val="39"/>
    <w:rsid w:val="00AE0B1A"/>
    <w:pPr>
      <w:spacing w:after="100"/>
      <w:ind w:left="1600"/>
    </w:pPr>
  </w:style>
  <w:style w:type="numbering" w:customStyle="1" w:styleId="GAMultilevelList">
    <w:name w:val="GA Multilevel List"/>
    <w:uiPriority w:val="99"/>
    <w:rsid w:val="00AE0B1A"/>
    <w:pPr>
      <w:numPr>
        <w:numId w:val="15"/>
      </w:numPr>
    </w:pPr>
  </w:style>
  <w:style w:type="paragraph" w:customStyle="1" w:styleId="Tableheadingcentred">
    <w:name w:val="Table heading centred"/>
    <w:basedOn w:val="Tableheadingleft"/>
    <w:next w:val="BodyText"/>
    <w:rsid w:val="00AE0B1A"/>
    <w:pPr>
      <w:jc w:val="center"/>
    </w:pPr>
  </w:style>
  <w:style w:type="paragraph" w:customStyle="1" w:styleId="Tableheadingright">
    <w:name w:val="Table heading right"/>
    <w:basedOn w:val="Tableheadingcentred"/>
    <w:next w:val="BodyText"/>
    <w:rsid w:val="00AE0B1A"/>
    <w:pPr>
      <w:jc w:val="right"/>
    </w:pPr>
  </w:style>
  <w:style w:type="paragraph" w:customStyle="1" w:styleId="Tabletextcentred">
    <w:name w:val="Table text centred"/>
    <w:basedOn w:val="Tabletextleft"/>
    <w:next w:val="BodyText"/>
    <w:qFormat/>
    <w:rsid w:val="00AE0B1A"/>
    <w:pPr>
      <w:jc w:val="center"/>
    </w:pPr>
  </w:style>
  <w:style w:type="paragraph" w:customStyle="1" w:styleId="Tabletextright">
    <w:name w:val="Table text right"/>
    <w:basedOn w:val="Tabletextcentred"/>
    <w:next w:val="BodyText"/>
    <w:qFormat/>
    <w:rsid w:val="00AE0B1A"/>
    <w:pPr>
      <w:jc w:val="right"/>
    </w:pPr>
  </w:style>
  <w:style w:type="character" w:customStyle="1" w:styleId="Subscriptitalic">
    <w:name w:val="Subscript italic"/>
    <w:basedOn w:val="Subscript"/>
    <w:qFormat/>
    <w:rsid w:val="00AE0B1A"/>
    <w:rPr>
      <w:i/>
      <w:iCs/>
      <w:position w:val="-4"/>
      <w:vertAlign w:val="subscript"/>
    </w:rPr>
  </w:style>
  <w:style w:type="character" w:customStyle="1" w:styleId="SuperscriptItalic">
    <w:name w:val="Superscript Italic"/>
    <w:basedOn w:val="Superscript"/>
    <w:qFormat/>
    <w:rsid w:val="00AE0B1A"/>
    <w:rPr>
      <w:i/>
      <w:iCs/>
      <w:position w:val="0"/>
      <w:vertAlign w:val="superscript"/>
    </w:rPr>
  </w:style>
  <w:style w:type="table" w:customStyle="1" w:styleId="TableGANoHeader">
    <w:name w:val="Table GA No Header"/>
    <w:basedOn w:val="TableGAHeaderRow"/>
    <w:uiPriority w:val="99"/>
    <w:rsid w:val="00AE0B1A"/>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E0B1A"/>
    <w:pPr>
      <w:jc w:val="center"/>
    </w:pPr>
  </w:style>
  <w:style w:type="paragraph" w:customStyle="1" w:styleId="Authors">
    <w:name w:val="Authors"/>
    <w:basedOn w:val="BodyText"/>
    <w:next w:val="Figuresandimagesleft"/>
    <w:qFormat/>
    <w:rsid w:val="00725B96"/>
    <w:pPr>
      <w:spacing w:after="4920"/>
    </w:pPr>
  </w:style>
  <w:style w:type="table" w:styleId="MediumShading1">
    <w:name w:val="Medium Shading 1"/>
    <w:basedOn w:val="TableNormal"/>
    <w:uiPriority w:val="63"/>
    <w:rsid w:val="00AE0B1A"/>
    <w:pPr>
      <w:spacing w:before="180" w:after="180"/>
    </w:pPr>
    <w:rPr>
      <w:rFonts w:eastAsia="Time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rsid w:val="00AE0B1A"/>
    <w:pPr>
      <w:spacing w:before="180" w:after="180"/>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AE0B1A"/>
    <w:pPr>
      <w:spacing w:before="20" w:after="20" w:line="200" w:lineRule="atLeast"/>
    </w:pPr>
    <w:rPr>
      <w:rFonts w:eastAsia="Times"/>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AE0B1A"/>
    <w:pPr>
      <w:tabs>
        <w:tab w:val="clear" w:pos="9072"/>
        <w:tab w:val="right" w:pos="14005"/>
      </w:tabs>
    </w:pPr>
  </w:style>
  <w:style w:type="table" w:customStyle="1" w:styleId="TableGAHeaderColumn">
    <w:name w:val="Table GA Header Column"/>
    <w:basedOn w:val="TableGAHeaderRowColumn"/>
    <w:uiPriority w:val="99"/>
    <w:rsid w:val="00AE0B1A"/>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AE0B1A"/>
    <w:pPr>
      <w:pageBreakBefore/>
      <w:spacing w:line="240" w:lineRule="atLeast"/>
    </w:pPr>
    <w:rPr>
      <w:rFonts w:eastAsia="Times" w:cs="Arial"/>
      <w:b/>
      <w:kern w:val="28"/>
    </w:rPr>
  </w:style>
  <w:style w:type="character" w:customStyle="1" w:styleId="Bold">
    <w:name w:val="Bold"/>
    <w:basedOn w:val="DefaultParagraphFont"/>
    <w:qFormat/>
    <w:rsid w:val="00AE0B1A"/>
    <w:rPr>
      <w:b/>
    </w:rPr>
  </w:style>
  <w:style w:type="character" w:customStyle="1" w:styleId="Italic">
    <w:name w:val="Italic"/>
    <w:basedOn w:val="DefaultParagraphFont"/>
    <w:qFormat/>
    <w:rsid w:val="00AE0B1A"/>
    <w:rPr>
      <w:i/>
    </w:rPr>
  </w:style>
  <w:style w:type="character" w:customStyle="1" w:styleId="ReferencesItalic">
    <w:name w:val="References Italic"/>
    <w:basedOn w:val="DefaultParagraphFont"/>
    <w:qFormat/>
    <w:rsid w:val="00AE0B1A"/>
    <w:rPr>
      <w:i/>
    </w:rPr>
  </w:style>
  <w:style w:type="paragraph" w:customStyle="1" w:styleId="FooterlandscapeA3">
    <w:name w:val="Footer landscape A3"/>
    <w:basedOn w:val="Footerlandscape"/>
    <w:qFormat/>
    <w:rsid w:val="00AE0B1A"/>
    <w:pPr>
      <w:tabs>
        <w:tab w:val="clear" w:pos="14005"/>
        <w:tab w:val="right" w:pos="20979"/>
      </w:tabs>
    </w:pPr>
  </w:style>
  <w:style w:type="paragraph" w:customStyle="1" w:styleId="Tablesource">
    <w:name w:val="Table source"/>
    <w:basedOn w:val="BodyText"/>
    <w:next w:val="BodyText"/>
    <w:qFormat/>
    <w:rsid w:val="00AE0B1A"/>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qFormat/>
    <w:rsid w:val="00AE0B1A"/>
    <w:pPr>
      <w:keepNext/>
      <w:keepLines/>
      <w:pageBreakBefore/>
      <w:spacing w:before="180" w:after="1080" w:line="280" w:lineRule="atLeast"/>
      <w:outlineLvl w:val="0"/>
    </w:pPr>
    <w:rPr>
      <w:rFonts w:eastAsia="Times"/>
      <w:sz w:val="40"/>
      <w:szCs w:val="40"/>
    </w:rPr>
  </w:style>
  <w:style w:type="paragraph" w:customStyle="1" w:styleId="Headingappendix2">
    <w:name w:val="Heading appendix 2"/>
    <w:basedOn w:val="Headingappendix1base"/>
    <w:next w:val="BodyText"/>
    <w:qFormat/>
    <w:rsid w:val="00AE0B1A"/>
    <w:pPr>
      <w:pageBreakBefore w:val="0"/>
      <w:numPr>
        <w:ilvl w:val="1"/>
        <w:numId w:val="32"/>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AE0B1A"/>
    <w:pPr>
      <w:numPr>
        <w:ilvl w:val="2"/>
      </w:numPr>
      <w:outlineLvl w:val="2"/>
    </w:pPr>
    <w:rPr>
      <w:b/>
      <w:bCs/>
      <w:sz w:val="24"/>
    </w:rPr>
  </w:style>
  <w:style w:type="paragraph" w:customStyle="1" w:styleId="Headingappendix4">
    <w:name w:val="Heading appendix 4"/>
    <w:basedOn w:val="Headingappendix3"/>
    <w:next w:val="BodyText"/>
    <w:qFormat/>
    <w:rsid w:val="00AE0B1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AE0B1A"/>
    <w:pPr>
      <w:numPr>
        <w:ilvl w:val="4"/>
      </w:numPr>
      <w:outlineLvl w:val="4"/>
    </w:pPr>
    <w:rPr>
      <w:b w:val="0"/>
      <w:bCs w:val="0"/>
    </w:rPr>
  </w:style>
  <w:style w:type="paragraph" w:customStyle="1" w:styleId="Equation">
    <w:name w:val="Equation"/>
    <w:basedOn w:val="BodyText"/>
    <w:next w:val="BodyText"/>
    <w:uiPriority w:val="7"/>
    <w:qFormat/>
    <w:rsid w:val="00AE0B1A"/>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AE0B1A"/>
    <w:pPr>
      <w:spacing w:before="240" w:after="0"/>
    </w:pPr>
    <w:rPr>
      <w:b/>
      <w:kern w:val="28"/>
    </w:rPr>
  </w:style>
  <w:style w:type="character" w:styleId="SubtleReference">
    <w:name w:val="Subtle Reference"/>
    <w:aliases w:val="SR-DO NOT USE"/>
    <w:uiPriority w:val="31"/>
    <w:qFormat/>
    <w:rsid w:val="00AE0B1A"/>
  </w:style>
  <w:style w:type="character" w:styleId="SubtleEmphasis">
    <w:name w:val="Subtle Emphasis"/>
    <w:aliases w:val="SE-DO NOT USE"/>
    <w:uiPriority w:val="19"/>
    <w:qFormat/>
    <w:rsid w:val="00AE0B1A"/>
  </w:style>
  <w:style w:type="character" w:styleId="PlaceholderText">
    <w:name w:val="Placeholder Text"/>
    <w:aliases w:val="Pl-DO NOT USE"/>
    <w:uiPriority w:val="99"/>
    <w:semiHidden/>
    <w:rsid w:val="00AE0B1A"/>
  </w:style>
  <w:style w:type="character" w:styleId="IntenseReference">
    <w:name w:val="Intense Reference"/>
    <w:aliases w:val="IR-DO NOT USE"/>
    <w:uiPriority w:val="32"/>
    <w:qFormat/>
    <w:rsid w:val="00AE0B1A"/>
  </w:style>
  <w:style w:type="character" w:styleId="IntenseEmphasis">
    <w:name w:val="Intense Emphasis"/>
    <w:aliases w:val="IE-DO NOT USE"/>
    <w:uiPriority w:val="21"/>
    <w:qFormat/>
    <w:rsid w:val="00AE0B1A"/>
  </w:style>
  <w:style w:type="character" w:styleId="EndnoteReference">
    <w:name w:val="endnote reference"/>
    <w:aliases w:val="ERe-DO NOT USE"/>
    <w:semiHidden/>
    <w:rsid w:val="00AE0B1A"/>
  </w:style>
  <w:style w:type="paragraph" w:styleId="BlockText">
    <w:name w:val="Block Text"/>
    <w:aliases w:val="BLT-DO NOT USE,BdT-DO NOT USE"/>
    <w:basedOn w:val="BalloonText"/>
    <w:semiHidden/>
    <w:rsid w:val="00AE0B1A"/>
  </w:style>
  <w:style w:type="paragraph" w:styleId="BodyTextFirstIndent">
    <w:name w:val="Body Text First Indent"/>
    <w:aliases w:val="B1-DO NOT USE,Bi-DO NOT USE"/>
    <w:basedOn w:val="BodyText3"/>
    <w:link w:val="BodyTextFirstIndentChar"/>
    <w:semiHidden/>
    <w:rsid w:val="00AE0B1A"/>
  </w:style>
  <w:style w:type="character" w:customStyle="1" w:styleId="BodyTextFirstIndentChar">
    <w:name w:val="Body Text First Indent Char"/>
    <w:aliases w:val="B1-DO NOT USE Char,Bi-DO NOT USE Char"/>
    <w:basedOn w:val="BodyTextChar"/>
    <w:link w:val="BodyTextFirstIndent"/>
    <w:semiHidden/>
    <w:rsid w:val="00AE0B1A"/>
    <w:rPr>
      <w:rFonts w:ascii="Arial" w:eastAsia="Times" w:hAnsi="Arial" w:cs="Arial"/>
    </w:rPr>
  </w:style>
  <w:style w:type="character" w:styleId="FootnoteReference">
    <w:name w:val="footnote reference"/>
    <w:basedOn w:val="DefaultParagraphFont"/>
    <w:semiHidden/>
    <w:rsid w:val="00AE0B1A"/>
    <w:rPr>
      <w:sz w:val="20"/>
      <w:vertAlign w:val="superscript"/>
    </w:rPr>
  </w:style>
  <w:style w:type="numbering" w:customStyle="1" w:styleId="GAAppendices">
    <w:name w:val="GA Appendices"/>
    <w:uiPriority w:val="99"/>
    <w:rsid w:val="00AE0B1A"/>
    <w:pPr>
      <w:numPr>
        <w:numId w:val="18"/>
      </w:numPr>
    </w:pPr>
  </w:style>
  <w:style w:type="paragraph" w:styleId="BodyTextIndent">
    <w:name w:val="Body Text Indent"/>
    <w:aliases w:val="B3-DO NOT USE"/>
    <w:basedOn w:val="BodyTextFirstIndent2"/>
    <w:link w:val="BodyTextIndentChar"/>
    <w:semiHidden/>
    <w:rsid w:val="00AE0B1A"/>
  </w:style>
  <w:style w:type="character" w:customStyle="1" w:styleId="BodyTextIndentChar">
    <w:name w:val="Body Text Indent Char"/>
    <w:aliases w:val="B3-DO NOT USE Char"/>
    <w:basedOn w:val="DefaultParagraphFont"/>
    <w:link w:val="BodyTextIndent"/>
    <w:semiHidden/>
    <w:rsid w:val="00AE0B1A"/>
    <w:rPr>
      <w:rFonts w:ascii="Arial" w:eastAsia="Times" w:hAnsi="Arial" w:cs="Arial"/>
    </w:rPr>
  </w:style>
  <w:style w:type="paragraph" w:styleId="BodyTextFirstIndent2">
    <w:name w:val="Body Text First Indent 2"/>
    <w:aliases w:val="B2-DO NOT USE,Bi2-DO NOT USE"/>
    <w:basedOn w:val="BodyTextFirstIndent"/>
    <w:link w:val="BodyTextFirstIndent2Char"/>
    <w:semiHidden/>
    <w:rsid w:val="00AE0B1A"/>
  </w:style>
  <w:style w:type="character" w:customStyle="1" w:styleId="BodyTextFirstIndent2Char">
    <w:name w:val="Body Text First Indent 2 Char"/>
    <w:aliases w:val="B2-DO NOT USE Char,Bi2-DO NOT USE Char"/>
    <w:basedOn w:val="BodyTextIndentChar"/>
    <w:link w:val="BodyTextFirstIndent2"/>
    <w:semiHidden/>
    <w:rsid w:val="00AE0B1A"/>
    <w:rPr>
      <w:rFonts w:ascii="Arial" w:eastAsia="Times" w:hAnsi="Arial" w:cs="Arial"/>
    </w:rPr>
  </w:style>
  <w:style w:type="paragraph" w:styleId="BodyTextIndent2">
    <w:name w:val="Body Text Indent 2"/>
    <w:aliases w:val="B4-DO NOT USE"/>
    <w:basedOn w:val="BodyTextIndent"/>
    <w:link w:val="BodyTextIndent2Char"/>
    <w:semiHidden/>
    <w:rsid w:val="00AE0B1A"/>
  </w:style>
  <w:style w:type="character" w:customStyle="1" w:styleId="BodyTextIndent2Char">
    <w:name w:val="Body Text Indent 2 Char"/>
    <w:aliases w:val="B4-DO NOT USE Char"/>
    <w:basedOn w:val="DefaultParagraphFont"/>
    <w:link w:val="BodyTextIndent2"/>
    <w:semiHidden/>
    <w:rsid w:val="00AE0B1A"/>
    <w:rPr>
      <w:rFonts w:ascii="Arial" w:eastAsia="Times" w:hAnsi="Arial" w:cs="Arial"/>
    </w:rPr>
  </w:style>
  <w:style w:type="paragraph" w:styleId="BodyTextIndent3">
    <w:name w:val="Body Text Indent 3"/>
    <w:aliases w:val="B5-DO NOT USE"/>
    <w:basedOn w:val="BodyTextIndent2"/>
    <w:link w:val="BodyTextIndent3Char"/>
    <w:semiHidden/>
    <w:rsid w:val="00AE0B1A"/>
  </w:style>
  <w:style w:type="character" w:customStyle="1" w:styleId="BodyTextIndent3Char">
    <w:name w:val="Body Text Indent 3 Char"/>
    <w:aliases w:val="B5-DO NOT USE Char"/>
    <w:basedOn w:val="DefaultParagraphFont"/>
    <w:link w:val="BodyTextIndent3"/>
    <w:semiHidden/>
    <w:rsid w:val="00AE0B1A"/>
    <w:rPr>
      <w:rFonts w:ascii="Arial" w:eastAsia="Times" w:hAnsi="Arial" w:cs="Arial"/>
    </w:rPr>
  </w:style>
  <w:style w:type="paragraph" w:styleId="BalloonText">
    <w:name w:val="Balloon Text"/>
    <w:aliases w:val="B6-DO NOT USE,BlT-DO NOT USE"/>
    <w:basedOn w:val="BodyTextIndent3"/>
    <w:link w:val="BalloonTextChar"/>
    <w:uiPriority w:val="99"/>
    <w:semiHidden/>
    <w:rsid w:val="00AE0B1A"/>
  </w:style>
  <w:style w:type="character" w:customStyle="1" w:styleId="BalloonTextChar">
    <w:name w:val="Balloon Text Char"/>
    <w:aliases w:val="B6-DO NOT USE Char,BlT-DO NOT USE Char"/>
    <w:basedOn w:val="DefaultParagraphFont"/>
    <w:link w:val="BalloonText"/>
    <w:uiPriority w:val="99"/>
    <w:semiHidden/>
    <w:rsid w:val="00AE0B1A"/>
    <w:rPr>
      <w:rFonts w:ascii="Arial" w:eastAsia="Times" w:hAnsi="Arial" w:cs="Arial"/>
    </w:rPr>
  </w:style>
  <w:style w:type="character" w:customStyle="1" w:styleId="BoldItalic">
    <w:name w:val="Bold Italic"/>
    <w:basedOn w:val="DefaultParagraphFont"/>
    <w:rsid w:val="00AE0B1A"/>
    <w:rPr>
      <w:b/>
      <w:i/>
    </w:rPr>
  </w:style>
  <w:style w:type="paragraph" w:customStyle="1" w:styleId="Tablenotes">
    <w:name w:val="Table notes"/>
    <w:basedOn w:val="Tablesource"/>
    <w:qFormat/>
    <w:rsid w:val="00AE0B1A"/>
    <w:pPr>
      <w:tabs>
        <w:tab w:val="left" w:pos="113"/>
      </w:tabs>
      <w:spacing w:before="0"/>
      <w:ind w:left="113" w:hanging="113"/>
    </w:pPr>
    <w:rPr>
      <w:rFonts w:cs="Times New Roman"/>
      <w:szCs w:val="20"/>
    </w:rPr>
  </w:style>
  <w:style w:type="paragraph" w:customStyle="1" w:styleId="ExtractL1authornames">
    <w:name w:val="Extract L1 author names"/>
    <w:basedOn w:val="BodyText"/>
    <w:rsid w:val="00AE0B1A"/>
    <w:pPr>
      <w:spacing w:before="120" w:after="60" w:line="240" w:lineRule="auto"/>
    </w:pPr>
    <w:rPr>
      <w:rFonts w:eastAsia="Times New Roman" w:cs="Times New Roman"/>
    </w:rPr>
  </w:style>
  <w:style w:type="paragraph" w:customStyle="1" w:styleId="ExtractL2authorlocation">
    <w:name w:val="Extract L2 author location"/>
    <w:basedOn w:val="BodyText"/>
    <w:rsid w:val="00AE0B1A"/>
    <w:pPr>
      <w:tabs>
        <w:tab w:val="left" w:pos="170"/>
      </w:tabs>
      <w:spacing w:before="60" w:after="0" w:line="240" w:lineRule="auto"/>
      <w:ind w:left="170" w:hanging="170"/>
    </w:pPr>
    <w:rPr>
      <w:sz w:val="16"/>
    </w:rPr>
  </w:style>
  <w:style w:type="paragraph" w:customStyle="1" w:styleId="ExtractL3authoremail">
    <w:name w:val="Extract L3 author email"/>
    <w:basedOn w:val="BodyText"/>
    <w:rsid w:val="00AE0B1A"/>
    <w:pPr>
      <w:spacing w:before="120" w:after="480" w:line="240" w:lineRule="auto"/>
    </w:pPr>
    <w:rPr>
      <w:rFonts w:eastAsia="Times New Roman" w:cs="Times New Roman"/>
    </w:rPr>
  </w:style>
  <w:style w:type="paragraph" w:customStyle="1" w:styleId="Contentsheading">
    <w:name w:val="Contents heading"/>
    <w:next w:val="BodyText"/>
    <w:semiHidden/>
    <w:locked/>
    <w:rsid w:val="00AE0B1A"/>
    <w:pPr>
      <w:spacing w:before="180" w:after="960"/>
      <w:outlineLvl w:val="0"/>
    </w:pPr>
    <w:rPr>
      <w:sz w:val="40"/>
    </w:rPr>
  </w:style>
  <w:style w:type="paragraph" w:customStyle="1" w:styleId="Contentsbodytext">
    <w:name w:val="Contents body text"/>
    <w:basedOn w:val="BodyText"/>
    <w:semiHidden/>
    <w:locked/>
    <w:rsid w:val="00AE0B1A"/>
    <w:pPr>
      <w:tabs>
        <w:tab w:val="right" w:leader="dot" w:pos="8222"/>
      </w:tabs>
      <w:jc w:val="both"/>
    </w:pPr>
    <w:rPr>
      <w:rFonts w:eastAsia="Times New Roman"/>
    </w:rPr>
  </w:style>
  <w:style w:type="paragraph" w:customStyle="1" w:styleId="Contentsbodyindented">
    <w:name w:val="Contents body indented"/>
    <w:basedOn w:val="BodyText"/>
    <w:semiHidden/>
    <w:locked/>
    <w:rsid w:val="00AE0B1A"/>
    <w:pPr>
      <w:ind w:left="284"/>
    </w:pPr>
  </w:style>
  <w:style w:type="paragraph" w:customStyle="1" w:styleId="Bulletlevel1">
    <w:name w:val="Bullet level 1"/>
    <w:basedOn w:val="BodyText"/>
    <w:link w:val="Bulletlevel1Char"/>
    <w:qFormat/>
    <w:rsid w:val="00AE0B1A"/>
    <w:pPr>
      <w:tabs>
        <w:tab w:val="num" w:pos="567"/>
      </w:tabs>
      <w:spacing w:before="60" w:after="60"/>
      <w:ind w:left="567" w:hanging="283"/>
    </w:pPr>
  </w:style>
  <w:style w:type="paragraph" w:customStyle="1" w:styleId="Captions">
    <w:name w:val="Captions"/>
    <w:basedOn w:val="BodyText"/>
    <w:next w:val="BodyText"/>
    <w:semiHidden/>
    <w:locked/>
    <w:rsid w:val="00AE0B1A"/>
    <w:pPr>
      <w:spacing w:before="60" w:after="360"/>
    </w:pPr>
    <w:rPr>
      <w:rFonts w:eastAsia="Times New Roman"/>
      <w:i/>
      <w:sz w:val="18"/>
      <w:szCs w:val="18"/>
    </w:rPr>
  </w:style>
  <w:style w:type="paragraph" w:customStyle="1" w:styleId="Bulletlevel2">
    <w:name w:val="Bullet level 2"/>
    <w:basedOn w:val="Bulletlevel1"/>
    <w:qFormat/>
    <w:rsid w:val="00AE0B1A"/>
    <w:pPr>
      <w:tabs>
        <w:tab w:val="clear" w:pos="567"/>
        <w:tab w:val="num" w:pos="851"/>
        <w:tab w:val="num" w:pos="1080"/>
      </w:tabs>
      <w:ind w:left="851" w:hanging="284"/>
    </w:pPr>
  </w:style>
  <w:style w:type="character" w:customStyle="1" w:styleId="Instructions">
    <w:name w:val="Instructions"/>
    <w:basedOn w:val="DefaultParagraphFont"/>
    <w:semiHidden/>
    <w:locked/>
    <w:rsid w:val="00AE0B1A"/>
    <w:rPr>
      <w:rFonts w:ascii="Arial" w:hAnsi="Arial" w:cs="Times New Roman"/>
      <w:b/>
      <w:bCs/>
      <w:color w:val="FF0000"/>
      <w:sz w:val="16"/>
    </w:rPr>
  </w:style>
  <w:style w:type="character" w:customStyle="1" w:styleId="ContentsbodytextChar">
    <w:name w:val="Contents body text Char"/>
    <w:basedOn w:val="DefaultParagraphFont"/>
    <w:semiHidden/>
    <w:locked/>
    <w:rsid w:val="00AE0B1A"/>
    <w:rPr>
      <w:rFonts w:cs="Times New Roman"/>
      <w:sz w:val="21"/>
      <w:lang w:val="en-AU" w:eastAsia="en-AU" w:bidi="ar-SA"/>
    </w:rPr>
  </w:style>
  <w:style w:type="paragraph" w:customStyle="1" w:styleId="BodyTextbeforeBullet">
    <w:name w:val="Body Text before Bullet"/>
    <w:basedOn w:val="BodyText"/>
    <w:next w:val="Bulletlevel1"/>
    <w:semiHidden/>
    <w:locked/>
    <w:rsid w:val="00AE0B1A"/>
    <w:pPr>
      <w:spacing w:after="0"/>
    </w:pPr>
  </w:style>
  <w:style w:type="character" w:customStyle="1" w:styleId="Bulletlevel1Char">
    <w:name w:val="Bullet level 1 Char"/>
    <w:basedOn w:val="BodyTextChar"/>
    <w:link w:val="Bulletlevel1"/>
    <w:locked/>
    <w:rsid w:val="00AE0B1A"/>
    <w:rPr>
      <w:rFonts w:ascii="Arial" w:eastAsia="Times" w:hAnsi="Arial" w:cs="Arial"/>
    </w:rPr>
  </w:style>
  <w:style w:type="paragraph" w:customStyle="1" w:styleId="Bulletlevel1numbered">
    <w:name w:val="Bullet level 1 numbered"/>
    <w:basedOn w:val="BodyText"/>
    <w:link w:val="Bulletlevel1numberedChar"/>
    <w:qFormat/>
    <w:rsid w:val="00AE0B1A"/>
    <w:pPr>
      <w:tabs>
        <w:tab w:val="num" w:pos="709"/>
      </w:tabs>
      <w:spacing w:before="60" w:after="60"/>
      <w:ind w:left="568" w:hanging="284"/>
    </w:pPr>
  </w:style>
  <w:style w:type="character" w:customStyle="1" w:styleId="Bulletlevel1numberedChar">
    <w:name w:val="Bullet level 1 numbered Char"/>
    <w:basedOn w:val="Bulletlevel1Char"/>
    <w:link w:val="Bulletlevel1numbered"/>
    <w:locked/>
    <w:rsid w:val="00AE0B1A"/>
    <w:rPr>
      <w:rFonts w:ascii="Arial" w:eastAsia="Times" w:hAnsi="Arial" w:cs="Arial"/>
    </w:rPr>
  </w:style>
  <w:style w:type="paragraph" w:customStyle="1" w:styleId="Bulletlevel2numbered">
    <w:name w:val="Bullet level 2 numbered"/>
    <w:basedOn w:val="Bulletlevel1numbered"/>
    <w:qFormat/>
    <w:rsid w:val="00AE0B1A"/>
    <w:pPr>
      <w:tabs>
        <w:tab w:val="clear" w:pos="709"/>
        <w:tab w:val="num" w:pos="851"/>
        <w:tab w:val="num" w:pos="1440"/>
      </w:tabs>
      <w:ind w:left="851" w:hanging="360"/>
    </w:pPr>
  </w:style>
  <w:style w:type="paragraph" w:customStyle="1" w:styleId="Author">
    <w:name w:val="Author"/>
    <w:basedOn w:val="Normal"/>
    <w:rsid w:val="00AE0B1A"/>
    <w:pPr>
      <w:spacing w:before="0" w:after="0" w:line="240" w:lineRule="auto"/>
    </w:pPr>
    <w:rPr>
      <w:rFonts w:ascii="Times New Roman" w:hAnsi="Times New Roman"/>
      <w:b/>
      <w:sz w:val="24"/>
      <w:szCs w:val="24"/>
      <w:lang w:val="en-US" w:eastAsia="en-US"/>
    </w:rPr>
  </w:style>
  <w:style w:type="paragraph" w:customStyle="1" w:styleId="FiguresandImagesLeft0">
    <w:name w:val="Figures and Images Left"/>
    <w:basedOn w:val="BodyText"/>
    <w:next w:val="Normal"/>
    <w:link w:val="FiguresandImagesLeftChar0"/>
    <w:qFormat/>
    <w:rsid w:val="00AE0B1A"/>
    <w:pPr>
      <w:keepNext/>
      <w:spacing w:before="480" w:after="80" w:line="160" w:lineRule="atLeast"/>
    </w:pPr>
  </w:style>
  <w:style w:type="character" w:customStyle="1" w:styleId="FiguresandImagesLeftChar0">
    <w:name w:val="Figures and Images Left Char"/>
    <w:basedOn w:val="BodyTextChar"/>
    <w:link w:val="FiguresandImagesLeft0"/>
    <w:locked/>
    <w:rsid w:val="00AE0B1A"/>
    <w:rPr>
      <w:rFonts w:ascii="Arial" w:eastAsia="Times" w:hAnsi="Arial" w:cs="Arial"/>
    </w:rPr>
  </w:style>
  <w:style w:type="numbering" w:customStyle="1" w:styleId="Bulletnew">
    <w:name w:val="Bullet new"/>
    <w:uiPriority w:val="99"/>
    <w:rsid w:val="00AE0B1A"/>
    <w:pPr>
      <w:numPr>
        <w:numId w:val="23"/>
      </w:numPr>
    </w:pPr>
  </w:style>
  <w:style w:type="numbering" w:customStyle="1" w:styleId="BulletsNumbered">
    <w:name w:val="Bullets Numbered"/>
    <w:uiPriority w:val="99"/>
    <w:rsid w:val="00AE0B1A"/>
    <w:pPr>
      <w:numPr>
        <w:numId w:val="21"/>
      </w:numPr>
    </w:pPr>
  </w:style>
  <w:style w:type="numbering" w:customStyle="1" w:styleId="BulletsGA">
    <w:name w:val="Bullets GA"/>
    <w:uiPriority w:val="99"/>
    <w:rsid w:val="00AE0B1A"/>
    <w:pPr>
      <w:numPr>
        <w:numId w:val="24"/>
      </w:numPr>
    </w:pPr>
  </w:style>
  <w:style w:type="numbering" w:customStyle="1" w:styleId="Bullets">
    <w:name w:val="Bullets"/>
    <w:uiPriority w:val="99"/>
    <w:rsid w:val="00AE0B1A"/>
    <w:pPr>
      <w:numPr>
        <w:numId w:val="22"/>
      </w:numPr>
    </w:pPr>
  </w:style>
  <w:style w:type="numbering" w:customStyle="1" w:styleId="HeadingsNumbered">
    <w:name w:val="Headings Numbered"/>
    <w:uiPriority w:val="99"/>
    <w:rsid w:val="00AE0B1A"/>
    <w:pPr>
      <w:numPr>
        <w:numId w:val="20"/>
      </w:numPr>
    </w:pPr>
  </w:style>
  <w:style w:type="table" w:customStyle="1" w:styleId="TableGAHeaderRow1">
    <w:name w:val="Table GA Header Row1"/>
    <w:basedOn w:val="TableNormal"/>
    <w:rsid w:val="00AE0B1A"/>
    <w:pPr>
      <w:spacing w:before="180" w:after="180" w:line="280" w:lineRule="atLeast"/>
    </w:pPr>
    <w:rPr>
      <w:rFonts w:eastAsia="Times"/>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paragraph" w:customStyle="1" w:styleId="Default">
    <w:name w:val="Default"/>
    <w:rsid w:val="00AE0B1A"/>
    <w:pPr>
      <w:autoSpaceDE w:val="0"/>
      <w:autoSpaceDN w:val="0"/>
      <w:adjustRightInd w:val="0"/>
    </w:pPr>
    <w:rPr>
      <w:rFonts w:ascii="Calibri" w:hAnsi="Calibri" w:cs="Calibri"/>
      <w:color w:val="000000"/>
      <w:sz w:val="24"/>
      <w:szCs w:val="24"/>
    </w:rPr>
  </w:style>
  <w:style w:type="character" w:customStyle="1" w:styleId="authors0">
    <w:name w:val="authors"/>
    <w:basedOn w:val="DefaultParagraphFont"/>
    <w:rsid w:val="00AE0B1A"/>
  </w:style>
  <w:style w:type="paragraph" w:styleId="Revision">
    <w:name w:val="Revision"/>
    <w:hidden/>
    <w:uiPriority w:val="99"/>
    <w:rsid w:val="00AE0B1A"/>
    <w:rPr>
      <w:rFonts w:eastAsia="Times" w:cs="Arial"/>
    </w:rPr>
  </w:style>
  <w:style w:type="paragraph" w:customStyle="1" w:styleId="BulletList">
    <w:name w:val="Bullet List"/>
    <w:basedOn w:val="BodyText"/>
    <w:semiHidden/>
    <w:qFormat/>
    <w:locked/>
    <w:rsid w:val="00AE0B1A"/>
    <w:pPr>
      <w:numPr>
        <w:numId w:val="29"/>
      </w:numPr>
      <w:spacing w:after="85"/>
    </w:pPr>
    <w:rPr>
      <w:rFonts w:eastAsia="Times New Roman"/>
    </w:rPr>
  </w:style>
  <w:style w:type="paragraph" w:customStyle="1" w:styleId="NumberedList">
    <w:name w:val="Numbered List"/>
    <w:basedOn w:val="BodyText"/>
    <w:semiHidden/>
    <w:qFormat/>
    <w:locked/>
    <w:rsid w:val="00AE0B1A"/>
    <w:pPr>
      <w:numPr>
        <w:numId w:val="30"/>
      </w:numPr>
      <w:tabs>
        <w:tab w:val="num" w:pos="360"/>
      </w:tabs>
      <w:spacing w:after="85"/>
      <w:ind w:left="0" w:firstLine="0"/>
    </w:pPr>
    <w:rPr>
      <w:rFonts w:eastAsia="Times New Roman"/>
    </w:rPr>
  </w:style>
  <w:style w:type="paragraph" w:customStyle="1" w:styleId="TableDataCell">
    <w:name w:val="Table Data Cell"/>
    <w:basedOn w:val="TabeHeaderCell"/>
    <w:semiHidden/>
    <w:locked/>
    <w:rsid w:val="00AE0B1A"/>
    <w:rPr>
      <w:b w:val="0"/>
    </w:rPr>
  </w:style>
  <w:style w:type="paragraph" w:customStyle="1" w:styleId="TabeHeaderCell">
    <w:name w:val="Tabe Header Cell"/>
    <w:basedOn w:val="BodyText"/>
    <w:next w:val="Normal"/>
    <w:semiHidden/>
    <w:qFormat/>
    <w:locked/>
    <w:rsid w:val="00AE0B1A"/>
    <w:pPr>
      <w:tabs>
        <w:tab w:val="left" w:pos="2040"/>
      </w:tabs>
      <w:spacing w:after="57"/>
    </w:pPr>
    <w:rPr>
      <w:rFonts w:eastAsia="Times New Roman"/>
      <w:b/>
      <w:sz w:val="18"/>
    </w:rPr>
  </w:style>
  <w:style w:type="table" w:customStyle="1" w:styleId="113">
    <w:name w:val="113"/>
    <w:uiPriority w:val="99"/>
    <w:rsid w:val="00AE0B1A"/>
    <w:pPr>
      <w:widowControl w:val="0"/>
      <w:autoSpaceDE w:val="0"/>
      <w:autoSpaceDN w:val="0"/>
      <w:adjustRightInd w:val="0"/>
    </w:pPr>
    <w:rPr>
      <w:sz w:val="24"/>
      <w:szCs w:val="24"/>
      <w:lang w:val="en-US" w:eastAsia="ja-JP"/>
    </w:rPr>
    <w:tblPr>
      <w:tblInd w:w="11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top w:w="0" w:type="dxa"/>
        <w:left w:w="108" w:type="dxa"/>
        <w:bottom w:w="0" w:type="dxa"/>
        <w:right w:w="108" w:type="dxa"/>
      </w:tblCellMar>
    </w:tblPr>
    <w:trPr>
      <w:tblHeader/>
    </w:trPr>
  </w:style>
  <w:style w:type="paragraph" w:customStyle="1" w:styleId="Bibliographicref">
    <w:name w:val="Bibliographic ref"/>
    <w:basedOn w:val="BodyText"/>
    <w:next w:val="BodyText"/>
    <w:link w:val="BibliographicrefChar"/>
    <w:qFormat/>
    <w:rsid w:val="00AE0B1A"/>
    <w:pPr>
      <w:pBdr>
        <w:top w:val="single" w:sz="4" w:space="1" w:color="808080"/>
        <w:left w:val="single" w:sz="4" w:space="4" w:color="808080"/>
        <w:bottom w:val="single" w:sz="4" w:space="1" w:color="808080"/>
        <w:right w:val="single" w:sz="4" w:space="4" w:color="808080"/>
      </w:pBdr>
      <w:spacing w:before="360" w:after="160"/>
    </w:pPr>
  </w:style>
  <w:style w:type="character" w:customStyle="1" w:styleId="BibliographicrefChar">
    <w:name w:val="Bibliographic ref Char"/>
    <w:basedOn w:val="BodyTextChar"/>
    <w:link w:val="Bibliographicref"/>
    <w:locked/>
    <w:rsid w:val="00AE0B1A"/>
    <w:rPr>
      <w:rFonts w:ascii="Arial" w:eastAsia="Times" w:hAnsi="Arial" w:cs="Arial"/>
    </w:rPr>
  </w:style>
  <w:style w:type="paragraph" w:customStyle="1" w:styleId="FiguresandImagescentred0">
    <w:name w:val="Figures and Images centred"/>
    <w:basedOn w:val="FiguresandImagesLeft0"/>
    <w:qFormat/>
    <w:rsid w:val="00AE0B1A"/>
    <w:pPr>
      <w:jc w:val="center"/>
    </w:pPr>
    <w:rPr>
      <w:rFonts w:eastAsia="Times New Roman"/>
    </w:rPr>
  </w:style>
  <w:style w:type="paragraph" w:customStyle="1" w:styleId="Heading1numbered">
    <w:name w:val="Heading 1 numbered"/>
    <w:next w:val="BodyText"/>
    <w:link w:val="Heading1numberedChar"/>
    <w:qFormat/>
    <w:rsid w:val="00AE0B1A"/>
    <w:pPr>
      <w:keepNext/>
      <w:keepLines/>
      <w:pageBreakBefore/>
      <w:spacing w:after="1080"/>
      <w:outlineLvl w:val="0"/>
    </w:pPr>
    <w:rPr>
      <w:rFonts w:eastAsia="Times" w:cs="Arial"/>
      <w:kern w:val="28"/>
      <w:sz w:val="40"/>
    </w:rPr>
  </w:style>
  <w:style w:type="character" w:customStyle="1" w:styleId="Heading1numberedChar">
    <w:name w:val="Heading 1 numbered Char"/>
    <w:basedOn w:val="Heading1Char"/>
    <w:link w:val="Heading1numbered"/>
    <w:locked/>
    <w:rsid w:val="00AE0B1A"/>
    <w:rPr>
      <w:rFonts w:ascii="Arial" w:eastAsia="Times" w:hAnsi="Arial" w:cs="Arial"/>
      <w:kern w:val="28"/>
      <w:sz w:val="40"/>
    </w:rPr>
  </w:style>
  <w:style w:type="paragraph" w:customStyle="1" w:styleId="Heading2numbered">
    <w:name w:val="Heading 2 numbered"/>
    <w:basedOn w:val="Heading1numbered"/>
    <w:next w:val="BodyText"/>
    <w:link w:val="Heading2numberedChar"/>
    <w:qFormat/>
    <w:rsid w:val="00AE0B1A"/>
    <w:pPr>
      <w:pageBreakBefore w:val="0"/>
      <w:spacing w:before="480" w:after="180"/>
      <w:outlineLvl w:val="1"/>
    </w:pPr>
    <w:rPr>
      <w:sz w:val="30"/>
      <w:szCs w:val="28"/>
    </w:rPr>
  </w:style>
  <w:style w:type="character" w:customStyle="1" w:styleId="Heading2numberedChar">
    <w:name w:val="Heading 2 numbered Char"/>
    <w:basedOn w:val="Heading1numberedChar"/>
    <w:link w:val="Heading2numbered"/>
    <w:locked/>
    <w:rsid w:val="00AE0B1A"/>
    <w:rPr>
      <w:rFonts w:ascii="Arial" w:eastAsia="Times" w:hAnsi="Arial" w:cs="Arial"/>
      <w:kern w:val="28"/>
      <w:sz w:val="30"/>
      <w:szCs w:val="28"/>
    </w:rPr>
  </w:style>
  <w:style w:type="paragraph" w:customStyle="1" w:styleId="Heading3numbered">
    <w:name w:val="Heading 3 numbered"/>
    <w:basedOn w:val="Heading2numbered"/>
    <w:next w:val="BodyText"/>
    <w:link w:val="Heading3numberedChar"/>
    <w:qFormat/>
    <w:rsid w:val="00AE0B1A"/>
    <w:pPr>
      <w:numPr>
        <w:ilvl w:val="2"/>
      </w:numPr>
      <w:outlineLvl w:val="2"/>
    </w:pPr>
    <w:rPr>
      <w:rFonts w:cs="Lucida Sans Unicode"/>
      <w:b/>
      <w:sz w:val="24"/>
      <w:szCs w:val="24"/>
    </w:rPr>
  </w:style>
  <w:style w:type="character" w:customStyle="1" w:styleId="Heading3numberedChar">
    <w:name w:val="Heading 3 numbered Char"/>
    <w:basedOn w:val="Heading2numberedChar"/>
    <w:link w:val="Heading3numbered"/>
    <w:locked/>
    <w:rsid w:val="00AE0B1A"/>
    <w:rPr>
      <w:rFonts w:ascii="Arial" w:eastAsia="Times" w:hAnsi="Arial" w:cs="Lucida Sans Unicode"/>
      <w:b/>
      <w:kern w:val="28"/>
      <w:sz w:val="24"/>
      <w:szCs w:val="24"/>
    </w:rPr>
  </w:style>
  <w:style w:type="paragraph" w:customStyle="1" w:styleId="Heading4numbered">
    <w:name w:val="Heading 4 numbered"/>
    <w:basedOn w:val="Heading3numbered"/>
    <w:next w:val="BodyText"/>
    <w:link w:val="Heading4numberedChar"/>
    <w:qFormat/>
    <w:rsid w:val="00AE0B1A"/>
    <w:pPr>
      <w:numPr>
        <w:ilvl w:val="3"/>
      </w:numPr>
      <w:spacing w:before="360"/>
      <w:outlineLvl w:val="3"/>
    </w:pPr>
    <w:rPr>
      <w:i/>
      <w:sz w:val="22"/>
      <w:szCs w:val="22"/>
    </w:rPr>
  </w:style>
  <w:style w:type="character" w:customStyle="1" w:styleId="Heading4numberedChar">
    <w:name w:val="Heading 4 numbered Char"/>
    <w:basedOn w:val="Heading4Char"/>
    <w:link w:val="Heading4numbered"/>
    <w:locked/>
    <w:rsid w:val="00AE0B1A"/>
    <w:rPr>
      <w:rFonts w:ascii="Arial" w:eastAsia="Times" w:hAnsi="Arial" w:cs="Lucida Sans Unicode"/>
      <w:b/>
      <w:i/>
      <w:kern w:val="28"/>
      <w:sz w:val="22"/>
      <w:szCs w:val="22"/>
    </w:rPr>
  </w:style>
  <w:style w:type="paragraph" w:customStyle="1" w:styleId="Heading5numbered">
    <w:name w:val="Heading 5 numbered"/>
    <w:basedOn w:val="Heading4numbered"/>
    <w:next w:val="BodyText"/>
    <w:rsid w:val="00AE0B1A"/>
    <w:pPr>
      <w:numPr>
        <w:ilvl w:val="4"/>
      </w:numPr>
      <w:outlineLvl w:val="4"/>
    </w:pPr>
    <w:rPr>
      <w:b w:val="0"/>
    </w:rPr>
  </w:style>
  <w:style w:type="paragraph" w:customStyle="1" w:styleId="StyleBodyTextLinespacingAtleast6pt">
    <w:name w:val="Style Body Text + Line spacing:  At least 6 pt"/>
    <w:basedOn w:val="BodyText"/>
    <w:next w:val="BodyText"/>
    <w:semiHidden/>
    <w:locked/>
    <w:rsid w:val="00AE0B1A"/>
    <w:rPr>
      <w:rFonts w:eastAsia="Times New Roman"/>
    </w:rPr>
  </w:style>
  <w:style w:type="paragraph" w:customStyle="1" w:styleId="StyleHeading4numberedNotBoldNotItalic">
    <w:name w:val="Style Heading 4 numbered + Not Bold Not Italic"/>
    <w:basedOn w:val="Head4nonumbers"/>
    <w:semiHidden/>
    <w:locked/>
    <w:rsid w:val="00AE0B1A"/>
    <w:rPr>
      <w:rFonts w:eastAsia="Times New Roman"/>
      <w:b w:val="0"/>
    </w:rPr>
  </w:style>
  <w:style w:type="paragraph" w:customStyle="1" w:styleId="StyleHeads3NumberedNotBold">
    <w:name w:val="Style Heads 3 Numbered + Not Bold"/>
    <w:basedOn w:val="Head3nonumbers"/>
    <w:semiHidden/>
    <w:locked/>
    <w:rsid w:val="00AE0B1A"/>
    <w:rPr>
      <w:rFonts w:eastAsia="Times New Roman"/>
    </w:rPr>
  </w:style>
  <w:style w:type="table" w:customStyle="1" w:styleId="TableStyleGAHeaderRowColumn">
    <w:name w:val="Table Style GA Header Row &amp; Column"/>
    <w:uiPriority w:val="99"/>
    <w:rsid w:val="00AE0B1A"/>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rFonts w:cs="Times New Roman"/>
        <w:b/>
        <w:color w:val="FFFFFF"/>
      </w:rPr>
      <w:tblPr/>
      <w:tcPr>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rFonts w:cs="Times New Roman"/>
        <w:color w:val="FFFFFF"/>
      </w:rPr>
      <w:tblPr/>
      <w:tcPr>
        <w:shd w:val="clear" w:color="auto" w:fill="FFFFFF"/>
      </w:tcPr>
    </w:tblStylePr>
  </w:style>
  <w:style w:type="table" w:customStyle="1" w:styleId="TableStyleGAHeaderColumn">
    <w:name w:val="Table Style GA Header Column"/>
    <w:basedOn w:val="TableStyleGAHeaderRowColumn"/>
    <w:uiPriority w:val="99"/>
    <w:rsid w:val="00AE0B1A"/>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val="0"/>
        <w:color w:val="auto"/>
        <w:sz w:val="18"/>
      </w:rPr>
      <w:tblPr/>
      <w:trPr>
        <w:cantSplit/>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rFonts w:cs="Times New Roman"/>
        <w:b/>
        <w:color w:val="FFFFFF"/>
      </w:rPr>
      <w:tblPr/>
      <w:tcPr>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rFonts w:cs="Times New Roman"/>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table" w:customStyle="1" w:styleId="TableStyleGAHeaderRow">
    <w:name w:val="Table Style GA Header Row"/>
    <w:rsid w:val="00AE0B1A"/>
    <w:pPr>
      <w:spacing w:line="280" w:lineRule="atLeast"/>
    </w:pPr>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customStyle="1" w:styleId="TableStyleGANoHeaders">
    <w:name w:val="Table Style GA No Headers"/>
    <w:basedOn w:val="TableStyleGAHeaderRow"/>
    <w:uiPriority w:val="99"/>
    <w:rsid w:val="00AE0B1A"/>
    <w:pPr>
      <w:spacing w:line="240" w:lineRule="auto"/>
    </w:pPr>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Versopagebold">
    <w:name w:val="Verso page bold"/>
    <w:basedOn w:val="BodyText"/>
    <w:next w:val="Versopageinfo"/>
    <w:qFormat/>
    <w:rsid w:val="00AE0B1A"/>
    <w:pPr>
      <w:spacing w:before="360" w:after="60"/>
    </w:pPr>
    <w:rPr>
      <w:rFonts w:eastAsia="Times New Roman"/>
      <w:b/>
      <w:kern w:val="28"/>
    </w:rPr>
  </w:style>
  <w:style w:type="table" w:customStyle="1" w:styleId="TableStyle">
    <w:name w:val="Table Style"/>
    <w:basedOn w:val="TableNormal"/>
    <w:locked/>
    <w:rsid w:val="00AE0B1A"/>
    <w:pPr>
      <w:spacing w:line="240" w:lineRule="atLeast"/>
    </w:pPr>
    <w:tblPr>
      <w:tblInd w:w="11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top w:w="0" w:type="dxa"/>
        <w:left w:w="108" w:type="dxa"/>
        <w:bottom w:w="0" w:type="dxa"/>
        <w:right w:w="108" w:type="dxa"/>
      </w:tblCellMar>
    </w:tblPr>
    <w:trPr>
      <w:tblHeader/>
    </w:trPr>
    <w:tcPr>
      <w:shd w:val="clear" w:color="auto" w:fill="B2D2DA"/>
      <w:tcMar>
        <w:top w:w="113" w:type="dxa"/>
        <w:bottom w:w="113" w:type="dxa"/>
      </w:tcMar>
    </w:tcPr>
  </w:style>
  <w:style w:type="character" w:customStyle="1" w:styleId="Symbol">
    <w:name w:val="Symbol"/>
    <w:basedOn w:val="DefaultParagraphFont"/>
    <w:rsid w:val="00754105"/>
    <w:rPr>
      <w:rFonts w:ascii="Symbol" w:hAnsi="Symbol"/>
    </w:rPr>
  </w:style>
  <w:style w:type="paragraph" w:customStyle="1" w:styleId="BodyText-01">
    <w:name w:val="Body Text -0.1"/>
    <w:basedOn w:val="BodyText"/>
    <w:rsid w:val="00AE5C2D"/>
    <w:rPr>
      <w:spacing w:val="-2"/>
    </w:rPr>
  </w:style>
  <w:style w:type="paragraph" w:customStyle="1" w:styleId="FiguresImagesLeft">
    <w:name w:val="Figures &amp; Images Left"/>
    <w:basedOn w:val="BodyText"/>
    <w:next w:val="Caption"/>
    <w:link w:val="FiguresImagesLeftChar"/>
    <w:qFormat/>
    <w:rsid w:val="000D1A85"/>
    <w:pPr>
      <w:keepNext/>
      <w:spacing w:before="480" w:after="80" w:line="160" w:lineRule="atLeast"/>
    </w:pPr>
  </w:style>
  <w:style w:type="character" w:customStyle="1" w:styleId="FiguresImagesLeftChar">
    <w:name w:val="Figures &amp; Images Left Char"/>
    <w:basedOn w:val="BodyTextChar"/>
    <w:link w:val="FiguresImagesLeft"/>
    <w:rsid w:val="000D1A85"/>
    <w:rPr>
      <w:rFonts w:ascii="Arial" w:eastAsia="Times" w:hAnsi="Arial" w:cs="Arial"/>
    </w:rPr>
  </w:style>
  <w:style w:type="paragraph" w:customStyle="1" w:styleId="VersoPageInfo0">
    <w:name w:val="Verso Page Info"/>
    <w:basedOn w:val="BodyText"/>
    <w:link w:val="VersoPageInfoChar0"/>
    <w:qFormat/>
    <w:rsid w:val="000D1A85"/>
    <w:pPr>
      <w:spacing w:before="0"/>
    </w:pPr>
  </w:style>
  <w:style w:type="character" w:customStyle="1" w:styleId="VersoPageInfoChar0">
    <w:name w:val="Verso Page Info Char"/>
    <w:basedOn w:val="BodyTextChar"/>
    <w:link w:val="VersoPageInfo0"/>
    <w:rsid w:val="000D1A85"/>
    <w:rPr>
      <w:rFonts w:ascii="Arial" w:eastAsia="Times" w:hAnsi="Arial" w:cs="Arial"/>
    </w:rPr>
  </w:style>
  <w:style w:type="paragraph" w:customStyle="1" w:styleId="Style9ptBlackCenteredLinespacingAtleast12pt">
    <w:name w:val="Style 9 pt Black Centered Line spacing:  At least 12 pt"/>
    <w:basedOn w:val="Normal"/>
    <w:rsid w:val="000D1A85"/>
    <w:pPr>
      <w:spacing w:line="240" w:lineRule="atLeast"/>
      <w:jc w:val="center"/>
    </w:pPr>
    <w:rPr>
      <w:sz w:val="144"/>
    </w:rPr>
  </w:style>
  <w:style w:type="paragraph" w:customStyle="1" w:styleId="Caption-01">
    <w:name w:val="Caption -0.1"/>
    <w:basedOn w:val="Caption"/>
    <w:qFormat/>
    <w:rsid w:val="00016FA4"/>
    <w:rPr>
      <w:spacing w:val="-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en-AU" w:eastAsia="en-A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lsdException w:name="toc 7" w:uiPriority="39"/>
    <w:lsdException w:name="toc 8" w:uiPriority="39"/>
    <w:lsdException w:name="toc 9" w:uiPriority="39"/>
    <w:lsdException w:name="footer" w:uiPriority="99" w:qFormat="1"/>
    <w:lsdException w:name="caption" w:qFormat="1"/>
    <w:lsdException w:name="table of figures" w:uiPriority="99" w:qFormat="1"/>
    <w:lsdException w:name="table of authorities" w:uiPriority="99"/>
    <w:lsdException w:name="toa heading" w:uiPriority="99"/>
    <w:lsdException w:name="Title" w:semiHidden="0" w:unhideWhenUsed="0" w:qFormat="1"/>
    <w:lsdException w:name="Default Paragraph Font" w:uiPriority="1"/>
    <w:lsdException w:name="Body Text" w:qFormat="1"/>
    <w:lsdException w:name="Subtitle" w:semiHidden="0" w:unhideWhenUsed="0" w:qFormat="1"/>
    <w:lsdException w:name="Hyperlink" w:uiPriority="99" w:qFormat="1"/>
    <w:lsdException w:name="Strong" w:semiHidden="0" w:unhideWhenUsed="0" w:qFormat="1"/>
    <w:lsdException w:name="Emphasis" w:semiHidden="0" w:uiPriority="20" w:unhideWhenUsed="0" w:qFormat="1"/>
    <w:lsdException w:name="HTML Top of Form" w:uiPriority="99"/>
    <w:lsdException w:name="HTML Bottom of Form" w:uiPriority="99"/>
    <w:lsdException w:name="Normal Table" w:uiPriority="99"/>
    <w:lsdException w:name="No List" w:uiPriority="99"/>
    <w:lsdException w:name="Balloon Tex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aliases w:val="N-DO NOT USE"/>
    <w:next w:val="BodyText"/>
    <w:qFormat/>
    <w:rsid w:val="00B85230"/>
    <w:pPr>
      <w:spacing w:before="180" w:after="180" w:line="280" w:lineRule="atLeast"/>
    </w:pPr>
    <w:rPr>
      <w:color w:val="FF0000"/>
    </w:rPr>
  </w:style>
  <w:style w:type="paragraph" w:styleId="Heading1">
    <w:name w:val="heading 1"/>
    <w:next w:val="BodyText"/>
    <w:link w:val="Heading1Char"/>
    <w:qFormat/>
    <w:rsid w:val="00AE0B1A"/>
    <w:pPr>
      <w:keepNext/>
      <w:keepLines/>
      <w:pageBreakBefore/>
      <w:numPr>
        <w:numId w:val="19"/>
      </w:numPr>
      <w:spacing w:after="1080"/>
      <w:outlineLvl w:val="0"/>
    </w:pPr>
    <w:rPr>
      <w:rFonts w:eastAsia="Times" w:cs="Arial"/>
      <w:kern w:val="28"/>
      <w:sz w:val="40"/>
    </w:rPr>
  </w:style>
  <w:style w:type="paragraph" w:styleId="Heading2">
    <w:name w:val="heading 2"/>
    <w:basedOn w:val="Heading1"/>
    <w:next w:val="BodyText"/>
    <w:link w:val="Heading2Char"/>
    <w:qFormat/>
    <w:rsid w:val="00AE0B1A"/>
    <w:pPr>
      <w:pageBreakBefore w:val="0"/>
      <w:numPr>
        <w:ilvl w:val="1"/>
      </w:numPr>
      <w:spacing w:before="480" w:after="180"/>
      <w:outlineLvl w:val="1"/>
    </w:pPr>
    <w:rPr>
      <w:sz w:val="30"/>
      <w:szCs w:val="30"/>
    </w:rPr>
  </w:style>
  <w:style w:type="paragraph" w:styleId="Heading3">
    <w:name w:val="heading 3"/>
    <w:basedOn w:val="Heading2"/>
    <w:next w:val="BodyText"/>
    <w:link w:val="Heading3Char"/>
    <w:qFormat/>
    <w:rsid w:val="00AE0B1A"/>
    <w:pPr>
      <w:numPr>
        <w:ilvl w:val="2"/>
      </w:numPr>
      <w:outlineLvl w:val="2"/>
    </w:pPr>
    <w:rPr>
      <w:b/>
      <w:sz w:val="24"/>
    </w:rPr>
  </w:style>
  <w:style w:type="paragraph" w:styleId="Heading4">
    <w:name w:val="heading 4"/>
    <w:basedOn w:val="Heading3"/>
    <w:next w:val="BodyText"/>
    <w:link w:val="Heading4Char"/>
    <w:qFormat/>
    <w:rsid w:val="00AE0B1A"/>
    <w:pPr>
      <w:numPr>
        <w:ilvl w:val="3"/>
      </w:numPr>
      <w:spacing w:before="180"/>
      <w:outlineLvl w:val="3"/>
    </w:pPr>
    <w:rPr>
      <w:i/>
      <w:sz w:val="22"/>
    </w:rPr>
  </w:style>
  <w:style w:type="paragraph" w:styleId="Heading5">
    <w:name w:val="heading 5"/>
    <w:basedOn w:val="Heading4"/>
    <w:next w:val="BodyText"/>
    <w:link w:val="Heading5Char"/>
    <w:qFormat/>
    <w:rsid w:val="00AE0B1A"/>
    <w:pPr>
      <w:numPr>
        <w:ilvl w:val="4"/>
      </w:numPr>
      <w:outlineLvl w:val="4"/>
    </w:pPr>
    <w:rPr>
      <w:b w:val="0"/>
    </w:rPr>
  </w:style>
  <w:style w:type="paragraph" w:styleId="Heading6">
    <w:name w:val="heading 6"/>
    <w:basedOn w:val="Heading5"/>
    <w:next w:val="BodyText"/>
    <w:link w:val="Heading6Char"/>
    <w:qFormat/>
    <w:rsid w:val="00AE0B1A"/>
    <w:pPr>
      <w:numPr>
        <w:ilvl w:val="5"/>
      </w:numPr>
      <w:spacing w:before="240"/>
      <w:outlineLvl w:val="5"/>
    </w:pPr>
    <w:rPr>
      <w:b/>
      <w:i w:val="0"/>
      <w:sz w:val="20"/>
    </w:rPr>
  </w:style>
  <w:style w:type="paragraph" w:styleId="Heading7">
    <w:name w:val="heading 7"/>
    <w:basedOn w:val="Heading6"/>
    <w:next w:val="BodyText"/>
    <w:link w:val="Heading7Char"/>
    <w:qFormat/>
    <w:rsid w:val="00AE0B1A"/>
    <w:pPr>
      <w:numPr>
        <w:ilvl w:val="6"/>
      </w:numPr>
      <w:spacing w:line="220" w:lineRule="exact"/>
      <w:outlineLvl w:val="6"/>
    </w:pPr>
    <w:rPr>
      <w:rFonts w:ascii="Arial Bold" w:hAnsi="Arial Bold"/>
      <w:i/>
      <w:spacing w:val="10"/>
      <w:sz w:val="16"/>
    </w:rPr>
  </w:style>
  <w:style w:type="paragraph" w:styleId="Heading8">
    <w:name w:val="heading 8"/>
    <w:basedOn w:val="Heading7"/>
    <w:next w:val="BodyText"/>
    <w:link w:val="Heading8Char"/>
    <w:qFormat/>
    <w:rsid w:val="00AE0B1A"/>
    <w:pPr>
      <w:numPr>
        <w:ilvl w:val="7"/>
      </w:numPr>
      <w:outlineLvl w:val="7"/>
    </w:pPr>
    <w:rPr>
      <w:i w:val="0"/>
    </w:rPr>
  </w:style>
  <w:style w:type="paragraph" w:styleId="Heading9">
    <w:name w:val="heading 9"/>
    <w:aliases w:val="Heading appendix 1"/>
    <w:basedOn w:val="Headingappendix1base"/>
    <w:next w:val="BodyText"/>
    <w:link w:val="Heading9Char"/>
    <w:qFormat/>
    <w:rsid w:val="00AE0B1A"/>
    <w:pPr>
      <w:numPr>
        <w:numId w:val="32"/>
      </w:numPr>
      <w:spacing w:before="0"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E0B1A"/>
    <w:rPr>
      <w:rFonts w:ascii="Arial" w:eastAsia="Times" w:hAnsi="Arial" w:cs="Arial"/>
      <w:kern w:val="28"/>
      <w:sz w:val="40"/>
    </w:rPr>
  </w:style>
  <w:style w:type="character" w:customStyle="1" w:styleId="Heading2Char">
    <w:name w:val="Heading 2 Char"/>
    <w:basedOn w:val="DefaultParagraphFont"/>
    <w:link w:val="Heading2"/>
    <w:rsid w:val="00AE0B1A"/>
    <w:rPr>
      <w:rFonts w:ascii="Arial" w:eastAsia="Times" w:hAnsi="Arial" w:cs="Arial"/>
      <w:kern w:val="28"/>
      <w:sz w:val="30"/>
      <w:szCs w:val="30"/>
    </w:rPr>
  </w:style>
  <w:style w:type="character" w:customStyle="1" w:styleId="Heading3Char">
    <w:name w:val="Heading 3 Char"/>
    <w:basedOn w:val="DefaultParagraphFont"/>
    <w:link w:val="Heading3"/>
    <w:rsid w:val="00AE0B1A"/>
    <w:rPr>
      <w:rFonts w:ascii="Arial" w:eastAsia="Times" w:hAnsi="Arial" w:cs="Arial"/>
      <w:b/>
      <w:kern w:val="28"/>
      <w:sz w:val="24"/>
      <w:szCs w:val="30"/>
    </w:rPr>
  </w:style>
  <w:style w:type="character" w:customStyle="1" w:styleId="Heading4Char">
    <w:name w:val="Heading 4 Char"/>
    <w:basedOn w:val="DefaultParagraphFont"/>
    <w:link w:val="Heading4"/>
    <w:rsid w:val="00AE0B1A"/>
    <w:rPr>
      <w:rFonts w:ascii="Arial" w:eastAsia="Times" w:hAnsi="Arial" w:cs="Arial"/>
      <w:b/>
      <w:i/>
      <w:kern w:val="28"/>
      <w:sz w:val="22"/>
      <w:szCs w:val="30"/>
    </w:rPr>
  </w:style>
  <w:style w:type="character" w:customStyle="1" w:styleId="Heading5Char">
    <w:name w:val="Heading 5 Char"/>
    <w:basedOn w:val="DefaultParagraphFont"/>
    <w:link w:val="Heading5"/>
    <w:rsid w:val="00AE0B1A"/>
    <w:rPr>
      <w:rFonts w:ascii="Arial" w:eastAsia="Times" w:hAnsi="Arial" w:cs="Arial"/>
      <w:i/>
      <w:kern w:val="28"/>
      <w:sz w:val="22"/>
      <w:szCs w:val="30"/>
    </w:rPr>
  </w:style>
  <w:style w:type="character" w:customStyle="1" w:styleId="Heading6Char">
    <w:name w:val="Heading 6 Char"/>
    <w:basedOn w:val="DefaultParagraphFont"/>
    <w:link w:val="Heading6"/>
    <w:rsid w:val="00AE0B1A"/>
    <w:rPr>
      <w:rFonts w:ascii="Arial" w:eastAsia="Times" w:hAnsi="Arial" w:cs="Arial"/>
      <w:b/>
      <w:kern w:val="28"/>
      <w:szCs w:val="30"/>
    </w:rPr>
  </w:style>
  <w:style w:type="character" w:customStyle="1" w:styleId="Heading7Char">
    <w:name w:val="Heading 7 Char"/>
    <w:basedOn w:val="DefaultParagraphFont"/>
    <w:link w:val="Heading7"/>
    <w:rsid w:val="00AE0B1A"/>
    <w:rPr>
      <w:rFonts w:ascii="Arial Bold" w:eastAsia="Times" w:hAnsi="Arial Bold" w:cs="Arial"/>
      <w:b/>
      <w:i/>
      <w:spacing w:val="10"/>
      <w:kern w:val="28"/>
      <w:sz w:val="16"/>
      <w:szCs w:val="30"/>
    </w:rPr>
  </w:style>
  <w:style w:type="character" w:customStyle="1" w:styleId="Heading8Char">
    <w:name w:val="Heading 8 Char"/>
    <w:basedOn w:val="DefaultParagraphFont"/>
    <w:link w:val="Heading8"/>
    <w:rsid w:val="00AE0B1A"/>
    <w:rPr>
      <w:rFonts w:ascii="Arial Bold" w:eastAsia="Times" w:hAnsi="Arial Bold" w:cs="Arial"/>
      <w:b/>
      <w:spacing w:val="10"/>
      <w:kern w:val="28"/>
      <w:sz w:val="16"/>
      <w:szCs w:val="30"/>
    </w:rPr>
  </w:style>
  <w:style w:type="character" w:customStyle="1" w:styleId="Heading9Char">
    <w:name w:val="Heading 9 Char"/>
    <w:aliases w:val="Heading appendix 1 Char"/>
    <w:basedOn w:val="DefaultParagraphFont"/>
    <w:link w:val="Heading9"/>
    <w:rsid w:val="00AE0B1A"/>
    <w:rPr>
      <w:rFonts w:ascii="Arial" w:eastAsia="Times" w:hAnsi="Arial"/>
      <w:sz w:val="40"/>
      <w:szCs w:val="40"/>
    </w:rPr>
  </w:style>
  <w:style w:type="paragraph" w:styleId="BodyText">
    <w:name w:val="Body Text"/>
    <w:link w:val="BodyTextChar"/>
    <w:qFormat/>
    <w:rsid w:val="00AE0B1A"/>
    <w:pPr>
      <w:spacing w:before="180" w:after="180" w:line="280" w:lineRule="atLeast"/>
    </w:pPr>
    <w:rPr>
      <w:rFonts w:eastAsia="Times" w:cs="Arial"/>
    </w:rPr>
  </w:style>
  <w:style w:type="character" w:customStyle="1" w:styleId="BodyTextChar">
    <w:name w:val="Body Text Char"/>
    <w:basedOn w:val="DefaultParagraphFont"/>
    <w:link w:val="BodyText"/>
    <w:rsid w:val="00AE0B1A"/>
    <w:rPr>
      <w:rFonts w:ascii="Arial" w:eastAsia="Times" w:hAnsi="Arial" w:cs="Arial"/>
    </w:rPr>
  </w:style>
  <w:style w:type="paragraph" w:styleId="Footer">
    <w:name w:val="footer"/>
    <w:next w:val="BodyText"/>
    <w:link w:val="FooterChar"/>
    <w:uiPriority w:val="99"/>
    <w:qFormat/>
    <w:rsid w:val="00AE0B1A"/>
    <w:pPr>
      <w:pBdr>
        <w:top w:val="single" w:sz="2" w:space="2" w:color="auto"/>
      </w:pBdr>
      <w:tabs>
        <w:tab w:val="right" w:pos="9072"/>
      </w:tabs>
      <w:spacing w:before="180" w:after="180" w:line="160" w:lineRule="atLeast"/>
      <w:mirrorIndents/>
    </w:pPr>
    <w:rPr>
      <w:rFonts w:ascii="Arial Bold" w:eastAsia="Times" w:hAnsi="Arial Bold" w:cs="Arial"/>
      <w:b/>
      <w:sz w:val="16"/>
      <w:szCs w:val="16"/>
    </w:rPr>
  </w:style>
  <w:style w:type="character" w:customStyle="1" w:styleId="FooterChar">
    <w:name w:val="Footer Char"/>
    <w:basedOn w:val="DefaultParagraphFont"/>
    <w:link w:val="Footer"/>
    <w:uiPriority w:val="99"/>
    <w:rsid w:val="00AE0B1A"/>
    <w:rPr>
      <w:rFonts w:ascii="Arial Bold" w:eastAsia="Times" w:hAnsi="Arial Bold" w:cs="Arial"/>
      <w:b/>
      <w:sz w:val="16"/>
      <w:szCs w:val="16"/>
    </w:rPr>
  </w:style>
  <w:style w:type="paragraph" w:styleId="Header">
    <w:name w:val="header"/>
    <w:basedOn w:val="BodyText"/>
    <w:link w:val="HeaderChar"/>
    <w:rsid w:val="00AE0B1A"/>
    <w:pPr>
      <w:tabs>
        <w:tab w:val="center" w:pos="4320"/>
        <w:tab w:val="right" w:pos="8640"/>
      </w:tabs>
      <w:spacing w:before="0" w:after="0"/>
    </w:pPr>
    <w:rPr>
      <w:rFonts w:ascii="Arial Bold" w:hAnsi="Arial Bold"/>
      <w:b/>
      <w:sz w:val="16"/>
      <w:szCs w:val="16"/>
    </w:rPr>
  </w:style>
  <w:style w:type="character" w:customStyle="1" w:styleId="HeaderChar">
    <w:name w:val="Header Char"/>
    <w:basedOn w:val="DefaultParagraphFont"/>
    <w:link w:val="Header"/>
    <w:rsid w:val="00AE0B1A"/>
    <w:rPr>
      <w:rFonts w:ascii="Arial Bold" w:eastAsia="Times" w:hAnsi="Arial Bold" w:cs="Arial"/>
      <w:b/>
      <w:sz w:val="16"/>
      <w:szCs w:val="16"/>
    </w:rPr>
  </w:style>
  <w:style w:type="paragraph" w:customStyle="1" w:styleId="Record">
    <w:name w:val="Record #"/>
    <w:next w:val="BodyText"/>
    <w:qFormat/>
    <w:rsid w:val="00AE0B1A"/>
    <w:pPr>
      <w:keepNext/>
      <w:spacing w:before="180" w:after="1440" w:line="280" w:lineRule="atLeast"/>
    </w:pPr>
    <w:rPr>
      <w:caps/>
      <w:spacing w:val="10"/>
      <w:sz w:val="19"/>
    </w:rPr>
  </w:style>
  <w:style w:type="character" w:customStyle="1" w:styleId="Captionbold">
    <w:name w:val="Caption bold"/>
    <w:qFormat/>
    <w:rsid w:val="00AE0B1A"/>
    <w:rPr>
      <w:b/>
    </w:rPr>
  </w:style>
  <w:style w:type="paragraph" w:customStyle="1" w:styleId="Documenttitle">
    <w:name w:val="Document title"/>
    <w:next w:val="BodyText"/>
    <w:qFormat/>
    <w:rsid w:val="00AE0B1A"/>
    <w:pPr>
      <w:keepNext/>
      <w:spacing w:before="1680" w:after="360"/>
      <w:outlineLvl w:val="0"/>
    </w:pPr>
    <w:rPr>
      <w:sz w:val="48"/>
    </w:rPr>
  </w:style>
  <w:style w:type="paragraph" w:customStyle="1" w:styleId="Notes">
    <w:name w:val="Notes"/>
    <w:basedOn w:val="BodyText"/>
    <w:next w:val="BodyText"/>
    <w:qFormat/>
    <w:rsid w:val="00AE0B1A"/>
    <w:pPr>
      <w:numPr>
        <w:numId w:val="11"/>
      </w:numPr>
      <w:pBdr>
        <w:top w:val="single" w:sz="4" w:space="1" w:color="808080"/>
      </w:pBdr>
      <w:tabs>
        <w:tab w:val="clear" w:pos="360"/>
        <w:tab w:val="num" w:pos="284"/>
      </w:tabs>
      <w:spacing w:before="0" w:after="0" w:line="160" w:lineRule="atLeast"/>
      <w:ind w:left="284" w:hanging="284"/>
    </w:pPr>
    <w:rPr>
      <w:rFonts w:eastAsia="Times New Roman"/>
      <w:sz w:val="16"/>
    </w:rPr>
  </w:style>
  <w:style w:type="paragraph" w:styleId="CommentText">
    <w:name w:val="annotation text"/>
    <w:aliases w:val="CT-DO NOT USE"/>
    <w:next w:val="BodyText"/>
    <w:link w:val="CommentTextChar"/>
    <w:semiHidden/>
    <w:rsid w:val="00AE0B1A"/>
    <w:pPr>
      <w:spacing w:before="180" w:after="180" w:line="280" w:lineRule="atLeast"/>
    </w:pPr>
    <w:rPr>
      <w:rFonts w:eastAsia="Times" w:cs="Arial"/>
    </w:rPr>
  </w:style>
  <w:style w:type="character" w:customStyle="1" w:styleId="CommentTextChar">
    <w:name w:val="Comment Text Char"/>
    <w:aliases w:val="CT-DO NOT USE Char"/>
    <w:basedOn w:val="DefaultParagraphFont"/>
    <w:link w:val="CommentText"/>
    <w:semiHidden/>
    <w:rsid w:val="00AE0B1A"/>
    <w:rPr>
      <w:rFonts w:ascii="Arial" w:eastAsia="Times" w:hAnsi="Arial" w:cs="Arial"/>
    </w:rPr>
  </w:style>
  <w:style w:type="paragraph" w:customStyle="1" w:styleId="Listbulletlevel1">
    <w:name w:val="List bullet level 1"/>
    <w:basedOn w:val="BodyText"/>
    <w:next w:val="BodyText"/>
    <w:link w:val="Listbulletlevel1Char"/>
    <w:qFormat/>
    <w:rsid w:val="00AE0B1A"/>
    <w:pPr>
      <w:numPr>
        <w:numId w:val="16"/>
      </w:numPr>
      <w:spacing w:before="60" w:after="60"/>
    </w:pPr>
  </w:style>
  <w:style w:type="character" w:styleId="BookTitle">
    <w:name w:val="Book Title"/>
    <w:aliases w:val="BT-DO NOT USE"/>
    <w:uiPriority w:val="33"/>
    <w:rsid w:val="00AE0B1A"/>
  </w:style>
  <w:style w:type="paragraph" w:customStyle="1" w:styleId="Listbulletlevel2">
    <w:name w:val="List bullet level 2"/>
    <w:basedOn w:val="Listbulletlevel1"/>
    <w:next w:val="BodyText"/>
    <w:qFormat/>
    <w:rsid w:val="00AE0B1A"/>
    <w:pPr>
      <w:numPr>
        <w:ilvl w:val="1"/>
      </w:numPr>
    </w:pPr>
  </w:style>
  <w:style w:type="paragraph" w:customStyle="1" w:styleId="Tabletitle">
    <w:name w:val="Table title"/>
    <w:basedOn w:val="BodyText"/>
    <w:next w:val="BodyText"/>
    <w:qFormat/>
    <w:rsid w:val="00AE0B1A"/>
    <w:pPr>
      <w:keepNext/>
      <w:spacing w:before="480" w:after="120" w:line="240" w:lineRule="atLeast"/>
    </w:pPr>
    <w:rPr>
      <w:rFonts w:eastAsia="Times New Roman"/>
      <w:i/>
      <w:sz w:val="18"/>
      <w:szCs w:val="18"/>
    </w:rPr>
  </w:style>
  <w:style w:type="character" w:customStyle="1" w:styleId="Tabletitlebold">
    <w:name w:val="Table title bold"/>
    <w:qFormat/>
    <w:rsid w:val="00AE0B1A"/>
    <w:rPr>
      <w:b/>
    </w:rPr>
  </w:style>
  <w:style w:type="paragraph" w:customStyle="1" w:styleId="Tabletextleft">
    <w:name w:val="Table text left"/>
    <w:next w:val="BodyText"/>
    <w:qFormat/>
    <w:rsid w:val="00AE0B1A"/>
    <w:pPr>
      <w:spacing w:before="20" w:after="20" w:line="200" w:lineRule="atLeast"/>
    </w:pPr>
    <w:rPr>
      <w:rFonts w:cs="Arial"/>
      <w:sz w:val="18"/>
    </w:rPr>
  </w:style>
  <w:style w:type="paragraph" w:customStyle="1" w:styleId="Tableheadingleft">
    <w:name w:val="Table heading left"/>
    <w:next w:val="BodyText"/>
    <w:rsid w:val="00AE0B1A"/>
    <w:pPr>
      <w:spacing w:before="20" w:after="20" w:line="200" w:lineRule="atLeast"/>
    </w:pPr>
    <w:rPr>
      <w:rFonts w:ascii="Arial Bold" w:hAnsi="Arial Bold" w:cs="Arial"/>
      <w:color w:val="FFFFFF"/>
      <w:sz w:val="18"/>
    </w:rPr>
  </w:style>
  <w:style w:type="paragraph" w:customStyle="1" w:styleId="References">
    <w:name w:val="References"/>
    <w:basedOn w:val="BodyText"/>
    <w:next w:val="BodyText"/>
    <w:qFormat/>
    <w:rsid w:val="00AE0B1A"/>
    <w:pPr>
      <w:spacing w:before="60" w:after="60" w:line="240" w:lineRule="atLeast"/>
      <w:ind w:left="284" w:hanging="284"/>
    </w:pPr>
    <w:rPr>
      <w:rFonts w:eastAsia="Times New Roman"/>
    </w:rPr>
  </w:style>
  <w:style w:type="character" w:styleId="CommentReference">
    <w:name w:val="annotation reference"/>
    <w:aliases w:val="CR-DO NOT USE"/>
    <w:semiHidden/>
    <w:rsid w:val="00AE0B1A"/>
  </w:style>
  <w:style w:type="paragraph" w:styleId="EndnoteText">
    <w:name w:val="endnote text"/>
    <w:aliases w:val="ET-DO NOT USE"/>
    <w:link w:val="EndnoteTextChar"/>
    <w:semiHidden/>
    <w:rsid w:val="00AE0B1A"/>
    <w:pPr>
      <w:spacing w:before="180" w:after="180" w:line="280" w:lineRule="atLeast"/>
    </w:pPr>
    <w:rPr>
      <w:rFonts w:eastAsia="Times" w:cs="Arial"/>
    </w:rPr>
  </w:style>
  <w:style w:type="character" w:customStyle="1" w:styleId="EndnoteTextChar">
    <w:name w:val="Endnote Text Char"/>
    <w:aliases w:val="ET-DO NOT USE Char"/>
    <w:basedOn w:val="DefaultParagraphFont"/>
    <w:link w:val="EndnoteText"/>
    <w:semiHidden/>
    <w:rsid w:val="00AE0B1A"/>
    <w:rPr>
      <w:rFonts w:ascii="Arial" w:eastAsia="Times" w:hAnsi="Arial" w:cs="Arial"/>
    </w:rPr>
  </w:style>
  <w:style w:type="character" w:customStyle="1" w:styleId="Bodytextbold">
    <w:name w:val="Body text bold"/>
    <w:qFormat/>
    <w:rsid w:val="00AE0B1A"/>
    <w:rPr>
      <w:b/>
    </w:rPr>
  </w:style>
  <w:style w:type="character" w:customStyle="1" w:styleId="Bodytextitalic">
    <w:name w:val="Body text italic"/>
    <w:qFormat/>
    <w:rsid w:val="00AE0B1A"/>
    <w:rPr>
      <w:i/>
    </w:rPr>
  </w:style>
  <w:style w:type="character" w:styleId="Strong">
    <w:name w:val="Strong"/>
    <w:aliases w:val="St-DO NOT USE"/>
    <w:qFormat/>
    <w:rsid w:val="00AE0B1A"/>
  </w:style>
  <w:style w:type="paragraph" w:styleId="TOC1">
    <w:name w:val="toc 1"/>
    <w:basedOn w:val="BodyText"/>
    <w:next w:val="BodyText"/>
    <w:autoRedefine/>
    <w:uiPriority w:val="39"/>
    <w:qFormat/>
    <w:rsid w:val="003543F5"/>
    <w:pPr>
      <w:tabs>
        <w:tab w:val="right" w:leader="dot" w:pos="9072"/>
      </w:tabs>
      <w:spacing w:before="120" w:after="0" w:line="200" w:lineRule="atLeast"/>
      <w:ind w:right="567"/>
    </w:pPr>
    <w:rPr>
      <w:noProof/>
    </w:rPr>
  </w:style>
  <w:style w:type="paragraph" w:styleId="TOC2">
    <w:name w:val="toc 2"/>
    <w:basedOn w:val="TOC1"/>
    <w:next w:val="BodyText"/>
    <w:autoRedefine/>
    <w:uiPriority w:val="39"/>
    <w:qFormat/>
    <w:rsid w:val="00AE0B1A"/>
    <w:pPr>
      <w:spacing w:before="60"/>
      <w:ind w:left="142"/>
    </w:pPr>
  </w:style>
  <w:style w:type="paragraph" w:styleId="TOC3">
    <w:name w:val="toc 3"/>
    <w:basedOn w:val="TOC2"/>
    <w:next w:val="BodyText"/>
    <w:autoRedefine/>
    <w:uiPriority w:val="39"/>
    <w:qFormat/>
    <w:rsid w:val="00AE0B1A"/>
    <w:pPr>
      <w:ind w:left="284"/>
    </w:pPr>
  </w:style>
  <w:style w:type="paragraph" w:styleId="TOC4">
    <w:name w:val="toc 4"/>
    <w:basedOn w:val="TOC3"/>
    <w:next w:val="BodyText"/>
    <w:autoRedefine/>
    <w:uiPriority w:val="39"/>
    <w:qFormat/>
    <w:rsid w:val="00AE0B1A"/>
    <w:pPr>
      <w:ind w:left="425"/>
    </w:pPr>
  </w:style>
  <w:style w:type="paragraph" w:styleId="BodyText3">
    <w:name w:val="Body Text 3"/>
    <w:aliases w:val="BT3-DO NOT USE"/>
    <w:basedOn w:val="BodyText"/>
    <w:link w:val="BodyText3Char"/>
    <w:semiHidden/>
    <w:rsid w:val="00AE0B1A"/>
  </w:style>
  <w:style w:type="character" w:customStyle="1" w:styleId="BodyText3Char">
    <w:name w:val="Body Text 3 Char"/>
    <w:aliases w:val="BT3-DO NOT USE Char"/>
    <w:basedOn w:val="DefaultParagraphFont"/>
    <w:link w:val="BodyText3"/>
    <w:semiHidden/>
    <w:rsid w:val="00AE0B1A"/>
    <w:rPr>
      <w:rFonts w:ascii="Arial" w:eastAsia="Times" w:hAnsi="Arial" w:cs="Arial"/>
    </w:rPr>
  </w:style>
  <w:style w:type="paragraph" w:customStyle="1" w:styleId="Head1nonumbers">
    <w:name w:val="Head 1 no numbers"/>
    <w:next w:val="BodyText"/>
    <w:link w:val="Head1nonumbersChar"/>
    <w:qFormat/>
    <w:rsid w:val="00AE0B1A"/>
    <w:pPr>
      <w:keepNext/>
      <w:keepLines/>
      <w:pageBreakBefore/>
      <w:spacing w:after="1080"/>
      <w:outlineLvl w:val="0"/>
    </w:pPr>
    <w:rPr>
      <w:rFonts w:eastAsia="Times" w:cs="Arial"/>
      <w:kern w:val="28"/>
      <w:sz w:val="40"/>
    </w:rPr>
  </w:style>
  <w:style w:type="paragraph" w:customStyle="1" w:styleId="Figuresandimagesleft">
    <w:name w:val="Figures and images left"/>
    <w:basedOn w:val="BodyText"/>
    <w:next w:val="BodyText"/>
    <w:link w:val="FiguresandimagesleftChar"/>
    <w:qFormat/>
    <w:rsid w:val="00AE0B1A"/>
    <w:pPr>
      <w:keepNext/>
      <w:spacing w:before="480" w:after="80" w:line="160" w:lineRule="atLeast"/>
    </w:pPr>
  </w:style>
  <w:style w:type="character" w:customStyle="1" w:styleId="FiguresandimagesleftChar">
    <w:name w:val="Figures and images left Char"/>
    <w:basedOn w:val="BodyTextChar"/>
    <w:link w:val="Figuresandimagesleft"/>
    <w:rsid w:val="00AE0B1A"/>
    <w:rPr>
      <w:rFonts w:ascii="Arial" w:eastAsia="Times" w:hAnsi="Arial" w:cs="Arial"/>
    </w:rPr>
  </w:style>
  <w:style w:type="character" w:styleId="Hyperlink">
    <w:name w:val="Hyperlink"/>
    <w:uiPriority w:val="99"/>
    <w:qFormat/>
    <w:rsid w:val="00AE0B1A"/>
    <w:rPr>
      <w:color w:val="0000FF"/>
    </w:rPr>
  </w:style>
  <w:style w:type="paragraph" w:styleId="TOC5">
    <w:name w:val="toc 5"/>
    <w:basedOn w:val="TOC4"/>
    <w:next w:val="BodyText"/>
    <w:autoRedefine/>
    <w:uiPriority w:val="39"/>
    <w:qFormat/>
    <w:rsid w:val="00AE0B1A"/>
    <w:pPr>
      <w:ind w:left="567"/>
    </w:pPr>
  </w:style>
  <w:style w:type="paragraph" w:customStyle="1" w:styleId="Versopageinfo">
    <w:name w:val="Verso page info"/>
    <w:basedOn w:val="BodyText"/>
    <w:next w:val="BodyText"/>
    <w:link w:val="VersopageinfoChar"/>
    <w:qFormat/>
    <w:rsid w:val="00AE0B1A"/>
    <w:pPr>
      <w:spacing w:before="0"/>
    </w:pPr>
  </w:style>
  <w:style w:type="character" w:customStyle="1" w:styleId="VersopageinfoChar">
    <w:name w:val="Verso page info Char"/>
    <w:basedOn w:val="BodyTextChar"/>
    <w:link w:val="Versopageinfo"/>
    <w:rsid w:val="00AE0B1A"/>
    <w:rPr>
      <w:rFonts w:ascii="Arial" w:eastAsia="Times" w:hAnsi="Arial" w:cs="Arial"/>
    </w:rPr>
  </w:style>
  <w:style w:type="character" w:customStyle="1" w:styleId="Listbulletlevel1Char">
    <w:name w:val="List bullet level 1 Char"/>
    <w:basedOn w:val="BodyTextChar"/>
    <w:link w:val="Listbulletlevel1"/>
    <w:rsid w:val="00AE0B1A"/>
    <w:rPr>
      <w:rFonts w:ascii="Arial" w:eastAsia="Times" w:hAnsi="Arial" w:cs="Arial"/>
    </w:rPr>
  </w:style>
  <w:style w:type="character" w:customStyle="1" w:styleId="Hyperlinkprint">
    <w:name w:val="Hyperlink print"/>
    <w:basedOn w:val="Hyperlink"/>
    <w:qFormat/>
    <w:rsid w:val="00AE0B1A"/>
    <w:rPr>
      <w:color w:val="auto"/>
    </w:rPr>
  </w:style>
  <w:style w:type="paragraph" w:styleId="TOCHeading">
    <w:name w:val="TOC Heading"/>
    <w:next w:val="BodyText"/>
    <w:qFormat/>
    <w:rsid w:val="00AE0B1A"/>
    <w:pPr>
      <w:pageBreakBefore/>
      <w:spacing w:before="180" w:after="960"/>
    </w:pPr>
    <w:rPr>
      <w:sz w:val="40"/>
    </w:rPr>
  </w:style>
  <w:style w:type="paragraph" w:styleId="Closing">
    <w:name w:val="Closing"/>
    <w:aliases w:val="C-DO NOT USE"/>
    <w:basedOn w:val="CommentSubject"/>
    <w:next w:val="BodyText"/>
    <w:link w:val="ClosingChar"/>
    <w:semiHidden/>
    <w:rsid w:val="00AE0B1A"/>
  </w:style>
  <w:style w:type="character" w:customStyle="1" w:styleId="ClosingChar">
    <w:name w:val="Closing Char"/>
    <w:aliases w:val="C-DO NOT USE Char"/>
    <w:basedOn w:val="DefaultParagraphFont"/>
    <w:link w:val="Closing"/>
    <w:semiHidden/>
    <w:rsid w:val="00AE0B1A"/>
    <w:rPr>
      <w:rFonts w:ascii="Arial" w:eastAsia="Times" w:hAnsi="Arial" w:cs="Arial"/>
    </w:rPr>
  </w:style>
  <w:style w:type="paragraph" w:styleId="Date">
    <w:name w:val="Date"/>
    <w:aliases w:val="D-DO NOT USE"/>
    <w:next w:val="BodyText"/>
    <w:link w:val="DateChar"/>
    <w:semiHidden/>
    <w:rsid w:val="00AE0B1A"/>
    <w:pPr>
      <w:spacing w:before="180" w:after="180" w:line="280" w:lineRule="atLeast"/>
    </w:pPr>
    <w:rPr>
      <w:rFonts w:eastAsia="Times" w:cs="Arial"/>
    </w:rPr>
  </w:style>
  <w:style w:type="character" w:customStyle="1" w:styleId="DateChar">
    <w:name w:val="Date Char"/>
    <w:aliases w:val="D-DO NOT USE Char"/>
    <w:basedOn w:val="DefaultParagraphFont"/>
    <w:link w:val="Date"/>
    <w:semiHidden/>
    <w:rsid w:val="00AE0B1A"/>
    <w:rPr>
      <w:rFonts w:ascii="Arial" w:eastAsia="Times" w:hAnsi="Arial" w:cs="Arial"/>
    </w:rPr>
  </w:style>
  <w:style w:type="paragraph" w:styleId="E-mailSignature">
    <w:name w:val="E-mail Signature"/>
    <w:aliases w:val="EM-DO NOT USE"/>
    <w:next w:val="BodyText"/>
    <w:link w:val="E-mailSignatureChar"/>
    <w:semiHidden/>
    <w:rsid w:val="00AE0B1A"/>
    <w:pPr>
      <w:spacing w:before="180" w:after="180" w:line="280" w:lineRule="atLeast"/>
    </w:pPr>
    <w:rPr>
      <w:rFonts w:eastAsia="Times" w:cs="Arial"/>
    </w:rPr>
  </w:style>
  <w:style w:type="character" w:customStyle="1" w:styleId="E-mailSignatureChar">
    <w:name w:val="E-mail Signature Char"/>
    <w:aliases w:val="EM-DO NOT USE Char"/>
    <w:basedOn w:val="DefaultParagraphFont"/>
    <w:link w:val="E-mailSignature"/>
    <w:semiHidden/>
    <w:rsid w:val="00AE0B1A"/>
    <w:rPr>
      <w:rFonts w:ascii="Arial" w:eastAsia="Times" w:hAnsi="Arial" w:cs="Arial"/>
    </w:rPr>
  </w:style>
  <w:style w:type="paragraph" w:styleId="EnvelopeAddress">
    <w:name w:val="envelope address"/>
    <w:aliases w:val="EA-DO NOT USE"/>
    <w:next w:val="BodyText"/>
    <w:semiHidden/>
    <w:rsid w:val="00AE0B1A"/>
    <w:pPr>
      <w:spacing w:before="180" w:after="180" w:line="280" w:lineRule="atLeast"/>
    </w:pPr>
    <w:rPr>
      <w:rFonts w:eastAsia="Times" w:cs="Arial"/>
    </w:rPr>
  </w:style>
  <w:style w:type="paragraph" w:styleId="EnvelopeReturn">
    <w:name w:val="envelope return"/>
    <w:aliases w:val="ER-DO NOT USE"/>
    <w:next w:val="BodyText"/>
    <w:semiHidden/>
    <w:rsid w:val="00AE0B1A"/>
    <w:pPr>
      <w:spacing w:before="180" w:after="180" w:line="280" w:lineRule="atLeast"/>
    </w:pPr>
    <w:rPr>
      <w:rFonts w:eastAsia="Times" w:cs="Arial"/>
    </w:rPr>
  </w:style>
  <w:style w:type="character" w:styleId="FollowedHyperlink">
    <w:name w:val="FollowedHyperlink"/>
    <w:basedOn w:val="Hyperlink"/>
    <w:rsid w:val="00AE0B1A"/>
    <w:rPr>
      <w:color w:val="0000FF"/>
    </w:rPr>
  </w:style>
  <w:style w:type="paragraph" w:styleId="HTMLAddress">
    <w:name w:val="HTML Address"/>
    <w:aliases w:val="HAd-DO NOT USE"/>
    <w:next w:val="BodyText"/>
    <w:link w:val="HTMLAddressChar"/>
    <w:semiHidden/>
    <w:rsid w:val="00AE0B1A"/>
    <w:pPr>
      <w:spacing w:before="180" w:after="180" w:line="280" w:lineRule="atLeast"/>
    </w:pPr>
    <w:rPr>
      <w:rFonts w:eastAsia="Times" w:cs="Arial"/>
    </w:rPr>
  </w:style>
  <w:style w:type="character" w:customStyle="1" w:styleId="HTMLAddressChar">
    <w:name w:val="HTML Address Char"/>
    <w:aliases w:val="HAd-DO NOT USE Char"/>
    <w:basedOn w:val="DefaultParagraphFont"/>
    <w:link w:val="HTMLAddress"/>
    <w:semiHidden/>
    <w:rsid w:val="00AE0B1A"/>
    <w:rPr>
      <w:rFonts w:ascii="Arial" w:eastAsia="Times" w:hAnsi="Arial" w:cs="Arial"/>
    </w:rPr>
  </w:style>
  <w:style w:type="paragraph" w:styleId="HTMLPreformatted">
    <w:name w:val="HTML Preformatted"/>
    <w:aliases w:val="HP-DO NOT USE"/>
    <w:next w:val="BodyText"/>
    <w:link w:val="HTMLPreformattedChar"/>
    <w:semiHidden/>
    <w:rsid w:val="00AE0B1A"/>
    <w:pPr>
      <w:spacing w:before="180" w:after="180" w:line="280" w:lineRule="atLeast"/>
    </w:pPr>
    <w:rPr>
      <w:rFonts w:eastAsia="Times" w:cs="Arial"/>
    </w:rPr>
  </w:style>
  <w:style w:type="character" w:customStyle="1" w:styleId="HTMLPreformattedChar">
    <w:name w:val="HTML Preformatted Char"/>
    <w:aliases w:val="HP-DO NOT USE Char"/>
    <w:basedOn w:val="DefaultParagraphFont"/>
    <w:link w:val="HTMLPreformatted"/>
    <w:semiHidden/>
    <w:rsid w:val="00AE0B1A"/>
    <w:rPr>
      <w:rFonts w:ascii="Arial" w:eastAsia="Times" w:hAnsi="Arial" w:cs="Arial"/>
    </w:rPr>
  </w:style>
  <w:style w:type="paragraph" w:styleId="List">
    <w:name w:val="List"/>
    <w:basedOn w:val="BodyText"/>
    <w:next w:val="BodyText"/>
    <w:semiHidden/>
    <w:rsid w:val="00AE0B1A"/>
    <w:pPr>
      <w:ind w:left="283" w:hanging="283"/>
    </w:pPr>
  </w:style>
  <w:style w:type="paragraph" w:styleId="List2">
    <w:name w:val="List 2"/>
    <w:basedOn w:val="List"/>
    <w:next w:val="BodyText"/>
    <w:semiHidden/>
    <w:rsid w:val="00AE0B1A"/>
    <w:pPr>
      <w:ind w:left="566"/>
    </w:pPr>
  </w:style>
  <w:style w:type="paragraph" w:styleId="List3">
    <w:name w:val="List 3"/>
    <w:basedOn w:val="List2"/>
    <w:next w:val="BodyText"/>
    <w:semiHidden/>
    <w:rsid w:val="00AE0B1A"/>
    <w:pPr>
      <w:ind w:left="849"/>
    </w:pPr>
  </w:style>
  <w:style w:type="paragraph" w:styleId="List4">
    <w:name w:val="List 4"/>
    <w:basedOn w:val="List3"/>
    <w:next w:val="BodyText"/>
    <w:semiHidden/>
    <w:rsid w:val="00AE0B1A"/>
    <w:pPr>
      <w:ind w:left="1132"/>
    </w:pPr>
  </w:style>
  <w:style w:type="paragraph" w:styleId="List5">
    <w:name w:val="List 5"/>
    <w:basedOn w:val="List4"/>
    <w:next w:val="BodyText"/>
    <w:semiHidden/>
    <w:rsid w:val="00AE0B1A"/>
    <w:pPr>
      <w:ind w:left="1415"/>
    </w:pPr>
  </w:style>
  <w:style w:type="paragraph" w:styleId="ListBullet">
    <w:name w:val="List Bullet"/>
    <w:basedOn w:val="BodyText"/>
    <w:next w:val="BodyText"/>
    <w:semiHidden/>
    <w:rsid w:val="00AE0B1A"/>
    <w:pPr>
      <w:numPr>
        <w:numId w:val="1"/>
      </w:numPr>
    </w:pPr>
  </w:style>
  <w:style w:type="paragraph" w:styleId="ListBullet2">
    <w:name w:val="List Bullet 2"/>
    <w:basedOn w:val="ListBullet"/>
    <w:next w:val="BodyText"/>
    <w:semiHidden/>
    <w:rsid w:val="00AE0B1A"/>
    <w:pPr>
      <w:numPr>
        <w:numId w:val="2"/>
      </w:numPr>
    </w:pPr>
  </w:style>
  <w:style w:type="paragraph" w:styleId="ListBullet3">
    <w:name w:val="List Bullet 3"/>
    <w:basedOn w:val="ListBullet2"/>
    <w:next w:val="BodyText"/>
    <w:semiHidden/>
    <w:rsid w:val="00AE0B1A"/>
    <w:pPr>
      <w:numPr>
        <w:numId w:val="3"/>
      </w:numPr>
    </w:pPr>
  </w:style>
  <w:style w:type="paragraph" w:styleId="ListBullet4">
    <w:name w:val="List Bullet 4"/>
    <w:basedOn w:val="ListBullet3"/>
    <w:next w:val="BodyText"/>
    <w:semiHidden/>
    <w:rsid w:val="00AE0B1A"/>
    <w:pPr>
      <w:numPr>
        <w:numId w:val="4"/>
      </w:numPr>
    </w:pPr>
  </w:style>
  <w:style w:type="paragraph" w:styleId="ListBullet5">
    <w:name w:val="List Bullet 5"/>
    <w:basedOn w:val="ListBullet4"/>
    <w:next w:val="BodyText"/>
    <w:semiHidden/>
    <w:rsid w:val="00AE0B1A"/>
    <w:pPr>
      <w:numPr>
        <w:numId w:val="5"/>
      </w:numPr>
    </w:pPr>
  </w:style>
  <w:style w:type="paragraph" w:styleId="ListContinue">
    <w:name w:val="List Continue"/>
    <w:basedOn w:val="BodyText"/>
    <w:next w:val="BodyText"/>
    <w:semiHidden/>
    <w:rsid w:val="00AE0B1A"/>
    <w:pPr>
      <w:ind w:left="283"/>
    </w:pPr>
  </w:style>
  <w:style w:type="paragraph" w:styleId="ListContinue2">
    <w:name w:val="List Continue 2"/>
    <w:basedOn w:val="ListContinue"/>
    <w:next w:val="BodyText"/>
    <w:semiHidden/>
    <w:rsid w:val="00AE0B1A"/>
    <w:pPr>
      <w:ind w:left="566"/>
    </w:pPr>
  </w:style>
  <w:style w:type="paragraph" w:styleId="ListContinue3">
    <w:name w:val="List Continue 3"/>
    <w:basedOn w:val="ListContinue2"/>
    <w:next w:val="BodyText"/>
    <w:semiHidden/>
    <w:rsid w:val="00AE0B1A"/>
    <w:pPr>
      <w:ind w:left="849"/>
    </w:pPr>
  </w:style>
  <w:style w:type="paragraph" w:styleId="ListContinue4">
    <w:name w:val="List Continue 4"/>
    <w:basedOn w:val="ListContinue3"/>
    <w:next w:val="BodyText"/>
    <w:semiHidden/>
    <w:rsid w:val="00AE0B1A"/>
    <w:pPr>
      <w:ind w:left="1132"/>
    </w:pPr>
  </w:style>
  <w:style w:type="paragraph" w:styleId="ListContinue5">
    <w:name w:val="List Continue 5"/>
    <w:basedOn w:val="ListContinue4"/>
    <w:next w:val="BodyText"/>
    <w:semiHidden/>
    <w:rsid w:val="00AE0B1A"/>
    <w:pPr>
      <w:ind w:left="1415"/>
    </w:pPr>
  </w:style>
  <w:style w:type="paragraph" w:styleId="ListNumber">
    <w:name w:val="List Number"/>
    <w:basedOn w:val="BodyText"/>
    <w:next w:val="BodyText"/>
    <w:semiHidden/>
    <w:rsid w:val="00AE0B1A"/>
    <w:pPr>
      <w:numPr>
        <w:numId w:val="6"/>
      </w:numPr>
    </w:pPr>
  </w:style>
  <w:style w:type="paragraph" w:styleId="ListNumber2">
    <w:name w:val="List Number 2"/>
    <w:basedOn w:val="ListNumber"/>
    <w:next w:val="BodyText"/>
    <w:semiHidden/>
    <w:rsid w:val="00AE0B1A"/>
    <w:pPr>
      <w:numPr>
        <w:numId w:val="7"/>
      </w:numPr>
    </w:pPr>
  </w:style>
  <w:style w:type="paragraph" w:styleId="ListNumber3">
    <w:name w:val="List Number 3"/>
    <w:basedOn w:val="ListNumber2"/>
    <w:next w:val="BodyText"/>
    <w:semiHidden/>
    <w:rsid w:val="00AE0B1A"/>
    <w:pPr>
      <w:numPr>
        <w:numId w:val="8"/>
      </w:numPr>
    </w:pPr>
  </w:style>
  <w:style w:type="paragraph" w:styleId="ListNumber4">
    <w:name w:val="List Number 4"/>
    <w:basedOn w:val="ListNumber3"/>
    <w:next w:val="BodyText"/>
    <w:semiHidden/>
    <w:rsid w:val="00AE0B1A"/>
    <w:pPr>
      <w:numPr>
        <w:numId w:val="9"/>
      </w:numPr>
    </w:pPr>
  </w:style>
  <w:style w:type="paragraph" w:styleId="ListNumber5">
    <w:name w:val="List Number 5"/>
    <w:basedOn w:val="ListNumber4"/>
    <w:next w:val="BodyText"/>
    <w:semiHidden/>
    <w:rsid w:val="00AE0B1A"/>
    <w:pPr>
      <w:numPr>
        <w:numId w:val="10"/>
      </w:numPr>
    </w:pPr>
  </w:style>
  <w:style w:type="paragraph" w:styleId="MessageHeader">
    <w:name w:val="Message Header"/>
    <w:aliases w:val="MH-DO NOT USE"/>
    <w:link w:val="MessageHeaderChar"/>
    <w:semiHidden/>
    <w:rsid w:val="00AE0B1A"/>
    <w:pPr>
      <w:spacing w:before="180" w:after="180" w:line="280" w:lineRule="atLeast"/>
    </w:pPr>
    <w:rPr>
      <w:rFonts w:eastAsia="Times" w:cs="Arial"/>
    </w:rPr>
  </w:style>
  <w:style w:type="character" w:customStyle="1" w:styleId="MessageHeaderChar">
    <w:name w:val="Message Header Char"/>
    <w:aliases w:val="MH-DO NOT USE Char"/>
    <w:basedOn w:val="DefaultParagraphFont"/>
    <w:link w:val="MessageHeader"/>
    <w:semiHidden/>
    <w:rsid w:val="00AE0B1A"/>
    <w:rPr>
      <w:rFonts w:ascii="Arial" w:eastAsia="Times" w:hAnsi="Arial" w:cs="Arial"/>
    </w:rPr>
  </w:style>
  <w:style w:type="paragraph" w:styleId="NormalWeb">
    <w:name w:val="Normal (Web)"/>
    <w:aliases w:val="NW-DO NOT USE"/>
    <w:next w:val="BodyText"/>
    <w:semiHidden/>
    <w:rsid w:val="00AE0B1A"/>
    <w:pPr>
      <w:spacing w:before="180" w:after="180" w:line="280" w:lineRule="atLeast"/>
    </w:pPr>
    <w:rPr>
      <w:rFonts w:eastAsia="Times" w:cs="Arial"/>
    </w:rPr>
  </w:style>
  <w:style w:type="paragraph" w:styleId="NormalIndent">
    <w:name w:val="Normal Indent"/>
    <w:aliases w:val="NI-DO NOT USE"/>
    <w:next w:val="BodyText"/>
    <w:semiHidden/>
    <w:rsid w:val="00AE0B1A"/>
    <w:pPr>
      <w:spacing w:before="180" w:after="180" w:line="280" w:lineRule="atLeast"/>
    </w:pPr>
    <w:rPr>
      <w:rFonts w:eastAsia="Times" w:cs="Arial"/>
    </w:rPr>
  </w:style>
  <w:style w:type="paragraph" w:styleId="NoteHeading">
    <w:name w:val="Note Heading"/>
    <w:basedOn w:val="BodyText"/>
    <w:next w:val="BodyText"/>
    <w:link w:val="NoteHeadingChar"/>
    <w:semiHidden/>
    <w:rsid w:val="00AE0B1A"/>
  </w:style>
  <w:style w:type="character" w:customStyle="1" w:styleId="NoteHeadingChar">
    <w:name w:val="Note Heading Char"/>
    <w:basedOn w:val="DefaultParagraphFont"/>
    <w:link w:val="NoteHeading"/>
    <w:semiHidden/>
    <w:rsid w:val="00AE0B1A"/>
    <w:rPr>
      <w:rFonts w:ascii="Arial" w:eastAsia="Times" w:hAnsi="Arial" w:cs="Arial"/>
    </w:rPr>
  </w:style>
  <w:style w:type="character" w:styleId="PageNumber">
    <w:name w:val="page number"/>
    <w:aliases w:val="P-DO NOT USE"/>
    <w:semiHidden/>
    <w:rsid w:val="00AE0B1A"/>
  </w:style>
  <w:style w:type="paragraph" w:styleId="PlainText">
    <w:name w:val="Plain Text"/>
    <w:aliases w:val="PT-DO NOT USE"/>
    <w:link w:val="PlainTextChar"/>
    <w:semiHidden/>
    <w:rsid w:val="00AE0B1A"/>
    <w:pPr>
      <w:spacing w:before="180" w:after="180" w:line="280" w:lineRule="atLeast"/>
    </w:pPr>
    <w:rPr>
      <w:rFonts w:eastAsia="Times" w:cs="Arial"/>
    </w:rPr>
  </w:style>
  <w:style w:type="character" w:customStyle="1" w:styleId="PlainTextChar">
    <w:name w:val="Plain Text Char"/>
    <w:aliases w:val="PT-DO NOT USE Char"/>
    <w:basedOn w:val="DefaultParagraphFont"/>
    <w:link w:val="PlainText"/>
    <w:semiHidden/>
    <w:rsid w:val="00AE0B1A"/>
    <w:rPr>
      <w:rFonts w:ascii="Arial" w:eastAsia="Times" w:hAnsi="Arial" w:cs="Arial"/>
    </w:rPr>
  </w:style>
  <w:style w:type="paragraph" w:styleId="Salutation">
    <w:name w:val="Salutation"/>
    <w:aliases w:val="Sa-DO NOT USE"/>
    <w:next w:val="BodyText"/>
    <w:link w:val="SalutationChar"/>
    <w:semiHidden/>
    <w:rsid w:val="00AE0B1A"/>
    <w:pPr>
      <w:spacing w:before="180" w:after="180" w:line="280" w:lineRule="atLeast"/>
    </w:pPr>
    <w:rPr>
      <w:rFonts w:eastAsia="Times" w:cs="Arial"/>
    </w:rPr>
  </w:style>
  <w:style w:type="character" w:customStyle="1" w:styleId="SalutationChar">
    <w:name w:val="Salutation Char"/>
    <w:aliases w:val="Sa-DO NOT USE Char"/>
    <w:basedOn w:val="DefaultParagraphFont"/>
    <w:link w:val="Salutation"/>
    <w:semiHidden/>
    <w:rsid w:val="00AE0B1A"/>
    <w:rPr>
      <w:rFonts w:ascii="Arial" w:eastAsia="Times" w:hAnsi="Arial" w:cs="Arial"/>
    </w:rPr>
  </w:style>
  <w:style w:type="paragraph" w:styleId="Signature">
    <w:name w:val="Signature"/>
    <w:aliases w:val="Si-DO NOT USE"/>
    <w:next w:val="BodyText"/>
    <w:link w:val="SignatureChar"/>
    <w:semiHidden/>
    <w:rsid w:val="00AE0B1A"/>
    <w:pPr>
      <w:spacing w:before="180" w:after="180" w:line="280" w:lineRule="atLeast"/>
    </w:pPr>
    <w:rPr>
      <w:rFonts w:eastAsia="Times" w:cs="Arial"/>
    </w:rPr>
  </w:style>
  <w:style w:type="character" w:customStyle="1" w:styleId="SignatureChar">
    <w:name w:val="Signature Char"/>
    <w:aliases w:val="Si-DO NOT USE Char"/>
    <w:basedOn w:val="DefaultParagraphFont"/>
    <w:link w:val="Signature"/>
    <w:semiHidden/>
    <w:rsid w:val="00AE0B1A"/>
    <w:rPr>
      <w:rFonts w:ascii="Arial" w:eastAsia="Times" w:hAnsi="Arial" w:cs="Arial"/>
    </w:rPr>
  </w:style>
  <w:style w:type="paragraph" w:styleId="Subtitle">
    <w:name w:val="Subtitle"/>
    <w:aliases w:val="S-DO NOT USE"/>
    <w:next w:val="BodyText"/>
    <w:link w:val="SubtitleChar"/>
    <w:qFormat/>
    <w:rsid w:val="00AE0B1A"/>
    <w:pPr>
      <w:spacing w:before="180" w:after="180" w:line="280" w:lineRule="atLeast"/>
    </w:pPr>
    <w:rPr>
      <w:rFonts w:eastAsia="Times" w:cs="Arial"/>
    </w:rPr>
  </w:style>
  <w:style w:type="character" w:customStyle="1" w:styleId="SubtitleChar">
    <w:name w:val="Subtitle Char"/>
    <w:aliases w:val="S-DO NOT USE Char"/>
    <w:basedOn w:val="DefaultParagraphFont"/>
    <w:link w:val="Subtitle"/>
    <w:rsid w:val="00AE0B1A"/>
    <w:rPr>
      <w:rFonts w:ascii="Arial" w:eastAsia="Times" w:hAnsi="Arial" w:cs="Arial"/>
    </w:rPr>
  </w:style>
  <w:style w:type="table" w:styleId="Table3Deffects1">
    <w:name w:val="Table 3D effects 1"/>
    <w:basedOn w:val="TableNormal"/>
    <w:rsid w:val="00AE0B1A"/>
    <w:pPr>
      <w:spacing w:before="600" w:after="600" w:line="280" w:lineRule="atLeast"/>
      <w:jc w:val="right"/>
    </w:pPr>
    <w:rPr>
      <w:rFonts w:eastAsia="Times"/>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styleId="Title">
    <w:name w:val="Title"/>
    <w:aliases w:val="T-DO NOT USE"/>
    <w:next w:val="BodyText"/>
    <w:link w:val="TitleChar"/>
    <w:qFormat/>
    <w:rsid w:val="00AE0B1A"/>
    <w:pPr>
      <w:spacing w:before="180" w:after="180" w:line="280" w:lineRule="atLeast"/>
    </w:pPr>
    <w:rPr>
      <w:rFonts w:eastAsia="Times" w:cs="Arial"/>
    </w:rPr>
  </w:style>
  <w:style w:type="character" w:customStyle="1" w:styleId="TitleChar">
    <w:name w:val="Title Char"/>
    <w:aliases w:val="T-DO NOT USE Char"/>
    <w:basedOn w:val="DefaultParagraphFont"/>
    <w:link w:val="Title"/>
    <w:rsid w:val="00AE0B1A"/>
    <w:rPr>
      <w:rFonts w:ascii="Arial" w:eastAsia="Times" w:hAnsi="Arial" w:cs="Arial"/>
    </w:rPr>
  </w:style>
  <w:style w:type="character" w:customStyle="1" w:styleId="Head1nonumbersChar">
    <w:name w:val="Head 1 no numbers Char"/>
    <w:basedOn w:val="Heading1Char"/>
    <w:link w:val="Head1nonumbers"/>
    <w:rsid w:val="00AE0B1A"/>
    <w:rPr>
      <w:rFonts w:ascii="Arial" w:eastAsia="Times" w:hAnsi="Arial" w:cs="Arial"/>
      <w:kern w:val="28"/>
      <w:sz w:val="40"/>
    </w:rPr>
  </w:style>
  <w:style w:type="paragraph" w:customStyle="1" w:styleId="Head2nonumbers">
    <w:name w:val="Head 2 no numbers"/>
    <w:basedOn w:val="Head1nonumbers"/>
    <w:next w:val="BodyText"/>
    <w:link w:val="Head2nonumbersChar"/>
    <w:qFormat/>
    <w:rsid w:val="00AE0B1A"/>
    <w:pPr>
      <w:pageBreakBefore w:val="0"/>
      <w:numPr>
        <w:ilvl w:val="1"/>
      </w:numPr>
      <w:spacing w:before="480" w:after="180"/>
      <w:outlineLvl w:val="1"/>
    </w:pPr>
    <w:rPr>
      <w:sz w:val="30"/>
      <w:szCs w:val="28"/>
    </w:rPr>
  </w:style>
  <w:style w:type="paragraph" w:customStyle="1" w:styleId="Head3nonumbers">
    <w:name w:val="Head 3 no numbers"/>
    <w:basedOn w:val="Head2nonumbers"/>
    <w:next w:val="BodyText"/>
    <w:link w:val="Head3nonumbersChar"/>
    <w:qFormat/>
    <w:rsid w:val="00AE0B1A"/>
    <w:pPr>
      <w:numPr>
        <w:ilvl w:val="2"/>
      </w:numPr>
      <w:outlineLvl w:val="2"/>
    </w:pPr>
    <w:rPr>
      <w:rFonts w:cs="Lucida Sans Unicode"/>
      <w:b/>
      <w:sz w:val="24"/>
      <w:szCs w:val="24"/>
    </w:rPr>
  </w:style>
  <w:style w:type="paragraph" w:customStyle="1" w:styleId="Head4nonumbers">
    <w:name w:val="Head 4 no numbers"/>
    <w:basedOn w:val="Head3nonumbers"/>
    <w:next w:val="BodyText"/>
    <w:link w:val="Head4nonumbersChar"/>
    <w:qFormat/>
    <w:rsid w:val="00AE0B1A"/>
    <w:pPr>
      <w:numPr>
        <w:ilvl w:val="3"/>
      </w:numPr>
      <w:spacing w:before="180"/>
      <w:outlineLvl w:val="3"/>
    </w:pPr>
    <w:rPr>
      <w:i/>
      <w:sz w:val="22"/>
      <w:szCs w:val="22"/>
    </w:rPr>
  </w:style>
  <w:style w:type="paragraph" w:customStyle="1" w:styleId="Head5nonumbers">
    <w:name w:val="Head 5 no numbers"/>
    <w:basedOn w:val="Head4nonumbers"/>
    <w:next w:val="BodyText"/>
    <w:qFormat/>
    <w:rsid w:val="00AE0B1A"/>
    <w:pPr>
      <w:numPr>
        <w:ilvl w:val="4"/>
      </w:numPr>
      <w:outlineLvl w:val="4"/>
    </w:pPr>
    <w:rPr>
      <w:b w:val="0"/>
    </w:rPr>
  </w:style>
  <w:style w:type="character" w:customStyle="1" w:styleId="Head2nonumbersChar">
    <w:name w:val="Head 2 no numbers Char"/>
    <w:basedOn w:val="Head1nonumbersChar"/>
    <w:link w:val="Head2nonumbers"/>
    <w:rsid w:val="00AE0B1A"/>
    <w:rPr>
      <w:rFonts w:ascii="Arial" w:eastAsia="Times" w:hAnsi="Arial" w:cs="Arial"/>
      <w:kern w:val="28"/>
      <w:sz w:val="30"/>
      <w:szCs w:val="28"/>
    </w:rPr>
  </w:style>
  <w:style w:type="character" w:customStyle="1" w:styleId="Head3nonumbersChar">
    <w:name w:val="Head 3 no numbers Char"/>
    <w:basedOn w:val="Head2nonumbersChar"/>
    <w:link w:val="Head3nonumbers"/>
    <w:rsid w:val="00AE0B1A"/>
    <w:rPr>
      <w:rFonts w:ascii="Arial" w:eastAsia="Times" w:hAnsi="Arial" w:cs="Lucida Sans Unicode"/>
      <w:b/>
      <w:kern w:val="28"/>
      <w:sz w:val="24"/>
      <w:szCs w:val="24"/>
    </w:rPr>
  </w:style>
  <w:style w:type="character" w:customStyle="1" w:styleId="Head4nonumbersChar">
    <w:name w:val="Head 4 no numbers Char"/>
    <w:basedOn w:val="Heading4Char"/>
    <w:link w:val="Head4nonumbers"/>
    <w:rsid w:val="00AE0B1A"/>
    <w:rPr>
      <w:rFonts w:ascii="Arial" w:eastAsia="Times" w:hAnsi="Arial" w:cs="Lucida Sans Unicode"/>
      <w:b/>
      <w:i/>
      <w:kern w:val="28"/>
      <w:sz w:val="22"/>
      <w:szCs w:val="22"/>
    </w:rPr>
  </w:style>
  <w:style w:type="paragraph" w:styleId="TOC6">
    <w:name w:val="toc 6"/>
    <w:basedOn w:val="Normal"/>
    <w:next w:val="Normal"/>
    <w:autoRedefine/>
    <w:uiPriority w:val="39"/>
    <w:rsid w:val="00AE0B1A"/>
    <w:pPr>
      <w:ind w:left="1050"/>
    </w:pPr>
  </w:style>
  <w:style w:type="paragraph" w:customStyle="1" w:styleId="Listbulletlevel1numbered">
    <w:name w:val="List bullet level 1 numbered"/>
    <w:basedOn w:val="BodyText"/>
    <w:next w:val="BodyText"/>
    <w:link w:val="Listbulletlevel1numberedChar"/>
    <w:qFormat/>
    <w:rsid w:val="00AE0B1A"/>
    <w:pPr>
      <w:numPr>
        <w:numId w:val="17"/>
      </w:numPr>
      <w:spacing w:before="60" w:after="60"/>
      <w:ind w:left="568" w:hanging="284"/>
    </w:pPr>
  </w:style>
  <w:style w:type="character" w:customStyle="1" w:styleId="Listbulletlevel1numberedChar">
    <w:name w:val="List bullet level 1 numbered Char"/>
    <w:basedOn w:val="Listbulletlevel1Char"/>
    <w:link w:val="Listbulletlevel1numbered"/>
    <w:rsid w:val="00AE0B1A"/>
    <w:rPr>
      <w:rFonts w:ascii="Arial" w:eastAsia="Times" w:hAnsi="Arial" w:cs="Arial"/>
    </w:rPr>
  </w:style>
  <w:style w:type="paragraph" w:customStyle="1" w:styleId="Listbulletlevel2numbered">
    <w:name w:val="List bullet level 2 numbered"/>
    <w:basedOn w:val="Listbulletlevel1numbered"/>
    <w:qFormat/>
    <w:rsid w:val="00AE0B1A"/>
    <w:pPr>
      <w:numPr>
        <w:ilvl w:val="1"/>
      </w:numPr>
      <w:ind w:left="851" w:hanging="284"/>
    </w:pPr>
  </w:style>
  <w:style w:type="paragraph" w:styleId="TableofFigures">
    <w:name w:val="table of figures"/>
    <w:basedOn w:val="TOC1"/>
    <w:next w:val="BodyText"/>
    <w:uiPriority w:val="99"/>
    <w:qFormat/>
    <w:rsid w:val="00AE0B1A"/>
  </w:style>
  <w:style w:type="numbering" w:styleId="111111">
    <w:name w:val="Outline List 2"/>
    <w:basedOn w:val="NoList"/>
    <w:rsid w:val="00AE0B1A"/>
    <w:pPr>
      <w:numPr>
        <w:numId w:val="12"/>
      </w:numPr>
    </w:pPr>
  </w:style>
  <w:style w:type="numbering" w:styleId="1ai">
    <w:name w:val="Outline List 1"/>
    <w:basedOn w:val="NoList"/>
    <w:rsid w:val="00AE0B1A"/>
    <w:pPr>
      <w:numPr>
        <w:numId w:val="13"/>
      </w:numPr>
    </w:pPr>
  </w:style>
  <w:style w:type="numbering" w:styleId="ArticleSection">
    <w:name w:val="Outline List 3"/>
    <w:basedOn w:val="NoList"/>
    <w:rsid w:val="00AE0B1A"/>
    <w:pPr>
      <w:numPr>
        <w:numId w:val="14"/>
      </w:numPr>
    </w:pPr>
  </w:style>
  <w:style w:type="character" w:styleId="Emphasis">
    <w:name w:val="Emphasis"/>
    <w:aliases w:val="E-DO NOT USE"/>
    <w:uiPriority w:val="20"/>
    <w:qFormat/>
    <w:rsid w:val="00AE0B1A"/>
  </w:style>
  <w:style w:type="character" w:styleId="HTMLAcronym">
    <w:name w:val="HTML Acronym"/>
    <w:aliases w:val="HA-DO NOT USE"/>
    <w:semiHidden/>
    <w:rsid w:val="00AE0B1A"/>
  </w:style>
  <w:style w:type="character" w:styleId="HTMLCite">
    <w:name w:val="HTML Cite"/>
    <w:aliases w:val="HCi-DO NOT USE"/>
    <w:semiHidden/>
    <w:rsid w:val="00AE0B1A"/>
  </w:style>
  <w:style w:type="character" w:styleId="HTMLCode">
    <w:name w:val="HTML Code"/>
    <w:aliases w:val="HC-DO NOT USE"/>
    <w:semiHidden/>
    <w:rsid w:val="00AE0B1A"/>
  </w:style>
  <w:style w:type="character" w:styleId="HTMLDefinition">
    <w:name w:val="HTML Definition"/>
    <w:aliases w:val="HD-DO NOT USE"/>
    <w:semiHidden/>
    <w:rsid w:val="00AE0B1A"/>
  </w:style>
  <w:style w:type="character" w:styleId="HTMLKeyboard">
    <w:name w:val="HTML Keyboard"/>
    <w:aliases w:val="HK-DO NOT USE"/>
    <w:semiHidden/>
    <w:rsid w:val="00AE0B1A"/>
  </w:style>
  <w:style w:type="character" w:styleId="HTMLSample">
    <w:name w:val="HTML Sample"/>
    <w:aliases w:val="HS-DO NOT USE"/>
    <w:semiHidden/>
    <w:rsid w:val="00AE0B1A"/>
  </w:style>
  <w:style w:type="character" w:styleId="HTMLTypewriter">
    <w:name w:val="HTML Typewriter"/>
    <w:aliases w:val="HT-DO NOT USE"/>
    <w:semiHidden/>
    <w:rsid w:val="00AE0B1A"/>
  </w:style>
  <w:style w:type="character" w:styleId="HTMLVariable">
    <w:name w:val="HTML Variable"/>
    <w:aliases w:val="HV-DO NOT USE"/>
    <w:semiHidden/>
    <w:rsid w:val="00AE0B1A"/>
  </w:style>
  <w:style w:type="character" w:styleId="LineNumber">
    <w:name w:val="line number"/>
    <w:aliases w:val="LN-DO NOT USE"/>
    <w:semiHidden/>
    <w:rsid w:val="00AE0B1A"/>
  </w:style>
  <w:style w:type="table" w:styleId="Table3Deffects2">
    <w:name w:val="Table 3D effects 2"/>
    <w:basedOn w:val="TableNormal"/>
    <w:rsid w:val="00AE0B1A"/>
    <w:pPr>
      <w:spacing w:before="180" w:after="180" w:line="280" w:lineRule="atLeast"/>
    </w:pPr>
    <w:rPr>
      <w:rFonts w:eastAsia="Times"/>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AE0B1A"/>
    <w:pPr>
      <w:spacing w:before="180" w:after="180" w:line="280" w:lineRule="atLeast"/>
    </w:pPr>
    <w:rPr>
      <w:rFonts w:eastAsia="Times"/>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AE0B1A"/>
    <w:pPr>
      <w:spacing w:before="180" w:after="180" w:line="280" w:lineRule="atLeast"/>
    </w:pPr>
    <w:rPr>
      <w:rFonts w:eastAsia="Time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AE0B1A"/>
    <w:pPr>
      <w:spacing w:before="180" w:after="180" w:line="280" w:lineRule="atLeast"/>
    </w:pPr>
    <w:rPr>
      <w:rFonts w:eastAsia="Times"/>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AE0B1A"/>
    <w:pPr>
      <w:spacing w:before="180" w:after="180" w:line="280" w:lineRule="atLeast"/>
    </w:pPr>
    <w:rPr>
      <w:rFonts w:eastAsia="Times"/>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AE0B1A"/>
    <w:pPr>
      <w:spacing w:before="180" w:after="180" w:line="280" w:lineRule="atLeast"/>
    </w:pPr>
    <w:rPr>
      <w:rFonts w:eastAsia="Times"/>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AE0B1A"/>
    <w:pPr>
      <w:spacing w:before="180" w:after="180" w:line="280" w:lineRule="atLeast"/>
    </w:pPr>
    <w:rPr>
      <w:rFonts w:eastAsia="Times"/>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AE0B1A"/>
    <w:pPr>
      <w:spacing w:before="180" w:after="180" w:line="280" w:lineRule="atLeast"/>
    </w:pPr>
    <w:rPr>
      <w:rFonts w:eastAsia="Times"/>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AE0B1A"/>
    <w:pPr>
      <w:spacing w:before="180" w:after="180" w:line="280" w:lineRule="atLeast"/>
    </w:pPr>
    <w:rPr>
      <w:rFonts w:eastAsia="Times"/>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AE0B1A"/>
    <w:pPr>
      <w:spacing w:before="180" w:after="180" w:line="280" w:lineRule="atLeast"/>
    </w:pPr>
    <w:rPr>
      <w:rFonts w:eastAsia="Times"/>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AE0B1A"/>
    <w:pPr>
      <w:spacing w:before="180" w:after="180" w:line="280" w:lineRule="atLeast"/>
    </w:pPr>
    <w:rPr>
      <w:rFonts w:eastAsia="Times"/>
      <w:b/>
      <w:bC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AE0B1A"/>
    <w:pPr>
      <w:spacing w:before="180" w:after="180" w:line="280" w:lineRule="atLeast"/>
    </w:pPr>
    <w:rPr>
      <w:rFonts w:eastAsia="Times"/>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AE0B1A"/>
    <w:pPr>
      <w:spacing w:before="180" w:after="180" w:line="280" w:lineRule="atLeast"/>
    </w:pPr>
    <w:rPr>
      <w:rFonts w:eastAsia="Times"/>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AE0B1A"/>
    <w:pPr>
      <w:spacing w:before="180" w:after="180" w:line="280" w:lineRule="atLeast"/>
    </w:pPr>
    <w:rPr>
      <w:rFonts w:eastAsia="Times"/>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AE0B1A"/>
    <w:pPr>
      <w:spacing w:before="180" w:after="180" w:line="280" w:lineRule="atLeast"/>
    </w:pPr>
    <w:rPr>
      <w:rFonts w:eastAsia="Times"/>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AE0B1A"/>
    <w:pPr>
      <w:spacing w:before="180" w:after="180" w:line="280" w:lineRule="atLeast"/>
    </w:pPr>
    <w:rPr>
      <w:rFonts w:eastAsia="Times"/>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AE0B1A"/>
    <w:pPr>
      <w:spacing w:before="180" w:after="180" w:line="280" w:lineRule="atLeast"/>
    </w:pPr>
    <w:rPr>
      <w:rFonts w:eastAsia="Tim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1">
    <w:name w:val="Table Grid 1"/>
    <w:basedOn w:val="TableNormal"/>
    <w:rsid w:val="00AE0B1A"/>
    <w:pPr>
      <w:spacing w:before="180" w:after="180" w:line="280" w:lineRule="atLeast"/>
    </w:pPr>
    <w:rPr>
      <w:rFonts w:eastAsia="Time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AE0B1A"/>
    <w:pPr>
      <w:spacing w:before="180" w:after="180" w:line="280" w:lineRule="atLeast"/>
    </w:pPr>
    <w:rPr>
      <w:rFonts w:eastAsia="Times"/>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AE0B1A"/>
    <w:pPr>
      <w:spacing w:before="180" w:after="180" w:line="280" w:lineRule="atLeast"/>
    </w:pPr>
    <w:rPr>
      <w:rFonts w:eastAsia="Times"/>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AE0B1A"/>
    <w:pPr>
      <w:spacing w:before="180" w:after="180" w:line="280" w:lineRule="atLeast"/>
    </w:pPr>
    <w:rPr>
      <w:rFonts w:eastAsia="Times"/>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AE0B1A"/>
    <w:pPr>
      <w:spacing w:before="180" w:after="180" w:line="280" w:lineRule="atLeast"/>
    </w:pPr>
    <w:rPr>
      <w:rFonts w:eastAsia="Time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AE0B1A"/>
    <w:pPr>
      <w:spacing w:before="180" w:after="180" w:line="280" w:lineRule="atLeast"/>
    </w:pPr>
    <w:rPr>
      <w:rFonts w:eastAsia="Times"/>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AE0B1A"/>
    <w:pPr>
      <w:spacing w:before="180" w:after="180" w:line="280" w:lineRule="atLeast"/>
    </w:pPr>
    <w:rPr>
      <w:rFonts w:eastAsia="Times"/>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AE0B1A"/>
    <w:pPr>
      <w:spacing w:before="180" w:after="180" w:line="280" w:lineRule="atLeast"/>
    </w:pPr>
    <w:rPr>
      <w:rFonts w:eastAsia="Times"/>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AE0B1A"/>
    <w:pPr>
      <w:spacing w:before="180" w:after="180" w:line="280" w:lineRule="atLeast"/>
    </w:pPr>
    <w:rPr>
      <w:rFonts w:eastAsia="Times"/>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AE0B1A"/>
    <w:pPr>
      <w:spacing w:before="180" w:after="180" w:line="280" w:lineRule="atLeast"/>
    </w:pPr>
    <w:rPr>
      <w:rFonts w:eastAsia="Times"/>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AE0B1A"/>
    <w:pPr>
      <w:spacing w:before="180" w:after="180" w:line="280" w:lineRule="atLeast"/>
    </w:pPr>
    <w:rPr>
      <w:rFonts w:eastAsia="Times"/>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AE0B1A"/>
    <w:pPr>
      <w:spacing w:before="180" w:after="180" w:line="280" w:lineRule="atLeast"/>
    </w:pPr>
    <w:rPr>
      <w:rFonts w:eastAsia="Times"/>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AE0B1A"/>
    <w:pPr>
      <w:spacing w:before="180" w:after="180" w:line="280" w:lineRule="atLeast"/>
    </w:pPr>
    <w:rPr>
      <w:rFonts w:eastAsia="Times"/>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AE0B1A"/>
    <w:pPr>
      <w:spacing w:before="180" w:after="180" w:line="280" w:lineRule="atLeast"/>
    </w:pPr>
    <w:rPr>
      <w:rFonts w:eastAsia="Times"/>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AE0B1A"/>
    <w:pPr>
      <w:spacing w:before="180" w:after="180" w:line="280" w:lineRule="atLeast"/>
    </w:pPr>
    <w:rPr>
      <w:rFonts w:eastAsia="Times"/>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AE0B1A"/>
    <w:pPr>
      <w:spacing w:before="180" w:after="180" w:line="280" w:lineRule="atLeast"/>
    </w:pPr>
    <w:rPr>
      <w:rFonts w:eastAsia="Times"/>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AE0B1A"/>
    <w:pPr>
      <w:spacing w:before="180" w:after="180" w:line="280" w:lineRule="atLeast"/>
    </w:pPr>
    <w:rPr>
      <w:rFonts w:eastAsia="Times"/>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AE0B1A"/>
    <w:pPr>
      <w:spacing w:before="180" w:after="180" w:line="280" w:lineRule="atLeast"/>
    </w:pPr>
    <w:rPr>
      <w:rFonts w:eastAsia="Times"/>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AE0B1A"/>
    <w:pPr>
      <w:spacing w:before="180" w:after="180" w:line="280" w:lineRule="atLeast"/>
    </w:pPr>
    <w:rPr>
      <w:rFonts w:eastAsia="Times"/>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AE0B1A"/>
    <w:pPr>
      <w:spacing w:before="180" w:after="180" w:line="280" w:lineRule="atLeast"/>
    </w:pPr>
    <w:rPr>
      <w:rFonts w:eastAsia="Times"/>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AE0B1A"/>
    <w:pPr>
      <w:spacing w:before="180" w:after="180" w:line="280" w:lineRule="atLeast"/>
    </w:pPr>
    <w:rPr>
      <w:rFonts w:eastAsia="Times"/>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AE0B1A"/>
    <w:pPr>
      <w:spacing w:before="180" w:after="180" w:line="280" w:lineRule="atLeast"/>
    </w:pPr>
    <w:rPr>
      <w:rFonts w:eastAsia="Times"/>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AE0B1A"/>
    <w:pPr>
      <w:spacing w:before="180" w:after="180" w:line="280" w:lineRule="atLeast"/>
    </w:pPr>
    <w:rPr>
      <w:rFonts w:eastAsia="Tim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Web1">
    <w:name w:val="Table Web 1"/>
    <w:basedOn w:val="TableNormal"/>
    <w:rsid w:val="00AE0B1A"/>
    <w:pPr>
      <w:spacing w:before="180" w:after="180" w:line="280" w:lineRule="atLeast"/>
    </w:pPr>
    <w:rPr>
      <w:rFonts w:eastAsia="Times"/>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AE0B1A"/>
    <w:pPr>
      <w:spacing w:before="180" w:after="180" w:line="280" w:lineRule="atLeast"/>
    </w:pPr>
    <w:rPr>
      <w:rFonts w:eastAsia="Times"/>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AE0B1A"/>
    <w:pPr>
      <w:spacing w:before="180" w:after="180" w:line="280" w:lineRule="atLeast"/>
    </w:pPr>
    <w:rPr>
      <w:rFonts w:eastAsia="Times"/>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AHeaderRow">
    <w:name w:val="Table GA Header Row"/>
    <w:basedOn w:val="TableNormal"/>
    <w:rsid w:val="00AE0B1A"/>
    <w:pPr>
      <w:spacing w:before="20" w:after="20" w:line="200" w:lineRule="atLeast"/>
    </w:pPr>
    <w:rPr>
      <w:rFonts w:eastAsia="Times"/>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character" w:customStyle="1" w:styleId="Superscript">
    <w:name w:val="Superscript"/>
    <w:basedOn w:val="DefaultParagraphFont"/>
    <w:qFormat/>
    <w:rsid w:val="00AE0B1A"/>
    <w:rPr>
      <w:position w:val="0"/>
      <w:vertAlign w:val="superscript"/>
    </w:rPr>
  </w:style>
  <w:style w:type="character" w:customStyle="1" w:styleId="Subscript">
    <w:name w:val="Subscript"/>
    <w:basedOn w:val="DefaultParagraphFont"/>
    <w:qFormat/>
    <w:rsid w:val="00AE0B1A"/>
    <w:rPr>
      <w:position w:val="-4"/>
      <w:vertAlign w:val="subscript"/>
    </w:rPr>
  </w:style>
  <w:style w:type="paragraph" w:styleId="BodyText2">
    <w:name w:val="Body Text 2"/>
    <w:aliases w:val="BT2-DO NOT USE"/>
    <w:basedOn w:val="Normal"/>
    <w:link w:val="BodyText2Char"/>
    <w:semiHidden/>
    <w:rsid w:val="00AE0B1A"/>
    <w:pPr>
      <w:spacing w:after="120" w:line="480" w:lineRule="auto"/>
    </w:pPr>
  </w:style>
  <w:style w:type="character" w:customStyle="1" w:styleId="BodyText2Char">
    <w:name w:val="Body Text 2 Char"/>
    <w:aliases w:val="BT2-DO NOT USE Char"/>
    <w:basedOn w:val="DefaultParagraphFont"/>
    <w:link w:val="BodyText2"/>
    <w:semiHidden/>
    <w:rsid w:val="00AE0B1A"/>
    <w:rPr>
      <w:rFonts w:ascii="Arial" w:eastAsia="Times" w:hAnsi="Arial" w:cs="Arial"/>
    </w:rPr>
  </w:style>
  <w:style w:type="table" w:styleId="LightShading-Accent5">
    <w:name w:val="Light Shading Accent 5"/>
    <w:basedOn w:val="TableNormal"/>
    <w:uiPriority w:val="60"/>
    <w:rsid w:val="00AE0B1A"/>
    <w:pPr>
      <w:spacing w:before="180" w:after="180"/>
    </w:pPr>
    <w:rPr>
      <w:rFonts w:eastAsia="Times"/>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rsid w:val="00AE0B1A"/>
    <w:pPr>
      <w:spacing w:before="180" w:after="180"/>
    </w:pPr>
    <w:rPr>
      <w:rFonts w:eastAsia="Times"/>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AE0B1A"/>
    <w:pPr>
      <w:spacing w:before="180" w:after="180"/>
    </w:pPr>
    <w:rPr>
      <w:rFonts w:eastAsia="Times"/>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AE0B1A"/>
    <w:pPr>
      <w:spacing w:before="180" w:after="180"/>
    </w:pPr>
    <w:rPr>
      <w:rFonts w:eastAsia="Times"/>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AE0B1A"/>
    <w:pPr>
      <w:spacing w:before="180" w:after="180"/>
    </w:pPr>
    <w:rPr>
      <w:rFonts w:eastAsia="Times"/>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
    <w:name w:val="Light Shading"/>
    <w:basedOn w:val="TableNormal"/>
    <w:uiPriority w:val="60"/>
    <w:rsid w:val="00AE0B1A"/>
    <w:pPr>
      <w:spacing w:before="180" w:after="180"/>
    </w:pPr>
    <w:rPr>
      <w:rFonts w:eastAsia="Times"/>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Shading2-Accent4">
    <w:name w:val="Medium Shading 2 Accent 4"/>
    <w:basedOn w:val="TableNormal"/>
    <w:uiPriority w:val="64"/>
    <w:rsid w:val="00AE0B1A"/>
    <w:pPr>
      <w:spacing w:before="180" w:after="180"/>
    </w:pPr>
    <w:rPr>
      <w:rFonts w:eastAsia="Time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Documentsubtitle">
    <w:name w:val="Document subtitle"/>
    <w:basedOn w:val="Documenttitle"/>
    <w:next w:val="Record"/>
    <w:link w:val="DocumentsubtitleChar"/>
    <w:qFormat/>
    <w:rsid w:val="00AE0B1A"/>
    <w:pPr>
      <w:spacing w:before="0" w:after="600"/>
      <w:outlineLvl w:val="1"/>
    </w:pPr>
    <w:rPr>
      <w:sz w:val="32"/>
      <w:szCs w:val="36"/>
    </w:rPr>
  </w:style>
  <w:style w:type="character" w:customStyle="1" w:styleId="DocumentsubtitleChar">
    <w:name w:val="Document subtitle Char"/>
    <w:basedOn w:val="DefaultParagraphFont"/>
    <w:link w:val="Documentsubtitle"/>
    <w:rsid w:val="00AE0B1A"/>
    <w:rPr>
      <w:rFonts w:ascii="Arial" w:hAnsi="Arial"/>
      <w:sz w:val="32"/>
      <w:szCs w:val="36"/>
    </w:rPr>
  </w:style>
  <w:style w:type="paragraph" w:styleId="Bibliography">
    <w:name w:val="Bibliography"/>
    <w:next w:val="BodyText"/>
    <w:uiPriority w:val="37"/>
    <w:rsid w:val="00AE0B1A"/>
    <w:pPr>
      <w:pBdr>
        <w:top w:val="single" w:sz="4" w:space="1" w:color="808080"/>
        <w:left w:val="single" w:sz="4" w:space="4" w:color="808080"/>
        <w:bottom w:val="single" w:sz="4" w:space="1" w:color="808080"/>
        <w:right w:val="single" w:sz="4" w:space="4" w:color="808080"/>
      </w:pBdr>
      <w:spacing w:before="360" w:after="160" w:line="280" w:lineRule="atLeast"/>
    </w:pPr>
    <w:rPr>
      <w:rFonts w:cs="Arial"/>
    </w:rPr>
  </w:style>
  <w:style w:type="paragraph" w:styleId="Caption">
    <w:name w:val="caption"/>
    <w:next w:val="BodyText"/>
    <w:qFormat/>
    <w:rsid w:val="00AE0B1A"/>
    <w:pPr>
      <w:spacing w:before="120" w:after="480" w:line="200" w:lineRule="atLeast"/>
    </w:pPr>
    <w:rPr>
      <w:rFonts w:cs="Arial"/>
      <w:i/>
      <w:sz w:val="18"/>
      <w:szCs w:val="18"/>
    </w:rPr>
  </w:style>
  <w:style w:type="paragraph" w:styleId="CommentSubject">
    <w:name w:val="annotation subject"/>
    <w:aliases w:val="CS-DO NOT USE"/>
    <w:link w:val="CommentSubjectChar"/>
    <w:semiHidden/>
    <w:rsid w:val="00AE0B1A"/>
    <w:pPr>
      <w:spacing w:before="180" w:after="180" w:line="280" w:lineRule="atLeast"/>
    </w:pPr>
    <w:rPr>
      <w:rFonts w:eastAsia="Times" w:cs="Arial"/>
    </w:rPr>
  </w:style>
  <w:style w:type="character" w:customStyle="1" w:styleId="CommentSubjectChar">
    <w:name w:val="Comment Subject Char"/>
    <w:aliases w:val="CS-DO NOT USE Char"/>
    <w:basedOn w:val="CommentTextChar"/>
    <w:link w:val="CommentSubject"/>
    <w:semiHidden/>
    <w:rsid w:val="00AE0B1A"/>
    <w:rPr>
      <w:rFonts w:ascii="Arial" w:eastAsia="Times" w:hAnsi="Arial" w:cs="Arial"/>
    </w:rPr>
  </w:style>
  <w:style w:type="paragraph" w:styleId="DocumentMap">
    <w:name w:val="Document Map"/>
    <w:aliases w:val="DM-DO NOT USE"/>
    <w:link w:val="DocumentMapChar"/>
    <w:semiHidden/>
    <w:rsid w:val="00AE0B1A"/>
    <w:pPr>
      <w:spacing w:before="180" w:after="180" w:line="280" w:lineRule="atLeast"/>
    </w:pPr>
    <w:rPr>
      <w:rFonts w:eastAsia="Times" w:cs="Arial"/>
    </w:rPr>
  </w:style>
  <w:style w:type="character" w:customStyle="1" w:styleId="DocumentMapChar">
    <w:name w:val="Document Map Char"/>
    <w:aliases w:val="DM-DO NOT USE Char"/>
    <w:basedOn w:val="DefaultParagraphFont"/>
    <w:link w:val="DocumentMap"/>
    <w:semiHidden/>
    <w:rsid w:val="00AE0B1A"/>
    <w:rPr>
      <w:rFonts w:ascii="Arial" w:eastAsia="Times" w:hAnsi="Arial" w:cs="Arial"/>
    </w:rPr>
  </w:style>
  <w:style w:type="paragraph" w:styleId="FootnoteText">
    <w:name w:val="footnote text"/>
    <w:link w:val="FootnoteTextChar"/>
    <w:rsid w:val="00AE0B1A"/>
    <w:pPr>
      <w:tabs>
        <w:tab w:val="left" w:pos="284"/>
      </w:tabs>
      <w:spacing w:before="30"/>
      <w:ind w:left="113" w:hanging="113"/>
    </w:pPr>
    <w:rPr>
      <w:rFonts w:eastAsia="Times" w:cs="Arial"/>
      <w:sz w:val="16"/>
    </w:rPr>
  </w:style>
  <w:style w:type="character" w:customStyle="1" w:styleId="FootnoteTextChar">
    <w:name w:val="Footnote Text Char"/>
    <w:basedOn w:val="DefaultParagraphFont"/>
    <w:link w:val="FootnoteText"/>
    <w:rsid w:val="00AE0B1A"/>
    <w:rPr>
      <w:rFonts w:ascii="Arial" w:eastAsia="Times" w:hAnsi="Arial" w:cs="Arial"/>
      <w:sz w:val="16"/>
    </w:rPr>
  </w:style>
  <w:style w:type="paragraph" w:styleId="Index1">
    <w:name w:val="index 1"/>
    <w:basedOn w:val="Normal"/>
    <w:next w:val="Normal"/>
    <w:autoRedefine/>
    <w:semiHidden/>
    <w:rsid w:val="00AE0B1A"/>
    <w:pPr>
      <w:spacing w:line="240" w:lineRule="auto"/>
      <w:ind w:left="200" w:hanging="200"/>
    </w:pPr>
  </w:style>
  <w:style w:type="paragraph" w:styleId="Index2">
    <w:name w:val="index 2"/>
    <w:basedOn w:val="Normal"/>
    <w:next w:val="Normal"/>
    <w:autoRedefine/>
    <w:semiHidden/>
    <w:rsid w:val="00AE0B1A"/>
    <w:pPr>
      <w:spacing w:line="240" w:lineRule="auto"/>
      <w:ind w:left="400" w:hanging="200"/>
    </w:pPr>
  </w:style>
  <w:style w:type="paragraph" w:styleId="Index3">
    <w:name w:val="index 3"/>
    <w:basedOn w:val="Normal"/>
    <w:next w:val="Normal"/>
    <w:autoRedefine/>
    <w:semiHidden/>
    <w:rsid w:val="00AE0B1A"/>
    <w:pPr>
      <w:spacing w:line="240" w:lineRule="auto"/>
      <w:ind w:left="600" w:hanging="200"/>
    </w:pPr>
  </w:style>
  <w:style w:type="paragraph" w:styleId="Index4">
    <w:name w:val="index 4"/>
    <w:basedOn w:val="Normal"/>
    <w:next w:val="Normal"/>
    <w:autoRedefine/>
    <w:semiHidden/>
    <w:rsid w:val="00AE0B1A"/>
    <w:pPr>
      <w:spacing w:line="240" w:lineRule="auto"/>
      <w:ind w:left="800" w:hanging="200"/>
    </w:pPr>
  </w:style>
  <w:style w:type="paragraph" w:styleId="Index5">
    <w:name w:val="index 5"/>
    <w:basedOn w:val="Normal"/>
    <w:next w:val="Normal"/>
    <w:autoRedefine/>
    <w:semiHidden/>
    <w:rsid w:val="00AE0B1A"/>
    <w:pPr>
      <w:spacing w:line="240" w:lineRule="auto"/>
      <w:ind w:left="1000" w:hanging="200"/>
    </w:pPr>
  </w:style>
  <w:style w:type="paragraph" w:styleId="Index6">
    <w:name w:val="index 6"/>
    <w:basedOn w:val="Normal"/>
    <w:next w:val="Normal"/>
    <w:autoRedefine/>
    <w:semiHidden/>
    <w:rsid w:val="00AE0B1A"/>
    <w:pPr>
      <w:spacing w:line="240" w:lineRule="auto"/>
      <w:ind w:left="1200" w:hanging="200"/>
    </w:pPr>
  </w:style>
  <w:style w:type="paragraph" w:styleId="Index7">
    <w:name w:val="index 7"/>
    <w:basedOn w:val="Normal"/>
    <w:next w:val="Normal"/>
    <w:autoRedefine/>
    <w:semiHidden/>
    <w:rsid w:val="00AE0B1A"/>
    <w:pPr>
      <w:spacing w:line="240" w:lineRule="auto"/>
      <w:ind w:left="1400" w:hanging="200"/>
    </w:pPr>
  </w:style>
  <w:style w:type="paragraph" w:styleId="Index8">
    <w:name w:val="index 8"/>
    <w:basedOn w:val="Normal"/>
    <w:next w:val="Normal"/>
    <w:autoRedefine/>
    <w:semiHidden/>
    <w:rsid w:val="00AE0B1A"/>
    <w:pPr>
      <w:spacing w:line="240" w:lineRule="auto"/>
      <w:ind w:left="1600" w:hanging="200"/>
    </w:pPr>
  </w:style>
  <w:style w:type="paragraph" w:styleId="Index9">
    <w:name w:val="index 9"/>
    <w:basedOn w:val="Normal"/>
    <w:next w:val="Normal"/>
    <w:autoRedefine/>
    <w:semiHidden/>
    <w:rsid w:val="00AE0B1A"/>
    <w:pPr>
      <w:spacing w:line="240" w:lineRule="auto"/>
      <w:ind w:left="1800" w:hanging="200"/>
    </w:pPr>
  </w:style>
  <w:style w:type="paragraph" w:styleId="IndexHeading">
    <w:name w:val="index heading"/>
    <w:aliases w:val="IH-DO NOT USE"/>
    <w:basedOn w:val="IntenseQuote"/>
    <w:next w:val="Index1"/>
    <w:semiHidden/>
    <w:rsid w:val="00AE0B1A"/>
  </w:style>
  <w:style w:type="paragraph" w:styleId="IntenseQuote">
    <w:name w:val="Intense Quote"/>
    <w:aliases w:val="IQ-DO NOT USE"/>
    <w:next w:val="Normal"/>
    <w:link w:val="IntenseQuoteChar"/>
    <w:uiPriority w:val="30"/>
    <w:qFormat/>
    <w:rsid w:val="00AE0B1A"/>
    <w:pPr>
      <w:spacing w:before="180" w:after="180" w:line="280" w:lineRule="atLeast"/>
    </w:pPr>
    <w:rPr>
      <w:rFonts w:eastAsia="Times" w:cs="Arial"/>
    </w:rPr>
  </w:style>
  <w:style w:type="character" w:customStyle="1" w:styleId="IntenseQuoteChar">
    <w:name w:val="Intense Quote Char"/>
    <w:aliases w:val="IQ-DO NOT USE Char"/>
    <w:basedOn w:val="DefaultParagraphFont"/>
    <w:link w:val="IntenseQuote"/>
    <w:uiPriority w:val="30"/>
    <w:rsid w:val="00AE0B1A"/>
    <w:rPr>
      <w:rFonts w:ascii="Arial" w:eastAsia="Times" w:hAnsi="Arial" w:cs="Arial"/>
    </w:rPr>
  </w:style>
  <w:style w:type="paragraph" w:styleId="ListParagraph">
    <w:name w:val="List Paragraph"/>
    <w:aliases w:val="LP-DO NOT USE"/>
    <w:basedOn w:val="MacroText"/>
    <w:uiPriority w:val="34"/>
    <w:qFormat/>
    <w:rsid w:val="00AE0B1A"/>
  </w:style>
  <w:style w:type="paragraph" w:styleId="MacroText">
    <w:name w:val="macro"/>
    <w:aliases w:val="MT-DO NOT USE"/>
    <w:basedOn w:val="MessageHeader"/>
    <w:link w:val="MacroTextChar"/>
    <w:semiHidden/>
    <w:rsid w:val="00AE0B1A"/>
  </w:style>
  <w:style w:type="character" w:customStyle="1" w:styleId="MacroTextChar">
    <w:name w:val="Macro Text Char"/>
    <w:aliases w:val="MT-DO NOT USE Char"/>
    <w:basedOn w:val="DefaultParagraphFont"/>
    <w:link w:val="MacroText"/>
    <w:semiHidden/>
    <w:rsid w:val="00AE0B1A"/>
    <w:rPr>
      <w:rFonts w:ascii="Arial" w:eastAsia="Times" w:hAnsi="Arial" w:cs="Arial"/>
    </w:rPr>
  </w:style>
  <w:style w:type="paragraph" w:styleId="NoSpacing">
    <w:name w:val="No Spacing"/>
    <w:aliases w:val="NS-DO NOT USE"/>
    <w:uiPriority w:val="1"/>
    <w:qFormat/>
    <w:rsid w:val="00AE0B1A"/>
    <w:pPr>
      <w:spacing w:before="180" w:after="180"/>
    </w:pPr>
    <w:rPr>
      <w:rFonts w:eastAsia="Times"/>
    </w:rPr>
  </w:style>
  <w:style w:type="paragraph" w:styleId="Quote">
    <w:name w:val="Quote"/>
    <w:aliases w:val="Q-DO NOT USE"/>
    <w:next w:val="Normal"/>
    <w:link w:val="QuoteChar"/>
    <w:uiPriority w:val="29"/>
    <w:qFormat/>
    <w:rsid w:val="00AE0B1A"/>
    <w:pPr>
      <w:spacing w:before="180" w:after="180" w:line="280" w:lineRule="atLeast"/>
    </w:pPr>
    <w:rPr>
      <w:rFonts w:eastAsia="Times" w:cs="Arial"/>
    </w:rPr>
  </w:style>
  <w:style w:type="character" w:customStyle="1" w:styleId="QuoteChar">
    <w:name w:val="Quote Char"/>
    <w:aliases w:val="Q-DO NOT USE Char"/>
    <w:basedOn w:val="DefaultParagraphFont"/>
    <w:link w:val="Quote"/>
    <w:uiPriority w:val="29"/>
    <w:rsid w:val="00AE0B1A"/>
    <w:rPr>
      <w:rFonts w:ascii="Arial" w:eastAsia="Times" w:hAnsi="Arial" w:cs="Arial"/>
    </w:rPr>
  </w:style>
  <w:style w:type="paragraph" w:styleId="TOAHeading">
    <w:name w:val="toa heading"/>
    <w:next w:val="Normal"/>
    <w:uiPriority w:val="99"/>
    <w:semiHidden/>
    <w:rsid w:val="00AE0B1A"/>
    <w:pPr>
      <w:spacing w:before="120" w:after="180" w:line="280" w:lineRule="atLeast"/>
    </w:pPr>
    <w:rPr>
      <w:rFonts w:eastAsiaTheme="majorEastAsia" w:cstheme="majorBidi"/>
      <w:bCs/>
      <w:szCs w:val="24"/>
    </w:rPr>
  </w:style>
  <w:style w:type="paragraph" w:styleId="TOC7">
    <w:name w:val="toc 7"/>
    <w:basedOn w:val="Normal"/>
    <w:next w:val="Normal"/>
    <w:autoRedefine/>
    <w:uiPriority w:val="39"/>
    <w:rsid w:val="00AE0B1A"/>
    <w:pPr>
      <w:spacing w:after="100"/>
      <w:ind w:left="1200"/>
    </w:pPr>
  </w:style>
  <w:style w:type="paragraph" w:styleId="TOC8">
    <w:name w:val="toc 8"/>
    <w:basedOn w:val="Normal"/>
    <w:next w:val="Normal"/>
    <w:autoRedefine/>
    <w:uiPriority w:val="39"/>
    <w:rsid w:val="00AE0B1A"/>
    <w:pPr>
      <w:spacing w:after="100"/>
      <w:ind w:left="1400"/>
    </w:pPr>
  </w:style>
  <w:style w:type="paragraph" w:styleId="TOC9">
    <w:name w:val="toc 9"/>
    <w:basedOn w:val="Normal"/>
    <w:next w:val="Normal"/>
    <w:autoRedefine/>
    <w:uiPriority w:val="39"/>
    <w:rsid w:val="00AE0B1A"/>
    <w:pPr>
      <w:spacing w:after="100"/>
      <w:ind w:left="1600"/>
    </w:pPr>
  </w:style>
  <w:style w:type="numbering" w:customStyle="1" w:styleId="GAMultilevelList">
    <w:name w:val="GA Multilevel List"/>
    <w:uiPriority w:val="99"/>
    <w:rsid w:val="00AE0B1A"/>
    <w:pPr>
      <w:numPr>
        <w:numId w:val="15"/>
      </w:numPr>
    </w:pPr>
  </w:style>
  <w:style w:type="paragraph" w:customStyle="1" w:styleId="Tableheadingcentred">
    <w:name w:val="Table heading centred"/>
    <w:basedOn w:val="Tableheadingleft"/>
    <w:next w:val="BodyText"/>
    <w:rsid w:val="00AE0B1A"/>
    <w:pPr>
      <w:jc w:val="center"/>
    </w:pPr>
  </w:style>
  <w:style w:type="paragraph" w:customStyle="1" w:styleId="Tableheadingright">
    <w:name w:val="Table heading right"/>
    <w:basedOn w:val="Tableheadingcentred"/>
    <w:next w:val="BodyText"/>
    <w:rsid w:val="00AE0B1A"/>
    <w:pPr>
      <w:jc w:val="right"/>
    </w:pPr>
  </w:style>
  <w:style w:type="paragraph" w:customStyle="1" w:styleId="Tabletextcentred">
    <w:name w:val="Table text centred"/>
    <w:basedOn w:val="Tabletextleft"/>
    <w:next w:val="BodyText"/>
    <w:qFormat/>
    <w:rsid w:val="00AE0B1A"/>
    <w:pPr>
      <w:jc w:val="center"/>
    </w:pPr>
  </w:style>
  <w:style w:type="paragraph" w:customStyle="1" w:styleId="Tabletextright">
    <w:name w:val="Table text right"/>
    <w:basedOn w:val="Tabletextcentred"/>
    <w:next w:val="BodyText"/>
    <w:qFormat/>
    <w:rsid w:val="00AE0B1A"/>
    <w:pPr>
      <w:jc w:val="right"/>
    </w:pPr>
  </w:style>
  <w:style w:type="character" w:customStyle="1" w:styleId="Subscriptitalic">
    <w:name w:val="Subscript italic"/>
    <w:basedOn w:val="Subscript"/>
    <w:qFormat/>
    <w:rsid w:val="00AE0B1A"/>
    <w:rPr>
      <w:i/>
      <w:iCs/>
      <w:position w:val="-4"/>
      <w:vertAlign w:val="subscript"/>
    </w:rPr>
  </w:style>
  <w:style w:type="character" w:customStyle="1" w:styleId="SuperscriptItalic">
    <w:name w:val="Superscript Italic"/>
    <w:basedOn w:val="Superscript"/>
    <w:qFormat/>
    <w:rsid w:val="00AE0B1A"/>
    <w:rPr>
      <w:i/>
      <w:iCs/>
      <w:position w:val="0"/>
      <w:vertAlign w:val="superscript"/>
    </w:rPr>
  </w:style>
  <w:style w:type="table" w:customStyle="1" w:styleId="TableGANoHeader">
    <w:name w:val="Table GA No Header"/>
    <w:basedOn w:val="TableGAHeaderRow"/>
    <w:uiPriority w:val="99"/>
    <w:rsid w:val="00AE0B1A"/>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Figuresandimagescentred">
    <w:name w:val="Figures and images centred"/>
    <w:basedOn w:val="Figuresandimagesleft"/>
    <w:next w:val="BodyText"/>
    <w:qFormat/>
    <w:rsid w:val="00AE0B1A"/>
    <w:pPr>
      <w:jc w:val="center"/>
    </w:pPr>
  </w:style>
  <w:style w:type="paragraph" w:customStyle="1" w:styleId="Authors">
    <w:name w:val="Authors"/>
    <w:basedOn w:val="BodyText"/>
    <w:next w:val="Figuresandimagesleft"/>
    <w:qFormat/>
    <w:rsid w:val="00725B96"/>
    <w:pPr>
      <w:spacing w:after="4920"/>
    </w:pPr>
  </w:style>
  <w:style w:type="table" w:styleId="MediumShading1">
    <w:name w:val="Medium Shading 1"/>
    <w:basedOn w:val="TableNormal"/>
    <w:uiPriority w:val="63"/>
    <w:rsid w:val="00AE0B1A"/>
    <w:pPr>
      <w:spacing w:before="180" w:after="180"/>
    </w:pPr>
    <w:rPr>
      <w:rFonts w:eastAsia="Times"/>
    </w:r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Grid2">
    <w:name w:val="Medium Grid 2"/>
    <w:basedOn w:val="TableNormal"/>
    <w:uiPriority w:val="68"/>
    <w:rsid w:val="00AE0B1A"/>
    <w:pPr>
      <w:spacing w:before="180" w:after="180"/>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TableGAHeaderRowColumn">
    <w:name w:val="Table GA Header Row &amp; Column"/>
    <w:basedOn w:val="TableNormal"/>
    <w:uiPriority w:val="99"/>
    <w:rsid w:val="00AE0B1A"/>
    <w:pPr>
      <w:spacing w:before="20" w:after="20" w:line="200" w:lineRule="atLeast"/>
    </w:pPr>
    <w:rPr>
      <w:rFonts w:eastAsia="Times"/>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nwCell">
      <w:rPr>
        <w:color w:val="FFFFFF"/>
      </w:rPr>
      <w:tblPr/>
      <w:tcPr>
        <w:shd w:val="clear" w:color="auto" w:fill="FFFFFF"/>
      </w:tcPr>
    </w:tblStylePr>
  </w:style>
  <w:style w:type="paragraph" w:customStyle="1" w:styleId="Footerlandscape">
    <w:name w:val="Footer landscape"/>
    <w:basedOn w:val="Footer"/>
    <w:qFormat/>
    <w:rsid w:val="00AE0B1A"/>
    <w:pPr>
      <w:tabs>
        <w:tab w:val="clear" w:pos="9072"/>
        <w:tab w:val="right" w:pos="14005"/>
      </w:tabs>
    </w:pPr>
  </w:style>
  <w:style w:type="table" w:customStyle="1" w:styleId="TableGAHeaderColumn">
    <w:name w:val="Table GA Header Column"/>
    <w:basedOn w:val="TableGAHeaderRowColumn"/>
    <w:uiPriority w:val="99"/>
    <w:rsid w:val="00AE0B1A"/>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val="0"/>
        <w:color w:val="auto"/>
        <w:sz w:val="18"/>
      </w:r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b/>
        <w:color w:val="FFFFFF"/>
      </w:rPr>
      <w:tblPr/>
      <w:tcPr>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wordWrap/>
        <w:spacing w:beforeLines="0" w:before="0" w:beforeAutospacing="0" w:afterLines="0" w:after="0" w:afterAutospacing="0" w:line="120" w:lineRule="atLeast"/>
      </w:p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paragraph" w:customStyle="1" w:styleId="VersoBoldPgB4">
    <w:name w:val="Verso Bold Pg B4"/>
    <w:next w:val="BodyText"/>
    <w:qFormat/>
    <w:rsid w:val="00AE0B1A"/>
    <w:pPr>
      <w:pageBreakBefore/>
      <w:spacing w:line="240" w:lineRule="atLeast"/>
    </w:pPr>
    <w:rPr>
      <w:rFonts w:eastAsia="Times" w:cs="Arial"/>
      <w:b/>
      <w:kern w:val="28"/>
    </w:rPr>
  </w:style>
  <w:style w:type="character" w:customStyle="1" w:styleId="Bold">
    <w:name w:val="Bold"/>
    <w:basedOn w:val="DefaultParagraphFont"/>
    <w:qFormat/>
    <w:rsid w:val="00AE0B1A"/>
    <w:rPr>
      <w:b/>
    </w:rPr>
  </w:style>
  <w:style w:type="character" w:customStyle="1" w:styleId="Italic">
    <w:name w:val="Italic"/>
    <w:basedOn w:val="DefaultParagraphFont"/>
    <w:qFormat/>
    <w:rsid w:val="00AE0B1A"/>
    <w:rPr>
      <w:i/>
    </w:rPr>
  </w:style>
  <w:style w:type="character" w:customStyle="1" w:styleId="ReferencesItalic">
    <w:name w:val="References Italic"/>
    <w:basedOn w:val="DefaultParagraphFont"/>
    <w:qFormat/>
    <w:rsid w:val="00AE0B1A"/>
    <w:rPr>
      <w:i/>
    </w:rPr>
  </w:style>
  <w:style w:type="paragraph" w:customStyle="1" w:styleId="FooterlandscapeA3">
    <w:name w:val="Footer landscape A3"/>
    <w:basedOn w:val="Footerlandscape"/>
    <w:qFormat/>
    <w:rsid w:val="00AE0B1A"/>
    <w:pPr>
      <w:tabs>
        <w:tab w:val="clear" w:pos="14005"/>
        <w:tab w:val="right" w:pos="20979"/>
      </w:tabs>
    </w:pPr>
  </w:style>
  <w:style w:type="paragraph" w:customStyle="1" w:styleId="Tablesource">
    <w:name w:val="Table source"/>
    <w:basedOn w:val="BodyText"/>
    <w:next w:val="BodyText"/>
    <w:qFormat/>
    <w:rsid w:val="00AE0B1A"/>
    <w:pPr>
      <w:keepNext/>
      <w:spacing w:before="120" w:after="0" w:line="160" w:lineRule="atLeast"/>
    </w:pPr>
    <w:rPr>
      <w:rFonts w:eastAsia="Times New Roman"/>
      <w:i/>
      <w:iCs/>
      <w:sz w:val="16"/>
      <w:szCs w:val="18"/>
    </w:rPr>
  </w:style>
  <w:style w:type="paragraph" w:customStyle="1" w:styleId="Headingappendix1base">
    <w:name w:val="Heading appendix 1 base"/>
    <w:next w:val="BodyText"/>
    <w:semiHidden/>
    <w:qFormat/>
    <w:rsid w:val="00AE0B1A"/>
    <w:pPr>
      <w:keepNext/>
      <w:keepLines/>
      <w:pageBreakBefore/>
      <w:spacing w:before="180" w:after="1080" w:line="280" w:lineRule="atLeast"/>
      <w:outlineLvl w:val="0"/>
    </w:pPr>
    <w:rPr>
      <w:rFonts w:eastAsia="Times"/>
      <w:sz w:val="40"/>
      <w:szCs w:val="40"/>
    </w:rPr>
  </w:style>
  <w:style w:type="paragraph" w:customStyle="1" w:styleId="Headingappendix2">
    <w:name w:val="Heading appendix 2"/>
    <w:basedOn w:val="Headingappendix1base"/>
    <w:next w:val="BodyText"/>
    <w:qFormat/>
    <w:rsid w:val="00AE0B1A"/>
    <w:pPr>
      <w:pageBreakBefore w:val="0"/>
      <w:numPr>
        <w:ilvl w:val="1"/>
        <w:numId w:val="32"/>
      </w:numPr>
      <w:spacing w:before="480" w:after="180" w:line="240" w:lineRule="auto"/>
      <w:outlineLvl w:val="1"/>
    </w:pPr>
    <w:rPr>
      <w:sz w:val="30"/>
      <w:szCs w:val="30"/>
    </w:rPr>
  </w:style>
  <w:style w:type="paragraph" w:customStyle="1" w:styleId="Headingappendix3">
    <w:name w:val="Heading appendix 3"/>
    <w:basedOn w:val="Headingappendix2"/>
    <w:next w:val="BodyText"/>
    <w:qFormat/>
    <w:rsid w:val="00AE0B1A"/>
    <w:pPr>
      <w:numPr>
        <w:ilvl w:val="2"/>
      </w:numPr>
      <w:outlineLvl w:val="2"/>
    </w:pPr>
    <w:rPr>
      <w:b/>
      <w:bCs/>
      <w:sz w:val="24"/>
    </w:rPr>
  </w:style>
  <w:style w:type="paragraph" w:customStyle="1" w:styleId="Headingappendix4">
    <w:name w:val="Heading appendix 4"/>
    <w:basedOn w:val="Headingappendix3"/>
    <w:next w:val="BodyText"/>
    <w:qFormat/>
    <w:rsid w:val="00AE0B1A"/>
    <w:pPr>
      <w:numPr>
        <w:ilvl w:val="3"/>
      </w:numPr>
      <w:spacing w:before="180"/>
      <w:outlineLvl w:val="3"/>
    </w:pPr>
    <w:rPr>
      <w:rFonts w:eastAsia="Times New Roman"/>
      <w:i/>
      <w:iCs/>
      <w:sz w:val="22"/>
      <w:szCs w:val="20"/>
    </w:rPr>
  </w:style>
  <w:style w:type="paragraph" w:customStyle="1" w:styleId="Headingappendix5">
    <w:name w:val="Heading appendix 5"/>
    <w:basedOn w:val="Headingappendix4"/>
    <w:next w:val="BodyText"/>
    <w:qFormat/>
    <w:rsid w:val="00AE0B1A"/>
    <w:pPr>
      <w:numPr>
        <w:ilvl w:val="4"/>
      </w:numPr>
      <w:outlineLvl w:val="4"/>
    </w:pPr>
    <w:rPr>
      <w:b w:val="0"/>
      <w:bCs w:val="0"/>
    </w:rPr>
  </w:style>
  <w:style w:type="paragraph" w:customStyle="1" w:styleId="Equation">
    <w:name w:val="Equation"/>
    <w:basedOn w:val="BodyText"/>
    <w:next w:val="BodyText"/>
    <w:uiPriority w:val="7"/>
    <w:qFormat/>
    <w:rsid w:val="00AE0B1A"/>
    <w:pPr>
      <w:tabs>
        <w:tab w:val="right" w:pos="9072"/>
      </w:tabs>
      <w:spacing w:before="360" w:after="360"/>
      <w:ind w:left="567"/>
    </w:pPr>
    <w:rPr>
      <w:rFonts w:eastAsia="Times New Roman"/>
      <w:szCs w:val="24"/>
      <w:lang w:eastAsia="en-US"/>
    </w:rPr>
  </w:style>
  <w:style w:type="paragraph" w:customStyle="1" w:styleId="VersoBold">
    <w:name w:val="Verso Bold"/>
    <w:basedOn w:val="BodyText"/>
    <w:next w:val="BodyText"/>
    <w:rsid w:val="00AE0B1A"/>
    <w:pPr>
      <w:spacing w:before="240" w:after="0"/>
    </w:pPr>
    <w:rPr>
      <w:b/>
      <w:kern w:val="28"/>
    </w:rPr>
  </w:style>
  <w:style w:type="character" w:styleId="SubtleReference">
    <w:name w:val="Subtle Reference"/>
    <w:aliases w:val="SR-DO NOT USE"/>
    <w:uiPriority w:val="31"/>
    <w:qFormat/>
    <w:rsid w:val="00AE0B1A"/>
  </w:style>
  <w:style w:type="character" w:styleId="SubtleEmphasis">
    <w:name w:val="Subtle Emphasis"/>
    <w:aliases w:val="SE-DO NOT USE"/>
    <w:uiPriority w:val="19"/>
    <w:qFormat/>
    <w:rsid w:val="00AE0B1A"/>
  </w:style>
  <w:style w:type="character" w:styleId="PlaceholderText">
    <w:name w:val="Placeholder Text"/>
    <w:aliases w:val="Pl-DO NOT USE"/>
    <w:uiPriority w:val="99"/>
    <w:semiHidden/>
    <w:rsid w:val="00AE0B1A"/>
  </w:style>
  <w:style w:type="character" w:styleId="IntenseReference">
    <w:name w:val="Intense Reference"/>
    <w:aliases w:val="IR-DO NOT USE"/>
    <w:uiPriority w:val="32"/>
    <w:qFormat/>
    <w:rsid w:val="00AE0B1A"/>
  </w:style>
  <w:style w:type="character" w:styleId="IntenseEmphasis">
    <w:name w:val="Intense Emphasis"/>
    <w:aliases w:val="IE-DO NOT USE"/>
    <w:uiPriority w:val="21"/>
    <w:qFormat/>
    <w:rsid w:val="00AE0B1A"/>
  </w:style>
  <w:style w:type="character" w:styleId="EndnoteReference">
    <w:name w:val="endnote reference"/>
    <w:aliases w:val="ERe-DO NOT USE"/>
    <w:semiHidden/>
    <w:rsid w:val="00AE0B1A"/>
  </w:style>
  <w:style w:type="paragraph" w:styleId="BlockText">
    <w:name w:val="Block Text"/>
    <w:aliases w:val="BLT-DO NOT USE,BdT-DO NOT USE"/>
    <w:basedOn w:val="BalloonText"/>
    <w:semiHidden/>
    <w:rsid w:val="00AE0B1A"/>
  </w:style>
  <w:style w:type="paragraph" w:styleId="BodyTextFirstIndent">
    <w:name w:val="Body Text First Indent"/>
    <w:aliases w:val="B1-DO NOT USE,Bi-DO NOT USE"/>
    <w:basedOn w:val="BodyText3"/>
    <w:link w:val="BodyTextFirstIndentChar"/>
    <w:semiHidden/>
    <w:rsid w:val="00AE0B1A"/>
  </w:style>
  <w:style w:type="character" w:customStyle="1" w:styleId="BodyTextFirstIndentChar">
    <w:name w:val="Body Text First Indent Char"/>
    <w:aliases w:val="B1-DO NOT USE Char,Bi-DO NOT USE Char"/>
    <w:basedOn w:val="BodyTextChar"/>
    <w:link w:val="BodyTextFirstIndent"/>
    <w:semiHidden/>
    <w:rsid w:val="00AE0B1A"/>
    <w:rPr>
      <w:rFonts w:ascii="Arial" w:eastAsia="Times" w:hAnsi="Arial" w:cs="Arial"/>
    </w:rPr>
  </w:style>
  <w:style w:type="character" w:styleId="FootnoteReference">
    <w:name w:val="footnote reference"/>
    <w:basedOn w:val="DefaultParagraphFont"/>
    <w:semiHidden/>
    <w:rsid w:val="00AE0B1A"/>
    <w:rPr>
      <w:sz w:val="20"/>
      <w:vertAlign w:val="superscript"/>
    </w:rPr>
  </w:style>
  <w:style w:type="numbering" w:customStyle="1" w:styleId="GAAppendices">
    <w:name w:val="GA Appendices"/>
    <w:uiPriority w:val="99"/>
    <w:rsid w:val="00AE0B1A"/>
    <w:pPr>
      <w:numPr>
        <w:numId w:val="18"/>
      </w:numPr>
    </w:pPr>
  </w:style>
  <w:style w:type="paragraph" w:styleId="BodyTextIndent">
    <w:name w:val="Body Text Indent"/>
    <w:aliases w:val="B3-DO NOT USE"/>
    <w:basedOn w:val="BodyTextFirstIndent2"/>
    <w:link w:val="BodyTextIndentChar"/>
    <w:semiHidden/>
    <w:rsid w:val="00AE0B1A"/>
  </w:style>
  <w:style w:type="character" w:customStyle="1" w:styleId="BodyTextIndentChar">
    <w:name w:val="Body Text Indent Char"/>
    <w:aliases w:val="B3-DO NOT USE Char"/>
    <w:basedOn w:val="DefaultParagraphFont"/>
    <w:link w:val="BodyTextIndent"/>
    <w:semiHidden/>
    <w:rsid w:val="00AE0B1A"/>
    <w:rPr>
      <w:rFonts w:ascii="Arial" w:eastAsia="Times" w:hAnsi="Arial" w:cs="Arial"/>
    </w:rPr>
  </w:style>
  <w:style w:type="paragraph" w:styleId="BodyTextFirstIndent2">
    <w:name w:val="Body Text First Indent 2"/>
    <w:aliases w:val="B2-DO NOT USE,Bi2-DO NOT USE"/>
    <w:basedOn w:val="BodyTextFirstIndent"/>
    <w:link w:val="BodyTextFirstIndent2Char"/>
    <w:semiHidden/>
    <w:rsid w:val="00AE0B1A"/>
  </w:style>
  <w:style w:type="character" w:customStyle="1" w:styleId="BodyTextFirstIndent2Char">
    <w:name w:val="Body Text First Indent 2 Char"/>
    <w:aliases w:val="B2-DO NOT USE Char,Bi2-DO NOT USE Char"/>
    <w:basedOn w:val="BodyTextIndentChar"/>
    <w:link w:val="BodyTextFirstIndent2"/>
    <w:semiHidden/>
    <w:rsid w:val="00AE0B1A"/>
    <w:rPr>
      <w:rFonts w:ascii="Arial" w:eastAsia="Times" w:hAnsi="Arial" w:cs="Arial"/>
    </w:rPr>
  </w:style>
  <w:style w:type="paragraph" w:styleId="BodyTextIndent2">
    <w:name w:val="Body Text Indent 2"/>
    <w:aliases w:val="B4-DO NOT USE"/>
    <w:basedOn w:val="BodyTextIndent"/>
    <w:link w:val="BodyTextIndent2Char"/>
    <w:semiHidden/>
    <w:rsid w:val="00AE0B1A"/>
  </w:style>
  <w:style w:type="character" w:customStyle="1" w:styleId="BodyTextIndent2Char">
    <w:name w:val="Body Text Indent 2 Char"/>
    <w:aliases w:val="B4-DO NOT USE Char"/>
    <w:basedOn w:val="DefaultParagraphFont"/>
    <w:link w:val="BodyTextIndent2"/>
    <w:semiHidden/>
    <w:rsid w:val="00AE0B1A"/>
    <w:rPr>
      <w:rFonts w:ascii="Arial" w:eastAsia="Times" w:hAnsi="Arial" w:cs="Arial"/>
    </w:rPr>
  </w:style>
  <w:style w:type="paragraph" w:styleId="BodyTextIndent3">
    <w:name w:val="Body Text Indent 3"/>
    <w:aliases w:val="B5-DO NOT USE"/>
    <w:basedOn w:val="BodyTextIndent2"/>
    <w:link w:val="BodyTextIndent3Char"/>
    <w:semiHidden/>
    <w:rsid w:val="00AE0B1A"/>
  </w:style>
  <w:style w:type="character" w:customStyle="1" w:styleId="BodyTextIndent3Char">
    <w:name w:val="Body Text Indent 3 Char"/>
    <w:aliases w:val="B5-DO NOT USE Char"/>
    <w:basedOn w:val="DefaultParagraphFont"/>
    <w:link w:val="BodyTextIndent3"/>
    <w:semiHidden/>
    <w:rsid w:val="00AE0B1A"/>
    <w:rPr>
      <w:rFonts w:ascii="Arial" w:eastAsia="Times" w:hAnsi="Arial" w:cs="Arial"/>
    </w:rPr>
  </w:style>
  <w:style w:type="paragraph" w:styleId="BalloonText">
    <w:name w:val="Balloon Text"/>
    <w:aliases w:val="B6-DO NOT USE,BlT-DO NOT USE"/>
    <w:basedOn w:val="BodyTextIndent3"/>
    <w:link w:val="BalloonTextChar"/>
    <w:uiPriority w:val="99"/>
    <w:semiHidden/>
    <w:rsid w:val="00AE0B1A"/>
  </w:style>
  <w:style w:type="character" w:customStyle="1" w:styleId="BalloonTextChar">
    <w:name w:val="Balloon Text Char"/>
    <w:aliases w:val="B6-DO NOT USE Char,BlT-DO NOT USE Char"/>
    <w:basedOn w:val="DefaultParagraphFont"/>
    <w:link w:val="BalloonText"/>
    <w:uiPriority w:val="99"/>
    <w:semiHidden/>
    <w:rsid w:val="00AE0B1A"/>
    <w:rPr>
      <w:rFonts w:ascii="Arial" w:eastAsia="Times" w:hAnsi="Arial" w:cs="Arial"/>
    </w:rPr>
  </w:style>
  <w:style w:type="character" w:customStyle="1" w:styleId="BoldItalic">
    <w:name w:val="Bold Italic"/>
    <w:basedOn w:val="DefaultParagraphFont"/>
    <w:rsid w:val="00AE0B1A"/>
    <w:rPr>
      <w:b/>
      <w:i/>
    </w:rPr>
  </w:style>
  <w:style w:type="paragraph" w:customStyle="1" w:styleId="Tablenotes">
    <w:name w:val="Table notes"/>
    <w:basedOn w:val="Tablesource"/>
    <w:qFormat/>
    <w:rsid w:val="00AE0B1A"/>
    <w:pPr>
      <w:tabs>
        <w:tab w:val="left" w:pos="113"/>
      </w:tabs>
      <w:spacing w:before="0"/>
      <w:ind w:left="113" w:hanging="113"/>
    </w:pPr>
    <w:rPr>
      <w:rFonts w:cs="Times New Roman"/>
      <w:szCs w:val="20"/>
    </w:rPr>
  </w:style>
  <w:style w:type="paragraph" w:customStyle="1" w:styleId="ExtractL1authornames">
    <w:name w:val="Extract L1 author names"/>
    <w:basedOn w:val="BodyText"/>
    <w:rsid w:val="00AE0B1A"/>
    <w:pPr>
      <w:spacing w:before="120" w:after="60" w:line="240" w:lineRule="auto"/>
    </w:pPr>
    <w:rPr>
      <w:rFonts w:eastAsia="Times New Roman" w:cs="Times New Roman"/>
    </w:rPr>
  </w:style>
  <w:style w:type="paragraph" w:customStyle="1" w:styleId="ExtractL2authorlocation">
    <w:name w:val="Extract L2 author location"/>
    <w:basedOn w:val="BodyText"/>
    <w:rsid w:val="00AE0B1A"/>
    <w:pPr>
      <w:tabs>
        <w:tab w:val="left" w:pos="170"/>
      </w:tabs>
      <w:spacing w:before="60" w:after="0" w:line="240" w:lineRule="auto"/>
      <w:ind w:left="170" w:hanging="170"/>
    </w:pPr>
    <w:rPr>
      <w:sz w:val="16"/>
    </w:rPr>
  </w:style>
  <w:style w:type="paragraph" w:customStyle="1" w:styleId="ExtractL3authoremail">
    <w:name w:val="Extract L3 author email"/>
    <w:basedOn w:val="BodyText"/>
    <w:rsid w:val="00AE0B1A"/>
    <w:pPr>
      <w:spacing w:before="120" w:after="480" w:line="240" w:lineRule="auto"/>
    </w:pPr>
    <w:rPr>
      <w:rFonts w:eastAsia="Times New Roman" w:cs="Times New Roman"/>
    </w:rPr>
  </w:style>
  <w:style w:type="paragraph" w:customStyle="1" w:styleId="Contentsheading">
    <w:name w:val="Contents heading"/>
    <w:next w:val="BodyText"/>
    <w:semiHidden/>
    <w:locked/>
    <w:rsid w:val="00AE0B1A"/>
    <w:pPr>
      <w:spacing w:before="180" w:after="960"/>
      <w:outlineLvl w:val="0"/>
    </w:pPr>
    <w:rPr>
      <w:sz w:val="40"/>
    </w:rPr>
  </w:style>
  <w:style w:type="paragraph" w:customStyle="1" w:styleId="Contentsbodytext">
    <w:name w:val="Contents body text"/>
    <w:basedOn w:val="BodyText"/>
    <w:semiHidden/>
    <w:locked/>
    <w:rsid w:val="00AE0B1A"/>
    <w:pPr>
      <w:tabs>
        <w:tab w:val="right" w:leader="dot" w:pos="8222"/>
      </w:tabs>
      <w:jc w:val="both"/>
    </w:pPr>
    <w:rPr>
      <w:rFonts w:eastAsia="Times New Roman"/>
    </w:rPr>
  </w:style>
  <w:style w:type="paragraph" w:customStyle="1" w:styleId="Contentsbodyindented">
    <w:name w:val="Contents body indented"/>
    <w:basedOn w:val="BodyText"/>
    <w:semiHidden/>
    <w:locked/>
    <w:rsid w:val="00AE0B1A"/>
    <w:pPr>
      <w:ind w:left="284"/>
    </w:pPr>
  </w:style>
  <w:style w:type="paragraph" w:customStyle="1" w:styleId="Bulletlevel1">
    <w:name w:val="Bullet level 1"/>
    <w:basedOn w:val="BodyText"/>
    <w:link w:val="Bulletlevel1Char"/>
    <w:qFormat/>
    <w:rsid w:val="00AE0B1A"/>
    <w:pPr>
      <w:tabs>
        <w:tab w:val="num" w:pos="567"/>
      </w:tabs>
      <w:spacing w:before="60" w:after="60"/>
      <w:ind w:left="567" w:hanging="283"/>
    </w:pPr>
  </w:style>
  <w:style w:type="paragraph" w:customStyle="1" w:styleId="Captions">
    <w:name w:val="Captions"/>
    <w:basedOn w:val="BodyText"/>
    <w:next w:val="BodyText"/>
    <w:semiHidden/>
    <w:locked/>
    <w:rsid w:val="00AE0B1A"/>
    <w:pPr>
      <w:spacing w:before="60" w:after="360"/>
    </w:pPr>
    <w:rPr>
      <w:rFonts w:eastAsia="Times New Roman"/>
      <w:i/>
      <w:sz w:val="18"/>
      <w:szCs w:val="18"/>
    </w:rPr>
  </w:style>
  <w:style w:type="paragraph" w:customStyle="1" w:styleId="Bulletlevel2">
    <w:name w:val="Bullet level 2"/>
    <w:basedOn w:val="Bulletlevel1"/>
    <w:qFormat/>
    <w:rsid w:val="00AE0B1A"/>
    <w:pPr>
      <w:tabs>
        <w:tab w:val="clear" w:pos="567"/>
        <w:tab w:val="num" w:pos="851"/>
        <w:tab w:val="num" w:pos="1080"/>
      </w:tabs>
      <w:ind w:left="851" w:hanging="284"/>
    </w:pPr>
  </w:style>
  <w:style w:type="character" w:customStyle="1" w:styleId="Instructions">
    <w:name w:val="Instructions"/>
    <w:basedOn w:val="DefaultParagraphFont"/>
    <w:semiHidden/>
    <w:locked/>
    <w:rsid w:val="00AE0B1A"/>
    <w:rPr>
      <w:rFonts w:ascii="Arial" w:hAnsi="Arial" w:cs="Times New Roman"/>
      <w:b/>
      <w:bCs/>
      <w:color w:val="FF0000"/>
      <w:sz w:val="16"/>
    </w:rPr>
  </w:style>
  <w:style w:type="character" w:customStyle="1" w:styleId="ContentsbodytextChar">
    <w:name w:val="Contents body text Char"/>
    <w:basedOn w:val="DefaultParagraphFont"/>
    <w:semiHidden/>
    <w:locked/>
    <w:rsid w:val="00AE0B1A"/>
    <w:rPr>
      <w:rFonts w:cs="Times New Roman"/>
      <w:sz w:val="21"/>
      <w:lang w:val="en-AU" w:eastAsia="en-AU" w:bidi="ar-SA"/>
    </w:rPr>
  </w:style>
  <w:style w:type="paragraph" w:customStyle="1" w:styleId="BodyTextbeforeBullet">
    <w:name w:val="Body Text before Bullet"/>
    <w:basedOn w:val="BodyText"/>
    <w:next w:val="Bulletlevel1"/>
    <w:semiHidden/>
    <w:locked/>
    <w:rsid w:val="00AE0B1A"/>
    <w:pPr>
      <w:spacing w:after="0"/>
    </w:pPr>
  </w:style>
  <w:style w:type="character" w:customStyle="1" w:styleId="Bulletlevel1Char">
    <w:name w:val="Bullet level 1 Char"/>
    <w:basedOn w:val="BodyTextChar"/>
    <w:link w:val="Bulletlevel1"/>
    <w:locked/>
    <w:rsid w:val="00AE0B1A"/>
    <w:rPr>
      <w:rFonts w:ascii="Arial" w:eastAsia="Times" w:hAnsi="Arial" w:cs="Arial"/>
    </w:rPr>
  </w:style>
  <w:style w:type="paragraph" w:customStyle="1" w:styleId="Bulletlevel1numbered">
    <w:name w:val="Bullet level 1 numbered"/>
    <w:basedOn w:val="BodyText"/>
    <w:link w:val="Bulletlevel1numberedChar"/>
    <w:qFormat/>
    <w:rsid w:val="00AE0B1A"/>
    <w:pPr>
      <w:tabs>
        <w:tab w:val="num" w:pos="709"/>
      </w:tabs>
      <w:spacing w:before="60" w:after="60"/>
      <w:ind w:left="568" w:hanging="284"/>
    </w:pPr>
  </w:style>
  <w:style w:type="character" w:customStyle="1" w:styleId="Bulletlevel1numberedChar">
    <w:name w:val="Bullet level 1 numbered Char"/>
    <w:basedOn w:val="Bulletlevel1Char"/>
    <w:link w:val="Bulletlevel1numbered"/>
    <w:locked/>
    <w:rsid w:val="00AE0B1A"/>
    <w:rPr>
      <w:rFonts w:ascii="Arial" w:eastAsia="Times" w:hAnsi="Arial" w:cs="Arial"/>
    </w:rPr>
  </w:style>
  <w:style w:type="paragraph" w:customStyle="1" w:styleId="Bulletlevel2numbered">
    <w:name w:val="Bullet level 2 numbered"/>
    <w:basedOn w:val="Bulletlevel1numbered"/>
    <w:qFormat/>
    <w:rsid w:val="00AE0B1A"/>
    <w:pPr>
      <w:tabs>
        <w:tab w:val="clear" w:pos="709"/>
        <w:tab w:val="num" w:pos="851"/>
        <w:tab w:val="num" w:pos="1440"/>
      </w:tabs>
      <w:ind w:left="851" w:hanging="360"/>
    </w:pPr>
  </w:style>
  <w:style w:type="paragraph" w:customStyle="1" w:styleId="Author">
    <w:name w:val="Author"/>
    <w:basedOn w:val="Normal"/>
    <w:rsid w:val="00AE0B1A"/>
    <w:pPr>
      <w:spacing w:before="0" w:after="0" w:line="240" w:lineRule="auto"/>
    </w:pPr>
    <w:rPr>
      <w:rFonts w:ascii="Times New Roman" w:hAnsi="Times New Roman"/>
      <w:b/>
      <w:sz w:val="24"/>
      <w:szCs w:val="24"/>
      <w:lang w:val="en-US" w:eastAsia="en-US"/>
    </w:rPr>
  </w:style>
  <w:style w:type="paragraph" w:customStyle="1" w:styleId="FiguresandImagesLeft0">
    <w:name w:val="Figures and Images Left"/>
    <w:basedOn w:val="BodyText"/>
    <w:next w:val="Normal"/>
    <w:link w:val="FiguresandImagesLeftChar0"/>
    <w:qFormat/>
    <w:rsid w:val="00AE0B1A"/>
    <w:pPr>
      <w:keepNext/>
      <w:spacing w:before="480" w:after="80" w:line="160" w:lineRule="atLeast"/>
    </w:pPr>
  </w:style>
  <w:style w:type="character" w:customStyle="1" w:styleId="FiguresandImagesLeftChar0">
    <w:name w:val="Figures and Images Left Char"/>
    <w:basedOn w:val="BodyTextChar"/>
    <w:link w:val="FiguresandImagesLeft0"/>
    <w:locked/>
    <w:rsid w:val="00AE0B1A"/>
    <w:rPr>
      <w:rFonts w:ascii="Arial" w:eastAsia="Times" w:hAnsi="Arial" w:cs="Arial"/>
    </w:rPr>
  </w:style>
  <w:style w:type="numbering" w:customStyle="1" w:styleId="Bulletnew">
    <w:name w:val="Bullet new"/>
    <w:uiPriority w:val="99"/>
    <w:rsid w:val="00AE0B1A"/>
    <w:pPr>
      <w:numPr>
        <w:numId w:val="23"/>
      </w:numPr>
    </w:pPr>
  </w:style>
  <w:style w:type="numbering" w:customStyle="1" w:styleId="BulletsNumbered">
    <w:name w:val="Bullets Numbered"/>
    <w:uiPriority w:val="99"/>
    <w:rsid w:val="00AE0B1A"/>
    <w:pPr>
      <w:numPr>
        <w:numId w:val="21"/>
      </w:numPr>
    </w:pPr>
  </w:style>
  <w:style w:type="numbering" w:customStyle="1" w:styleId="BulletsGA">
    <w:name w:val="Bullets GA"/>
    <w:uiPriority w:val="99"/>
    <w:rsid w:val="00AE0B1A"/>
    <w:pPr>
      <w:numPr>
        <w:numId w:val="24"/>
      </w:numPr>
    </w:pPr>
  </w:style>
  <w:style w:type="numbering" w:customStyle="1" w:styleId="Bullets">
    <w:name w:val="Bullets"/>
    <w:uiPriority w:val="99"/>
    <w:rsid w:val="00AE0B1A"/>
    <w:pPr>
      <w:numPr>
        <w:numId w:val="22"/>
      </w:numPr>
    </w:pPr>
  </w:style>
  <w:style w:type="numbering" w:customStyle="1" w:styleId="HeadingsNumbered">
    <w:name w:val="Headings Numbered"/>
    <w:uiPriority w:val="99"/>
    <w:rsid w:val="00AE0B1A"/>
    <w:pPr>
      <w:numPr>
        <w:numId w:val="20"/>
      </w:numPr>
    </w:pPr>
  </w:style>
  <w:style w:type="table" w:customStyle="1" w:styleId="TableGAHeaderRow1">
    <w:name w:val="Table GA Header Row1"/>
    <w:basedOn w:val="TableNormal"/>
    <w:rsid w:val="00AE0B1A"/>
    <w:pPr>
      <w:spacing w:before="180" w:after="180" w:line="280" w:lineRule="atLeast"/>
    </w:pPr>
    <w:rPr>
      <w:rFonts w:eastAsia="Times"/>
      <w:sz w:val="18"/>
    </w:rPr>
    <w:tblPr>
      <w:tblStyleRowBandSize w:val="1"/>
      <w:tblStyleColBandSize w:val="1"/>
      <w:tblInd w:w="57" w:type="dxa"/>
      <w:tblCellMar>
        <w:top w:w="57" w:type="dxa"/>
        <w:left w:w="57" w:type="dxa"/>
        <w:bottom w:w="28" w:type="dxa"/>
        <w:right w:w="57" w:type="dxa"/>
      </w:tblCellMar>
    </w:tblPr>
    <w:trPr>
      <w:cantSplit/>
    </w:trPr>
    <w:tcPr>
      <w:shd w:val="clear" w:color="auto" w:fill="FFFFFF" w:themeFill="background1"/>
    </w:tcPr>
    <w:tblStylePr w:type="firstRow">
      <w:pPr>
        <w:wordWrap/>
        <w:spacing w:beforeLines="0" w:before="0" w:beforeAutospacing="0" w:afterLines="0" w:after="0" w:afterAutospacing="0" w:line="120" w:lineRule="atLeast"/>
        <w:jc w:val="left"/>
      </w:pPr>
      <w:rPr>
        <w:rFonts w:ascii="Arial" w:hAnsi="Arial"/>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wordWrap/>
        <w:jc w:val="left"/>
      </w:pPr>
    </w:tblStylePr>
    <w:tblStylePr w:type="band1Horz">
      <w:pPr>
        <w:wordWrap/>
        <w:spacing w:beforeLines="0" w:before="0" w:beforeAutospacing="0" w:afterLines="0" w:after="0" w:afterAutospacing="0" w:line="120" w:lineRule="atLeast"/>
        <w:jc w:val="lef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2Horz">
      <w:pPr>
        <w:wordWrap/>
        <w:spacing w:beforeLines="0" w:before="0" w:beforeAutospacing="0" w:afterLines="0" w:after="0" w:afterAutospacing="0" w:line="120" w:lineRule="atLeast"/>
      </w:pPr>
      <w:tblPr/>
      <w:trPr>
        <w:cantSplit w:val="0"/>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style>
  <w:style w:type="paragraph" w:customStyle="1" w:styleId="Default">
    <w:name w:val="Default"/>
    <w:rsid w:val="00AE0B1A"/>
    <w:pPr>
      <w:autoSpaceDE w:val="0"/>
      <w:autoSpaceDN w:val="0"/>
      <w:adjustRightInd w:val="0"/>
    </w:pPr>
    <w:rPr>
      <w:rFonts w:ascii="Calibri" w:hAnsi="Calibri" w:cs="Calibri"/>
      <w:color w:val="000000"/>
      <w:sz w:val="24"/>
      <w:szCs w:val="24"/>
    </w:rPr>
  </w:style>
  <w:style w:type="character" w:customStyle="1" w:styleId="authors0">
    <w:name w:val="authors"/>
    <w:basedOn w:val="DefaultParagraphFont"/>
    <w:rsid w:val="00AE0B1A"/>
  </w:style>
  <w:style w:type="paragraph" w:styleId="Revision">
    <w:name w:val="Revision"/>
    <w:hidden/>
    <w:uiPriority w:val="99"/>
    <w:rsid w:val="00AE0B1A"/>
    <w:rPr>
      <w:rFonts w:eastAsia="Times" w:cs="Arial"/>
    </w:rPr>
  </w:style>
  <w:style w:type="paragraph" w:customStyle="1" w:styleId="BulletList">
    <w:name w:val="Bullet List"/>
    <w:basedOn w:val="BodyText"/>
    <w:semiHidden/>
    <w:qFormat/>
    <w:locked/>
    <w:rsid w:val="00AE0B1A"/>
    <w:pPr>
      <w:numPr>
        <w:numId w:val="29"/>
      </w:numPr>
      <w:spacing w:after="85"/>
    </w:pPr>
    <w:rPr>
      <w:rFonts w:eastAsia="Times New Roman"/>
    </w:rPr>
  </w:style>
  <w:style w:type="paragraph" w:customStyle="1" w:styleId="NumberedList">
    <w:name w:val="Numbered List"/>
    <w:basedOn w:val="BodyText"/>
    <w:semiHidden/>
    <w:qFormat/>
    <w:locked/>
    <w:rsid w:val="00AE0B1A"/>
    <w:pPr>
      <w:numPr>
        <w:numId w:val="30"/>
      </w:numPr>
      <w:tabs>
        <w:tab w:val="num" w:pos="360"/>
      </w:tabs>
      <w:spacing w:after="85"/>
      <w:ind w:left="0" w:firstLine="0"/>
    </w:pPr>
    <w:rPr>
      <w:rFonts w:eastAsia="Times New Roman"/>
    </w:rPr>
  </w:style>
  <w:style w:type="paragraph" w:customStyle="1" w:styleId="TableDataCell">
    <w:name w:val="Table Data Cell"/>
    <w:basedOn w:val="TabeHeaderCell"/>
    <w:semiHidden/>
    <w:locked/>
    <w:rsid w:val="00AE0B1A"/>
    <w:rPr>
      <w:b w:val="0"/>
    </w:rPr>
  </w:style>
  <w:style w:type="paragraph" w:customStyle="1" w:styleId="TabeHeaderCell">
    <w:name w:val="Tabe Header Cell"/>
    <w:basedOn w:val="BodyText"/>
    <w:next w:val="Normal"/>
    <w:semiHidden/>
    <w:qFormat/>
    <w:locked/>
    <w:rsid w:val="00AE0B1A"/>
    <w:pPr>
      <w:tabs>
        <w:tab w:val="left" w:pos="2040"/>
      </w:tabs>
      <w:spacing w:after="57"/>
    </w:pPr>
    <w:rPr>
      <w:rFonts w:eastAsia="Times New Roman"/>
      <w:b/>
      <w:sz w:val="18"/>
    </w:rPr>
  </w:style>
  <w:style w:type="table" w:customStyle="1" w:styleId="113">
    <w:name w:val="113"/>
    <w:uiPriority w:val="99"/>
    <w:rsid w:val="00AE0B1A"/>
    <w:pPr>
      <w:widowControl w:val="0"/>
      <w:autoSpaceDE w:val="0"/>
      <w:autoSpaceDN w:val="0"/>
      <w:adjustRightInd w:val="0"/>
    </w:pPr>
    <w:rPr>
      <w:sz w:val="24"/>
      <w:szCs w:val="24"/>
      <w:lang w:val="en-US" w:eastAsia="ja-JP"/>
    </w:rPr>
    <w:tblPr>
      <w:tblInd w:w="11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top w:w="0" w:type="dxa"/>
        <w:left w:w="108" w:type="dxa"/>
        <w:bottom w:w="0" w:type="dxa"/>
        <w:right w:w="108" w:type="dxa"/>
      </w:tblCellMar>
    </w:tblPr>
    <w:trPr>
      <w:tblHeader/>
    </w:trPr>
  </w:style>
  <w:style w:type="paragraph" w:customStyle="1" w:styleId="Bibliographicref">
    <w:name w:val="Bibliographic ref"/>
    <w:basedOn w:val="BodyText"/>
    <w:next w:val="BodyText"/>
    <w:link w:val="BibliographicrefChar"/>
    <w:qFormat/>
    <w:rsid w:val="00AE0B1A"/>
    <w:pPr>
      <w:pBdr>
        <w:top w:val="single" w:sz="4" w:space="1" w:color="808080"/>
        <w:left w:val="single" w:sz="4" w:space="4" w:color="808080"/>
        <w:bottom w:val="single" w:sz="4" w:space="1" w:color="808080"/>
        <w:right w:val="single" w:sz="4" w:space="4" w:color="808080"/>
      </w:pBdr>
      <w:spacing w:before="360" w:after="160"/>
    </w:pPr>
  </w:style>
  <w:style w:type="character" w:customStyle="1" w:styleId="BibliographicrefChar">
    <w:name w:val="Bibliographic ref Char"/>
    <w:basedOn w:val="BodyTextChar"/>
    <w:link w:val="Bibliographicref"/>
    <w:locked/>
    <w:rsid w:val="00AE0B1A"/>
    <w:rPr>
      <w:rFonts w:ascii="Arial" w:eastAsia="Times" w:hAnsi="Arial" w:cs="Arial"/>
    </w:rPr>
  </w:style>
  <w:style w:type="paragraph" w:customStyle="1" w:styleId="FiguresandImagescentred0">
    <w:name w:val="Figures and Images centred"/>
    <w:basedOn w:val="FiguresandImagesLeft0"/>
    <w:qFormat/>
    <w:rsid w:val="00AE0B1A"/>
    <w:pPr>
      <w:jc w:val="center"/>
    </w:pPr>
    <w:rPr>
      <w:rFonts w:eastAsia="Times New Roman"/>
    </w:rPr>
  </w:style>
  <w:style w:type="paragraph" w:customStyle="1" w:styleId="Heading1numbered">
    <w:name w:val="Heading 1 numbered"/>
    <w:next w:val="BodyText"/>
    <w:link w:val="Heading1numberedChar"/>
    <w:qFormat/>
    <w:rsid w:val="00AE0B1A"/>
    <w:pPr>
      <w:keepNext/>
      <w:keepLines/>
      <w:pageBreakBefore/>
      <w:spacing w:after="1080"/>
      <w:outlineLvl w:val="0"/>
    </w:pPr>
    <w:rPr>
      <w:rFonts w:eastAsia="Times" w:cs="Arial"/>
      <w:kern w:val="28"/>
      <w:sz w:val="40"/>
    </w:rPr>
  </w:style>
  <w:style w:type="character" w:customStyle="1" w:styleId="Heading1numberedChar">
    <w:name w:val="Heading 1 numbered Char"/>
    <w:basedOn w:val="Heading1Char"/>
    <w:link w:val="Heading1numbered"/>
    <w:locked/>
    <w:rsid w:val="00AE0B1A"/>
    <w:rPr>
      <w:rFonts w:ascii="Arial" w:eastAsia="Times" w:hAnsi="Arial" w:cs="Arial"/>
      <w:kern w:val="28"/>
      <w:sz w:val="40"/>
    </w:rPr>
  </w:style>
  <w:style w:type="paragraph" w:customStyle="1" w:styleId="Heading2numbered">
    <w:name w:val="Heading 2 numbered"/>
    <w:basedOn w:val="Heading1numbered"/>
    <w:next w:val="BodyText"/>
    <w:link w:val="Heading2numberedChar"/>
    <w:qFormat/>
    <w:rsid w:val="00AE0B1A"/>
    <w:pPr>
      <w:pageBreakBefore w:val="0"/>
      <w:spacing w:before="480" w:after="180"/>
      <w:outlineLvl w:val="1"/>
    </w:pPr>
    <w:rPr>
      <w:sz w:val="30"/>
      <w:szCs w:val="28"/>
    </w:rPr>
  </w:style>
  <w:style w:type="character" w:customStyle="1" w:styleId="Heading2numberedChar">
    <w:name w:val="Heading 2 numbered Char"/>
    <w:basedOn w:val="Heading1numberedChar"/>
    <w:link w:val="Heading2numbered"/>
    <w:locked/>
    <w:rsid w:val="00AE0B1A"/>
    <w:rPr>
      <w:rFonts w:ascii="Arial" w:eastAsia="Times" w:hAnsi="Arial" w:cs="Arial"/>
      <w:kern w:val="28"/>
      <w:sz w:val="30"/>
      <w:szCs w:val="28"/>
    </w:rPr>
  </w:style>
  <w:style w:type="paragraph" w:customStyle="1" w:styleId="Heading3numbered">
    <w:name w:val="Heading 3 numbered"/>
    <w:basedOn w:val="Heading2numbered"/>
    <w:next w:val="BodyText"/>
    <w:link w:val="Heading3numberedChar"/>
    <w:qFormat/>
    <w:rsid w:val="00AE0B1A"/>
    <w:pPr>
      <w:numPr>
        <w:ilvl w:val="2"/>
      </w:numPr>
      <w:outlineLvl w:val="2"/>
    </w:pPr>
    <w:rPr>
      <w:rFonts w:cs="Lucida Sans Unicode"/>
      <w:b/>
      <w:sz w:val="24"/>
      <w:szCs w:val="24"/>
    </w:rPr>
  </w:style>
  <w:style w:type="character" w:customStyle="1" w:styleId="Heading3numberedChar">
    <w:name w:val="Heading 3 numbered Char"/>
    <w:basedOn w:val="Heading2numberedChar"/>
    <w:link w:val="Heading3numbered"/>
    <w:locked/>
    <w:rsid w:val="00AE0B1A"/>
    <w:rPr>
      <w:rFonts w:ascii="Arial" w:eastAsia="Times" w:hAnsi="Arial" w:cs="Lucida Sans Unicode"/>
      <w:b/>
      <w:kern w:val="28"/>
      <w:sz w:val="24"/>
      <w:szCs w:val="24"/>
    </w:rPr>
  </w:style>
  <w:style w:type="paragraph" w:customStyle="1" w:styleId="Heading4numbered">
    <w:name w:val="Heading 4 numbered"/>
    <w:basedOn w:val="Heading3numbered"/>
    <w:next w:val="BodyText"/>
    <w:link w:val="Heading4numberedChar"/>
    <w:qFormat/>
    <w:rsid w:val="00AE0B1A"/>
    <w:pPr>
      <w:numPr>
        <w:ilvl w:val="3"/>
      </w:numPr>
      <w:spacing w:before="360"/>
      <w:outlineLvl w:val="3"/>
    </w:pPr>
    <w:rPr>
      <w:i/>
      <w:sz w:val="22"/>
      <w:szCs w:val="22"/>
    </w:rPr>
  </w:style>
  <w:style w:type="character" w:customStyle="1" w:styleId="Heading4numberedChar">
    <w:name w:val="Heading 4 numbered Char"/>
    <w:basedOn w:val="Heading4Char"/>
    <w:link w:val="Heading4numbered"/>
    <w:locked/>
    <w:rsid w:val="00AE0B1A"/>
    <w:rPr>
      <w:rFonts w:ascii="Arial" w:eastAsia="Times" w:hAnsi="Arial" w:cs="Lucida Sans Unicode"/>
      <w:b/>
      <w:i/>
      <w:kern w:val="28"/>
      <w:sz w:val="22"/>
      <w:szCs w:val="22"/>
    </w:rPr>
  </w:style>
  <w:style w:type="paragraph" w:customStyle="1" w:styleId="Heading5numbered">
    <w:name w:val="Heading 5 numbered"/>
    <w:basedOn w:val="Heading4numbered"/>
    <w:next w:val="BodyText"/>
    <w:rsid w:val="00AE0B1A"/>
    <w:pPr>
      <w:numPr>
        <w:ilvl w:val="4"/>
      </w:numPr>
      <w:outlineLvl w:val="4"/>
    </w:pPr>
    <w:rPr>
      <w:b w:val="0"/>
    </w:rPr>
  </w:style>
  <w:style w:type="paragraph" w:customStyle="1" w:styleId="StyleBodyTextLinespacingAtleast6pt">
    <w:name w:val="Style Body Text + Line spacing:  At least 6 pt"/>
    <w:basedOn w:val="BodyText"/>
    <w:next w:val="BodyText"/>
    <w:semiHidden/>
    <w:locked/>
    <w:rsid w:val="00AE0B1A"/>
    <w:rPr>
      <w:rFonts w:eastAsia="Times New Roman"/>
    </w:rPr>
  </w:style>
  <w:style w:type="paragraph" w:customStyle="1" w:styleId="StyleHeading4numberedNotBoldNotItalic">
    <w:name w:val="Style Heading 4 numbered + Not Bold Not Italic"/>
    <w:basedOn w:val="Head4nonumbers"/>
    <w:semiHidden/>
    <w:locked/>
    <w:rsid w:val="00AE0B1A"/>
    <w:rPr>
      <w:rFonts w:eastAsia="Times New Roman"/>
      <w:b w:val="0"/>
    </w:rPr>
  </w:style>
  <w:style w:type="paragraph" w:customStyle="1" w:styleId="StyleHeads3NumberedNotBold">
    <w:name w:val="Style Heads 3 Numbered + Not Bold"/>
    <w:basedOn w:val="Head3nonumbers"/>
    <w:semiHidden/>
    <w:locked/>
    <w:rsid w:val="00AE0B1A"/>
    <w:rPr>
      <w:rFonts w:eastAsia="Times New Roman"/>
    </w:rPr>
  </w:style>
  <w:style w:type="table" w:customStyle="1" w:styleId="TableStyleGAHeaderRowColumn">
    <w:name w:val="Table Style GA Header Row &amp; Column"/>
    <w:uiPriority w:val="99"/>
    <w:rsid w:val="00AE0B1A"/>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firstCol">
      <w:rPr>
        <w:rFonts w:cs="Times New Roman"/>
        <w:b/>
        <w:color w:val="FFFFFF"/>
      </w:rPr>
      <w:tblPr/>
      <w:tcPr>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rFonts w:cs="Times New Roman"/>
        <w:color w:val="FFFFFF"/>
      </w:rPr>
      <w:tblPr/>
      <w:tcPr>
        <w:shd w:val="clear" w:color="auto" w:fill="FFFFFF"/>
      </w:tcPr>
    </w:tblStylePr>
  </w:style>
  <w:style w:type="table" w:customStyle="1" w:styleId="TableStyleGAHeaderColumn">
    <w:name w:val="Table Style GA Header Column"/>
    <w:basedOn w:val="TableStyleGAHeaderRowColumn"/>
    <w:uiPriority w:val="99"/>
    <w:rsid w:val="00AE0B1A"/>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val="0"/>
        <w:color w:val="auto"/>
        <w:sz w:val="18"/>
      </w:rPr>
      <w:tblPr/>
      <w:trPr>
        <w:cantSplit/>
      </w:tr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firstCol">
      <w:rPr>
        <w:rFonts w:cs="Times New Roman"/>
        <w:b/>
        <w:color w:val="FFFFFF"/>
      </w:rPr>
      <w:tblPr/>
      <w:tcPr>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nwCell">
      <w:rPr>
        <w:rFonts w:cs="Times New Roman"/>
        <w:b/>
        <w:color w:val="FFFFFF"/>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44444"/>
      </w:tcPr>
    </w:tblStylePr>
  </w:style>
  <w:style w:type="table" w:customStyle="1" w:styleId="TableStyleGAHeaderRow">
    <w:name w:val="Table Style GA Header Row"/>
    <w:rsid w:val="00AE0B1A"/>
    <w:pPr>
      <w:spacing w:line="280" w:lineRule="atLeast"/>
    </w:pPr>
    <w:rPr>
      <w:sz w:val="18"/>
    </w:rPr>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color w:val="FFFFFF"/>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444444"/>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table" w:customStyle="1" w:styleId="TableStyleGANoHeaders">
    <w:name w:val="Table Style GA No Headers"/>
    <w:basedOn w:val="TableStyleGAHeaderRow"/>
    <w:uiPriority w:val="99"/>
    <w:rsid w:val="00AE0B1A"/>
    <w:pPr>
      <w:spacing w:line="240" w:lineRule="auto"/>
    </w:pPr>
    <w:tblPr>
      <w:tblStyleRowBandSize w:val="1"/>
      <w:tblStyleColBandSize w:val="1"/>
      <w:tblInd w:w="57" w:type="dxa"/>
      <w:tblCellMar>
        <w:top w:w="57" w:type="dxa"/>
        <w:left w:w="57" w:type="dxa"/>
        <w:bottom w:w="57" w:type="dxa"/>
        <w:right w:w="57" w:type="dxa"/>
      </w:tblCellMar>
    </w:tblPr>
    <w:trPr>
      <w:cantSplit/>
    </w:trPr>
    <w:tcPr>
      <w:shd w:val="clear" w:color="auto" w:fill="FFFFFF"/>
    </w:tcPr>
    <w:tblStylePr w:type="firstRow">
      <w:pPr>
        <w:spacing w:beforeLines="0" w:beforeAutospacing="0" w:afterLines="0" w:afterAutospacing="0" w:line="120" w:lineRule="atLeast"/>
        <w:jc w:val="left"/>
      </w:pPr>
      <w:rPr>
        <w:rFonts w:ascii="Arial" w:hAnsi="Arial" w:cs="Times New Roman"/>
        <w:b w:val="0"/>
        <w:color w:val="auto"/>
        <w:sz w:val="18"/>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tblStylePr w:type="band1Vert">
      <w:pPr>
        <w:jc w:val="left"/>
      </w:pPr>
      <w:rPr>
        <w:rFonts w:cs="Times New Roman"/>
      </w:rPr>
    </w:tblStylePr>
    <w:tblStylePr w:type="band1Horz">
      <w:pPr>
        <w:spacing w:beforeLines="0" w:beforeAutospacing="0" w:afterLines="0" w:afterAutospacing="0" w:line="120" w:lineRule="atLeast"/>
        <w:jc w:val="lef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ECECEC"/>
      </w:tcPr>
    </w:tblStylePr>
    <w:tblStylePr w:type="band2Horz">
      <w:pPr>
        <w:spacing w:beforeLines="0" w:beforeAutospacing="0" w:afterLines="0" w:afterAutospacing="0" w:line="120" w:lineRule="atLeast"/>
      </w:pPr>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l2br w:val="nil"/>
          <w:tr2bl w:val="nil"/>
        </w:tcBorders>
        <w:shd w:val="clear" w:color="auto" w:fill="DADADA"/>
      </w:tcPr>
    </w:tblStylePr>
  </w:style>
  <w:style w:type="paragraph" w:customStyle="1" w:styleId="Versopagebold">
    <w:name w:val="Verso page bold"/>
    <w:basedOn w:val="BodyText"/>
    <w:next w:val="Versopageinfo"/>
    <w:qFormat/>
    <w:rsid w:val="00AE0B1A"/>
    <w:pPr>
      <w:spacing w:before="360" w:after="60"/>
    </w:pPr>
    <w:rPr>
      <w:rFonts w:eastAsia="Times New Roman"/>
      <w:b/>
      <w:kern w:val="28"/>
    </w:rPr>
  </w:style>
  <w:style w:type="table" w:customStyle="1" w:styleId="TableStyle">
    <w:name w:val="Table Style"/>
    <w:basedOn w:val="TableNormal"/>
    <w:locked/>
    <w:rsid w:val="00AE0B1A"/>
    <w:pPr>
      <w:spacing w:line="240" w:lineRule="atLeast"/>
    </w:pPr>
    <w:tblPr>
      <w:tblInd w:w="113"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CellMar>
        <w:top w:w="0" w:type="dxa"/>
        <w:left w:w="108" w:type="dxa"/>
        <w:bottom w:w="0" w:type="dxa"/>
        <w:right w:w="108" w:type="dxa"/>
      </w:tblCellMar>
    </w:tblPr>
    <w:trPr>
      <w:tblHeader/>
    </w:trPr>
    <w:tcPr>
      <w:shd w:val="clear" w:color="auto" w:fill="B2D2DA"/>
      <w:tcMar>
        <w:top w:w="113" w:type="dxa"/>
        <w:bottom w:w="113" w:type="dxa"/>
      </w:tcMar>
    </w:tcPr>
  </w:style>
  <w:style w:type="character" w:customStyle="1" w:styleId="Symbol">
    <w:name w:val="Symbol"/>
    <w:basedOn w:val="DefaultParagraphFont"/>
    <w:rsid w:val="00754105"/>
    <w:rPr>
      <w:rFonts w:ascii="Symbol" w:hAnsi="Symbol"/>
    </w:rPr>
  </w:style>
  <w:style w:type="paragraph" w:customStyle="1" w:styleId="BodyText-01">
    <w:name w:val="Body Text -0.1"/>
    <w:basedOn w:val="BodyText"/>
    <w:rsid w:val="00AE5C2D"/>
    <w:rPr>
      <w:spacing w:val="-2"/>
    </w:rPr>
  </w:style>
  <w:style w:type="paragraph" w:customStyle="1" w:styleId="FiguresImagesLeft">
    <w:name w:val="Figures &amp; Images Left"/>
    <w:basedOn w:val="BodyText"/>
    <w:next w:val="Caption"/>
    <w:link w:val="FiguresImagesLeftChar"/>
    <w:qFormat/>
    <w:rsid w:val="000D1A85"/>
    <w:pPr>
      <w:keepNext/>
      <w:spacing w:before="480" w:after="80" w:line="160" w:lineRule="atLeast"/>
    </w:pPr>
  </w:style>
  <w:style w:type="character" w:customStyle="1" w:styleId="FiguresImagesLeftChar">
    <w:name w:val="Figures &amp; Images Left Char"/>
    <w:basedOn w:val="BodyTextChar"/>
    <w:link w:val="FiguresImagesLeft"/>
    <w:rsid w:val="000D1A85"/>
    <w:rPr>
      <w:rFonts w:ascii="Arial" w:eastAsia="Times" w:hAnsi="Arial" w:cs="Arial"/>
    </w:rPr>
  </w:style>
  <w:style w:type="paragraph" w:customStyle="1" w:styleId="VersoPageInfo0">
    <w:name w:val="Verso Page Info"/>
    <w:basedOn w:val="BodyText"/>
    <w:link w:val="VersoPageInfoChar0"/>
    <w:qFormat/>
    <w:rsid w:val="000D1A85"/>
    <w:pPr>
      <w:spacing w:before="0"/>
    </w:pPr>
  </w:style>
  <w:style w:type="character" w:customStyle="1" w:styleId="VersoPageInfoChar0">
    <w:name w:val="Verso Page Info Char"/>
    <w:basedOn w:val="BodyTextChar"/>
    <w:link w:val="VersoPageInfo0"/>
    <w:rsid w:val="000D1A85"/>
    <w:rPr>
      <w:rFonts w:ascii="Arial" w:eastAsia="Times" w:hAnsi="Arial" w:cs="Arial"/>
    </w:rPr>
  </w:style>
  <w:style w:type="paragraph" w:customStyle="1" w:styleId="Style9ptBlackCenteredLinespacingAtleast12pt">
    <w:name w:val="Style 9 pt Black Centered Line spacing:  At least 12 pt"/>
    <w:basedOn w:val="Normal"/>
    <w:rsid w:val="000D1A85"/>
    <w:pPr>
      <w:spacing w:line="240" w:lineRule="atLeast"/>
      <w:jc w:val="center"/>
    </w:pPr>
    <w:rPr>
      <w:sz w:val="144"/>
    </w:rPr>
  </w:style>
  <w:style w:type="paragraph" w:customStyle="1" w:styleId="Caption-01">
    <w:name w:val="Caption -0.1"/>
    <w:basedOn w:val="Caption"/>
    <w:qFormat/>
    <w:rsid w:val="00016FA4"/>
    <w:rPr>
      <w:spacing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296937">
      <w:bodyDiv w:val="1"/>
      <w:marLeft w:val="0"/>
      <w:marRight w:val="0"/>
      <w:marTop w:val="0"/>
      <w:marBottom w:val="0"/>
      <w:divBdr>
        <w:top w:val="none" w:sz="0" w:space="0" w:color="auto"/>
        <w:left w:val="none" w:sz="0" w:space="0" w:color="auto"/>
        <w:bottom w:val="none" w:sz="0" w:space="0" w:color="auto"/>
        <w:right w:val="none" w:sz="0" w:space="0" w:color="auto"/>
      </w:divBdr>
    </w:div>
    <w:div w:id="9559830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dx.doi.org/10.11636/Record.2014.011" TargetMode="External"/><Relationship Id="rId18" Type="http://schemas.openxmlformats.org/officeDocument/2006/relationships/image" Target="media/image3.jpeg"/><Relationship Id="rId26" Type="http://schemas.openxmlformats.org/officeDocument/2006/relationships/footer" Target="footer5.xml"/><Relationship Id="rId39" Type="http://schemas.openxmlformats.org/officeDocument/2006/relationships/footer" Target="footer11.xml"/><Relationship Id="rId21" Type="http://schemas.openxmlformats.org/officeDocument/2006/relationships/image" Target="media/image6.jpeg"/><Relationship Id="rId34" Type="http://schemas.openxmlformats.org/officeDocument/2006/relationships/image" Target="media/image13.jpeg"/><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footer" Target="footer15.xml"/><Relationship Id="rId55" Type="http://schemas.openxmlformats.org/officeDocument/2006/relationships/image" Target="media/image26.jpeg"/><Relationship Id="rId63" Type="http://schemas.openxmlformats.org/officeDocument/2006/relationships/image" Target="media/image32.jpeg"/><Relationship Id="rId68" Type="http://schemas.openxmlformats.org/officeDocument/2006/relationships/image" Target="media/image37.jpeg"/><Relationship Id="rId76" Type="http://schemas.openxmlformats.org/officeDocument/2006/relationships/image" Target="media/image45.jpeg"/><Relationship Id="rId84" Type="http://schemas.openxmlformats.org/officeDocument/2006/relationships/footer" Target="footer20.xml"/><Relationship Id="rId7" Type="http://schemas.openxmlformats.org/officeDocument/2006/relationships/footnotes" Target="footnotes.xml"/><Relationship Id="rId71" Type="http://schemas.openxmlformats.org/officeDocument/2006/relationships/image" Target="media/image40.jpeg"/><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2.jpeg"/><Relationship Id="rId11" Type="http://schemas.openxmlformats.org/officeDocument/2006/relationships/hyperlink" Target="http://www.creativecommons.org/licenses/by/3.0/au/deed.en" TargetMode="External"/><Relationship Id="rId24" Type="http://schemas.openxmlformats.org/officeDocument/2006/relationships/image" Target="media/image9.jpeg"/><Relationship Id="rId32" Type="http://schemas.openxmlformats.org/officeDocument/2006/relationships/footer" Target="footer8.xml"/><Relationship Id="rId37" Type="http://schemas.openxmlformats.org/officeDocument/2006/relationships/image" Target="media/image16.jpeg"/><Relationship Id="rId40" Type="http://schemas.openxmlformats.org/officeDocument/2006/relationships/footer" Target="footer12.xml"/><Relationship Id="rId45" Type="http://schemas.openxmlformats.org/officeDocument/2006/relationships/image" Target="media/image20.jpeg"/><Relationship Id="rId53" Type="http://schemas.openxmlformats.org/officeDocument/2006/relationships/footer" Target="footer16.xml"/><Relationship Id="rId58" Type="http://schemas.openxmlformats.org/officeDocument/2006/relationships/image" Target="media/image27.jpeg"/><Relationship Id="rId66" Type="http://schemas.openxmlformats.org/officeDocument/2006/relationships/image" Target="media/image35.jpeg"/><Relationship Id="rId74" Type="http://schemas.openxmlformats.org/officeDocument/2006/relationships/image" Target="media/image43.jpeg"/><Relationship Id="rId79" Type="http://schemas.openxmlformats.org/officeDocument/2006/relationships/image" Target="media/image48.jpeg"/><Relationship Id="rId87"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30.jpeg"/><Relationship Id="rId82" Type="http://schemas.openxmlformats.org/officeDocument/2006/relationships/image" Target="media/image51.jpeg"/><Relationship Id="rId19" Type="http://schemas.openxmlformats.org/officeDocument/2006/relationships/image" Target="media/image4.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1.xml"/><Relationship Id="rId22" Type="http://schemas.openxmlformats.org/officeDocument/2006/relationships/image" Target="media/image7.jpeg"/><Relationship Id="rId27" Type="http://schemas.openxmlformats.org/officeDocument/2006/relationships/image" Target="media/image10.jpeg"/><Relationship Id="rId30" Type="http://schemas.openxmlformats.org/officeDocument/2006/relationships/footer" Target="footer6.xml"/><Relationship Id="rId35" Type="http://schemas.openxmlformats.org/officeDocument/2006/relationships/image" Target="media/image14.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footer" Target="footer18.xml"/><Relationship Id="rId64" Type="http://schemas.openxmlformats.org/officeDocument/2006/relationships/image" Target="media/image33.jpeg"/><Relationship Id="rId69" Type="http://schemas.openxmlformats.org/officeDocument/2006/relationships/image" Target="media/image38.jpeg"/><Relationship Id="rId77" Type="http://schemas.openxmlformats.org/officeDocument/2006/relationships/image" Target="media/image46.jpeg"/><Relationship Id="rId8" Type="http://schemas.openxmlformats.org/officeDocument/2006/relationships/endnotes" Target="endnotes.xml"/><Relationship Id="rId51" Type="http://schemas.openxmlformats.org/officeDocument/2006/relationships/image" Target="media/image24.jpeg"/><Relationship Id="rId72" Type="http://schemas.openxmlformats.org/officeDocument/2006/relationships/image" Target="media/image41.jpeg"/><Relationship Id="rId80" Type="http://schemas.openxmlformats.org/officeDocument/2006/relationships/image" Target="media/image49.jpeg"/><Relationship Id="rId85" Type="http://schemas.openxmlformats.org/officeDocument/2006/relationships/footer" Target="footer21.xml"/><Relationship Id="rId3" Type="http://schemas.openxmlformats.org/officeDocument/2006/relationships/styles" Target="styles.xml"/><Relationship Id="rId12" Type="http://schemas.openxmlformats.org/officeDocument/2006/relationships/hyperlink" Target="mailto:clientservices@ga.gov.au" TargetMode="External"/><Relationship Id="rId17" Type="http://schemas.openxmlformats.org/officeDocument/2006/relationships/hyperlink" Target="http://www.ga.gov.au/" TargetMode="External"/><Relationship Id="rId25" Type="http://schemas.openxmlformats.org/officeDocument/2006/relationships/footer" Target="footer4.xml"/><Relationship Id="rId33" Type="http://schemas.openxmlformats.org/officeDocument/2006/relationships/footer" Target="footer9.xml"/><Relationship Id="rId38" Type="http://schemas.openxmlformats.org/officeDocument/2006/relationships/footer" Target="footer10.xml"/><Relationship Id="rId46" Type="http://schemas.openxmlformats.org/officeDocument/2006/relationships/image" Target="media/image21.jpeg"/><Relationship Id="rId59" Type="http://schemas.openxmlformats.org/officeDocument/2006/relationships/image" Target="media/image28.jpeg"/><Relationship Id="rId67" Type="http://schemas.openxmlformats.org/officeDocument/2006/relationships/image" Target="media/image36.jpeg"/><Relationship Id="rId20" Type="http://schemas.openxmlformats.org/officeDocument/2006/relationships/image" Target="media/image5.jpeg"/><Relationship Id="rId41" Type="http://schemas.openxmlformats.org/officeDocument/2006/relationships/footer" Target="footer13.xml"/><Relationship Id="rId54" Type="http://schemas.openxmlformats.org/officeDocument/2006/relationships/footer" Target="footer17.xml"/><Relationship Id="rId62" Type="http://schemas.openxmlformats.org/officeDocument/2006/relationships/image" Target="media/image31.jpeg"/><Relationship Id="rId70" Type="http://schemas.openxmlformats.org/officeDocument/2006/relationships/image" Target="media/image39.jpeg"/><Relationship Id="rId75" Type="http://schemas.openxmlformats.org/officeDocument/2006/relationships/image" Target="media/image44.jpg"/><Relationship Id="rId83" Type="http://schemas.openxmlformats.org/officeDocument/2006/relationships/hyperlink" Target="http://www.ga.gov.au/metadata-gateway/metadata/record/76510"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jpeg"/><Relationship Id="rId28" Type="http://schemas.openxmlformats.org/officeDocument/2006/relationships/image" Target="media/image11.jpeg"/><Relationship Id="rId36" Type="http://schemas.openxmlformats.org/officeDocument/2006/relationships/image" Target="media/image15.jpeg"/><Relationship Id="rId49" Type="http://schemas.openxmlformats.org/officeDocument/2006/relationships/footer" Target="footer14.xml"/><Relationship Id="rId57" Type="http://schemas.openxmlformats.org/officeDocument/2006/relationships/footer" Target="footer19.xml"/><Relationship Id="rId10" Type="http://schemas.openxmlformats.org/officeDocument/2006/relationships/image" Target="media/image2.jpeg"/><Relationship Id="rId31" Type="http://schemas.openxmlformats.org/officeDocument/2006/relationships/footer" Target="footer7.xml"/><Relationship Id="rId44" Type="http://schemas.openxmlformats.org/officeDocument/2006/relationships/image" Target="media/image19.jpeg"/><Relationship Id="rId52" Type="http://schemas.openxmlformats.org/officeDocument/2006/relationships/image" Target="media/image25.jpeg"/><Relationship Id="rId60" Type="http://schemas.openxmlformats.org/officeDocument/2006/relationships/image" Target="media/image29.jpeg"/><Relationship Id="rId65" Type="http://schemas.openxmlformats.org/officeDocument/2006/relationships/image" Target="media/image34.jpeg"/><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image" Target="media/image50.jpeg"/><Relationship Id="rId86"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992F37-A71B-43D0-86E8-823D005B8B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15267D39.dotm</Template>
  <TotalTime>1805</TotalTime>
  <Pages>87</Pages>
  <Words>22869</Words>
  <Characters>139923</Characters>
  <Application>Microsoft Office Word</Application>
  <DocSecurity>0</DocSecurity>
  <Lines>1166</Lines>
  <Paragraphs>324</Paragraphs>
  <ScaleCrop>false</ScaleCrop>
  <HeadingPairs>
    <vt:vector size="2" baseType="variant">
      <vt:variant>
        <vt:lpstr>Title</vt:lpstr>
      </vt:variant>
      <vt:variant>
        <vt:i4>1</vt:i4>
      </vt:variant>
    </vt:vector>
  </HeadingPairs>
  <TitlesOfParts>
    <vt:vector size="1" baseType="lpstr">
      <vt:lpstr/>
    </vt:vector>
  </TitlesOfParts>
  <Company>Geoscience Australia</Company>
  <LinksUpToDate>false</LinksUpToDate>
  <CharactersWithSpaces>162468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 Nguyen</dc:creator>
  <cp:keywords/>
  <cp:lastModifiedBy>Geoscience Australia</cp:lastModifiedBy>
  <cp:revision>40</cp:revision>
  <dcterms:created xsi:type="dcterms:W3CDTF">2014-02-13T23:48:00Z</dcterms:created>
  <dcterms:modified xsi:type="dcterms:W3CDTF">2014-03-27T21:23:00Z</dcterms:modified>
</cp:coreProperties>
</file>