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5599" w:rsidRDefault="001A5599" w:rsidP="001A5599">
      <w:pPr>
        <w:pStyle w:val="Documenttitle"/>
      </w:pPr>
      <w:r>
        <w:t>Atlas of Seismic Hazard Maps of Australia</w:t>
      </w:r>
    </w:p>
    <w:p w:rsidR="000C2DCE" w:rsidRDefault="001A5599" w:rsidP="001A5599">
      <w:pPr>
        <w:pStyle w:val="Documentsubtitle"/>
      </w:pPr>
      <w:r>
        <w:t>Seismic hazard maps, hazard curves and hazard spectra.</w:t>
      </w:r>
    </w:p>
    <w:p w:rsidR="00CE52F5" w:rsidRDefault="00CE52F5" w:rsidP="00FA75CE">
      <w:pPr>
        <w:pStyle w:val="Record"/>
      </w:pPr>
      <w:r>
        <w:t>Geo</w:t>
      </w:r>
      <w:r w:rsidR="004C7AAD">
        <w:t>science Australia</w:t>
      </w:r>
      <w:r w:rsidR="004C7AAD">
        <w:br/>
        <w:t>Record 2013/</w:t>
      </w:r>
      <w:r w:rsidR="007C5577">
        <w:t>41</w:t>
      </w:r>
    </w:p>
    <w:p w:rsidR="000C2DCE" w:rsidRDefault="00610280" w:rsidP="00FA75CE">
      <w:pPr>
        <w:pStyle w:val="Authors"/>
      </w:pPr>
      <w:r>
        <w:t>M. Leonard, D. Burbidge and</w:t>
      </w:r>
      <w:r w:rsidR="004C7AAD">
        <w:t xml:space="preserve"> M. Edwards</w:t>
      </w:r>
    </w:p>
    <w:p w:rsidR="00CE52F5" w:rsidRPr="00A54C1B" w:rsidRDefault="00CE52F5" w:rsidP="00F53C13">
      <w:pPr>
        <w:pStyle w:val="Figuresandimagesleft0"/>
      </w:pPr>
      <w:r>
        <w:rPr>
          <w:noProof/>
        </w:rPr>
        <w:drawing>
          <wp:inline distT="0" distB="0" distL="0" distR="0" wp14:anchorId="794A14E8" wp14:editId="2A10EFC2">
            <wp:extent cx="2552065" cy="743585"/>
            <wp:effectExtent l="0" t="0" r="635" b="0"/>
            <wp:docPr id="5" name="Picture 5"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52065" cy="743585"/>
                    </a:xfrm>
                    <a:prstGeom prst="rect">
                      <a:avLst/>
                    </a:prstGeom>
                    <a:noFill/>
                    <a:ln>
                      <a:noFill/>
                    </a:ln>
                  </pic:spPr>
                </pic:pic>
              </a:graphicData>
            </a:graphic>
          </wp:inline>
        </w:drawing>
      </w:r>
    </w:p>
    <w:p w:rsidR="00F53C13" w:rsidRPr="00CA0868" w:rsidRDefault="00F53C13" w:rsidP="00F53C13">
      <w:pPr>
        <w:pStyle w:val="VersoBoldPgB4"/>
      </w:pPr>
      <w:r w:rsidRPr="00CA0868">
        <w:lastRenderedPageBreak/>
        <w:t>Department of Industry</w:t>
      </w:r>
    </w:p>
    <w:p w:rsidR="00F53C13" w:rsidRPr="00CA0868" w:rsidRDefault="00F53C13" w:rsidP="00F53C13">
      <w:pPr>
        <w:pStyle w:val="Versopageinfo"/>
      </w:pPr>
      <w:r w:rsidRPr="00CA0868">
        <w:t>Minister for Industry: The Hon Ian Macfarlane MP</w:t>
      </w:r>
      <w:r w:rsidRPr="00CA0868">
        <w:br/>
        <w:t>Parliamentary Secretary: The Hon Bob Baldwin MP</w:t>
      </w:r>
      <w:r w:rsidRPr="00CA0868">
        <w:br/>
        <w:t>Secretary: Ms Glenys Beauchamp PSM</w:t>
      </w:r>
    </w:p>
    <w:p w:rsidR="00F53C13" w:rsidRDefault="00F53C13" w:rsidP="00F53C13">
      <w:pPr>
        <w:pStyle w:val="VersoBold"/>
      </w:pPr>
      <w:r>
        <w:t>Geoscience Australia</w:t>
      </w:r>
    </w:p>
    <w:p w:rsidR="00F53C13" w:rsidRDefault="00F53C13" w:rsidP="00F53C13">
      <w:pPr>
        <w:pStyle w:val="Versopageinfo"/>
      </w:pPr>
      <w:r>
        <w:t xml:space="preserve">Chief Executive Officer: Dr Chris </w:t>
      </w:r>
      <w:proofErr w:type="spellStart"/>
      <w:r>
        <w:t>Pigram</w:t>
      </w:r>
      <w:proofErr w:type="spellEnd"/>
      <w:r>
        <w:br/>
        <w:t>This paper is published with the permission of the CEO, Geoscience Australia</w:t>
      </w:r>
    </w:p>
    <w:p w:rsidR="00F53C13" w:rsidRDefault="00F53C13" w:rsidP="00F53C13">
      <w:pPr>
        <w:pStyle w:val="Figuresandimagesleft0"/>
      </w:pPr>
      <w:r>
        <w:rPr>
          <w:noProof/>
        </w:rPr>
        <w:drawing>
          <wp:inline distT="0" distB="0" distL="0" distR="0" wp14:anchorId="36349B66" wp14:editId="1B3A6C6D">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F53C13" w:rsidRDefault="00F53C13" w:rsidP="00F53C13">
      <w:pPr>
        <w:pStyle w:val="Versopageinfo"/>
      </w:pPr>
      <w:r>
        <w:t>© Commonwealth of Australia (Geoscience Australia) 2013</w:t>
      </w:r>
    </w:p>
    <w:p w:rsidR="00F53C13" w:rsidRDefault="00F53C13" w:rsidP="00F53C13">
      <w:pPr>
        <w:pStyle w:val="Versopageinfo"/>
      </w:pPr>
      <w:r>
        <w:t>With the exception of the Commonwealth Coat of Arms and where otherwise noted, all material in this publication is provided under a Creative Commons Attribution 3.0 Australia Licence. (</w:t>
      </w:r>
      <w:hyperlink r:id="rId11" w:tooltip="Creative Commons website" w:history="1">
        <w:r w:rsidRPr="002E4BF6">
          <w:rPr>
            <w:rStyle w:val="Hyperlink"/>
          </w:rPr>
          <w:t>http://www.creativecommons.org/licenses/by/3.0/au/deed.en</w:t>
        </w:r>
      </w:hyperlink>
      <w:r>
        <w:t>)</w:t>
      </w:r>
    </w:p>
    <w:p w:rsidR="00F53C13" w:rsidRDefault="00F53C13" w:rsidP="00F53C13">
      <w:pPr>
        <w:pStyle w:val="Versopageinfo"/>
      </w:pPr>
      <w: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F53C13" w:rsidRDefault="00F53C13" w:rsidP="00F53C13">
      <w:pPr>
        <w:pStyle w:val="Versopageinfo"/>
      </w:pPr>
      <w:r>
        <w:t xml:space="preserve">Geoscience Australia is committed to providing web accessible content wherever possible. If you are having difficulties with accessing this document please contact </w:t>
      </w:r>
      <w:hyperlink r:id="rId12" w:tooltip="Email Geoscience Australia" w:history="1">
        <w:r w:rsidRPr="007D7955">
          <w:rPr>
            <w:rStyle w:val="Hyperlink"/>
          </w:rPr>
          <w:t>clientservices@ga.gov.au</w:t>
        </w:r>
      </w:hyperlink>
      <w:r w:rsidRPr="003726DC">
        <w:t>.</w:t>
      </w:r>
    </w:p>
    <w:p w:rsidR="00F53C13" w:rsidRPr="00661A73" w:rsidRDefault="00F53C13" w:rsidP="00F53C13">
      <w:pPr>
        <w:pStyle w:val="VersoBold"/>
      </w:pPr>
      <w:r>
        <w:t>ISSN 2201-702X (PDF)</w:t>
      </w:r>
    </w:p>
    <w:p w:rsidR="00F53C13" w:rsidRDefault="00F53C13" w:rsidP="00F53C13">
      <w:pPr>
        <w:pStyle w:val="VersoBold"/>
      </w:pPr>
      <w:r w:rsidRPr="00661A73">
        <w:t xml:space="preserve">ISBN </w:t>
      </w:r>
      <w:r w:rsidR="007C5577" w:rsidRPr="007C5577">
        <w:t xml:space="preserve">978-1-922201-76-8 </w:t>
      </w:r>
      <w:r w:rsidRPr="00661A73">
        <w:t xml:space="preserve"> (PDF)</w:t>
      </w:r>
    </w:p>
    <w:p w:rsidR="006B3435" w:rsidRPr="00F77E2B" w:rsidRDefault="006B3435" w:rsidP="006B3435">
      <w:pPr>
        <w:pStyle w:val="VersoBold"/>
      </w:pPr>
      <w:proofErr w:type="spellStart"/>
      <w:r w:rsidRPr="00661A73">
        <w:t>GeoCat</w:t>
      </w:r>
      <w:proofErr w:type="spellEnd"/>
      <w:r w:rsidRPr="00F77E2B">
        <w:t xml:space="preserve"> </w:t>
      </w:r>
      <w:r>
        <w:t>77399</w:t>
      </w:r>
    </w:p>
    <w:p w:rsidR="000C2DCE" w:rsidRDefault="00CE52F5" w:rsidP="00244E5E">
      <w:pPr>
        <w:pStyle w:val="Bibliography"/>
      </w:pPr>
      <w:r>
        <w:rPr>
          <w:rStyle w:val="Bodytextbold"/>
        </w:rPr>
        <w:t>Bibliographic reference:</w:t>
      </w:r>
      <w:r>
        <w:t xml:space="preserve"> </w:t>
      </w:r>
      <w:r w:rsidR="00244E5E">
        <w:t xml:space="preserve">Leonard, M., Burbidge, D. and Edwards, M. 2013. </w:t>
      </w:r>
      <w:r w:rsidR="00244E5E" w:rsidRPr="00244E5E">
        <w:rPr>
          <w:rStyle w:val="Italic"/>
        </w:rPr>
        <w:t>Atlas of seismic hazard maps of Australia: seismic hazard maps, hazard curves and hazard spectra</w:t>
      </w:r>
      <w:r w:rsidR="00244E5E">
        <w:t>.</w:t>
      </w:r>
      <w:bookmarkStart w:id="0" w:name="_GoBack"/>
      <w:bookmarkEnd w:id="0"/>
      <w:r>
        <w:t xml:space="preserve"> Record 2013/</w:t>
      </w:r>
      <w:r w:rsidR="007C5577">
        <w:t>41</w:t>
      </w:r>
      <w:r>
        <w:t>. Geoscience Australia: Canberra.</w:t>
      </w:r>
    </w:p>
    <w:p w:rsidR="00CE52F5" w:rsidRDefault="00F53C13" w:rsidP="00150B52">
      <w:pPr>
        <w:pStyle w:val="Versopageinfo"/>
        <w:sectPr w:rsidR="00CE52F5" w:rsidSect="00703F29">
          <w:pgSz w:w="11907" w:h="16840"/>
          <w:pgMar w:top="1985" w:right="1134" w:bottom="1134" w:left="1701" w:header="720" w:footer="567" w:gutter="0"/>
          <w:pgNumType w:fmt="lowerRoman" w:start="1"/>
          <w:cols w:space="720"/>
        </w:sectPr>
      </w:pPr>
      <w:r>
        <w:t xml:space="preserve">Version: </w:t>
      </w:r>
      <w:r w:rsidR="00952C11">
        <w:t>13</w:t>
      </w:r>
      <w:r>
        <w:t>04</w:t>
      </w:r>
    </w:p>
    <w:p w:rsidR="00CE52F5" w:rsidRDefault="00CE52F5" w:rsidP="00D543E0">
      <w:pPr>
        <w:pStyle w:val="TOCHeading"/>
      </w:pPr>
      <w:r>
        <w:lastRenderedPageBreak/>
        <w:t>Contents</w:t>
      </w:r>
    </w:p>
    <w:p w:rsidR="00552102" w:rsidRDefault="008C0AB4">
      <w:pPr>
        <w:pStyle w:val="TOC1"/>
        <w:rPr>
          <w:rFonts w:asciiTheme="minorHAnsi" w:eastAsiaTheme="minorEastAsia" w:hAnsiTheme="minorHAnsi" w:cstheme="minorBidi"/>
          <w:sz w:val="22"/>
          <w:szCs w:val="22"/>
        </w:rPr>
      </w:pPr>
      <w:r>
        <w:fldChar w:fldCharType="begin"/>
      </w:r>
      <w:r>
        <w:instrText xml:space="preserve"> TOC \o "5-5" \h \z \t "Heading 1,1,Heading 2,2,Heading 3,3,Heading 4,4,Heading 1 numbered,1,Heading 2 numbered,2,Heading 3 numbered,3,Heading 4 numbered,4,Head 1 no numbers,1,Head 2 no numbers,2,Head 3 no numbers,3,Head 4 no numbers,4,Heading appendix 1 base,1" </w:instrText>
      </w:r>
      <w:r>
        <w:fldChar w:fldCharType="separate"/>
      </w:r>
      <w:hyperlink w:anchor="_Toc371577696" w:history="1">
        <w:r w:rsidR="00552102" w:rsidRPr="000316C8">
          <w:rPr>
            <w:rStyle w:val="Hyperlink"/>
          </w:rPr>
          <w:t>1 Introduction</w:t>
        </w:r>
        <w:r w:rsidR="00552102">
          <w:rPr>
            <w:webHidden/>
          </w:rPr>
          <w:tab/>
        </w:r>
        <w:r w:rsidR="00552102">
          <w:rPr>
            <w:webHidden/>
          </w:rPr>
          <w:fldChar w:fldCharType="begin"/>
        </w:r>
        <w:r w:rsidR="00552102">
          <w:rPr>
            <w:webHidden/>
          </w:rPr>
          <w:instrText xml:space="preserve"> PAGEREF _Toc371577696 \h </w:instrText>
        </w:r>
        <w:r w:rsidR="00552102">
          <w:rPr>
            <w:webHidden/>
          </w:rPr>
        </w:r>
        <w:r w:rsidR="00552102">
          <w:rPr>
            <w:webHidden/>
          </w:rPr>
          <w:fldChar w:fldCharType="separate"/>
        </w:r>
        <w:r w:rsidR="00552102">
          <w:rPr>
            <w:webHidden/>
          </w:rPr>
          <w:t>1</w:t>
        </w:r>
        <w:r w:rsidR="00552102">
          <w:rPr>
            <w:webHidden/>
          </w:rPr>
          <w:fldChar w:fldCharType="end"/>
        </w:r>
      </w:hyperlink>
    </w:p>
    <w:p w:rsidR="00552102" w:rsidRDefault="006220B6">
      <w:pPr>
        <w:pStyle w:val="TOC2"/>
        <w:rPr>
          <w:rFonts w:asciiTheme="minorHAnsi" w:eastAsiaTheme="minorEastAsia" w:hAnsiTheme="minorHAnsi" w:cstheme="minorBidi"/>
          <w:sz w:val="22"/>
          <w:szCs w:val="22"/>
        </w:rPr>
      </w:pPr>
      <w:hyperlink w:anchor="_Toc371577697" w:history="1">
        <w:r w:rsidR="00552102" w:rsidRPr="000316C8">
          <w:rPr>
            <w:rStyle w:val="Hyperlink"/>
          </w:rPr>
          <w:t>1.1 Introduction to this Atlas of NSHM</w:t>
        </w:r>
        <w:r w:rsidR="00552102">
          <w:rPr>
            <w:webHidden/>
          </w:rPr>
          <w:tab/>
        </w:r>
        <w:r w:rsidR="00552102">
          <w:rPr>
            <w:webHidden/>
          </w:rPr>
          <w:fldChar w:fldCharType="begin"/>
        </w:r>
        <w:r w:rsidR="00552102">
          <w:rPr>
            <w:webHidden/>
          </w:rPr>
          <w:instrText xml:space="preserve"> PAGEREF _Toc371577697 \h </w:instrText>
        </w:r>
        <w:r w:rsidR="00552102">
          <w:rPr>
            <w:webHidden/>
          </w:rPr>
        </w:r>
        <w:r w:rsidR="00552102">
          <w:rPr>
            <w:webHidden/>
          </w:rPr>
          <w:fldChar w:fldCharType="separate"/>
        </w:r>
        <w:r w:rsidR="00552102">
          <w:rPr>
            <w:webHidden/>
          </w:rPr>
          <w:t>1</w:t>
        </w:r>
        <w:r w:rsidR="00552102">
          <w:rPr>
            <w:webHidden/>
          </w:rPr>
          <w:fldChar w:fldCharType="end"/>
        </w:r>
      </w:hyperlink>
    </w:p>
    <w:p w:rsidR="00552102" w:rsidRDefault="006220B6">
      <w:pPr>
        <w:pStyle w:val="TOC2"/>
        <w:rPr>
          <w:rFonts w:asciiTheme="minorHAnsi" w:eastAsiaTheme="minorEastAsia" w:hAnsiTheme="minorHAnsi" w:cstheme="minorBidi"/>
          <w:sz w:val="22"/>
          <w:szCs w:val="22"/>
        </w:rPr>
      </w:pPr>
      <w:hyperlink w:anchor="_Toc371577698" w:history="1">
        <w:r w:rsidR="00552102" w:rsidRPr="000316C8">
          <w:rPr>
            <w:rStyle w:val="Hyperlink"/>
          </w:rPr>
          <w:t>1.2 Technical changes from GA Record 2012/71</w:t>
        </w:r>
        <w:r w:rsidR="00552102">
          <w:rPr>
            <w:webHidden/>
          </w:rPr>
          <w:tab/>
        </w:r>
        <w:r w:rsidR="00552102">
          <w:rPr>
            <w:webHidden/>
          </w:rPr>
          <w:fldChar w:fldCharType="begin"/>
        </w:r>
        <w:r w:rsidR="00552102">
          <w:rPr>
            <w:webHidden/>
          </w:rPr>
          <w:instrText xml:space="preserve"> PAGEREF _Toc371577698 \h </w:instrText>
        </w:r>
        <w:r w:rsidR="00552102">
          <w:rPr>
            <w:webHidden/>
          </w:rPr>
        </w:r>
        <w:r w:rsidR="00552102">
          <w:rPr>
            <w:webHidden/>
          </w:rPr>
          <w:fldChar w:fldCharType="separate"/>
        </w:r>
        <w:r w:rsidR="00552102">
          <w:rPr>
            <w:webHidden/>
          </w:rPr>
          <w:t>2</w:t>
        </w:r>
        <w:r w:rsidR="00552102">
          <w:rPr>
            <w:webHidden/>
          </w:rPr>
          <w:fldChar w:fldCharType="end"/>
        </w:r>
      </w:hyperlink>
    </w:p>
    <w:p w:rsidR="00552102" w:rsidRDefault="006220B6">
      <w:pPr>
        <w:pStyle w:val="TOC2"/>
        <w:rPr>
          <w:rFonts w:asciiTheme="minorHAnsi" w:eastAsiaTheme="minorEastAsia" w:hAnsiTheme="minorHAnsi" w:cstheme="minorBidi"/>
          <w:sz w:val="22"/>
          <w:szCs w:val="22"/>
        </w:rPr>
      </w:pPr>
      <w:hyperlink w:anchor="_Toc371577699" w:history="1">
        <w:r w:rsidR="00552102" w:rsidRPr="000316C8">
          <w:rPr>
            <w:rStyle w:val="Hyperlink"/>
          </w:rPr>
          <w:t>1.3 Major changes from AS1170.4-2007</w:t>
        </w:r>
        <w:r w:rsidR="00552102">
          <w:rPr>
            <w:webHidden/>
          </w:rPr>
          <w:tab/>
        </w:r>
        <w:r w:rsidR="00552102">
          <w:rPr>
            <w:webHidden/>
          </w:rPr>
          <w:fldChar w:fldCharType="begin"/>
        </w:r>
        <w:r w:rsidR="00552102">
          <w:rPr>
            <w:webHidden/>
          </w:rPr>
          <w:instrText xml:space="preserve"> PAGEREF _Toc371577699 \h </w:instrText>
        </w:r>
        <w:r w:rsidR="00552102">
          <w:rPr>
            <w:webHidden/>
          </w:rPr>
        </w:r>
        <w:r w:rsidR="00552102">
          <w:rPr>
            <w:webHidden/>
          </w:rPr>
          <w:fldChar w:fldCharType="separate"/>
        </w:r>
        <w:r w:rsidR="00552102">
          <w:rPr>
            <w:webHidden/>
          </w:rPr>
          <w:t>3</w:t>
        </w:r>
        <w:r w:rsidR="00552102">
          <w:rPr>
            <w:webHidden/>
          </w:rPr>
          <w:fldChar w:fldCharType="end"/>
        </w:r>
      </w:hyperlink>
    </w:p>
    <w:p w:rsidR="00552102" w:rsidRDefault="006220B6">
      <w:pPr>
        <w:pStyle w:val="TOC1"/>
        <w:rPr>
          <w:rFonts w:asciiTheme="minorHAnsi" w:eastAsiaTheme="minorEastAsia" w:hAnsiTheme="minorHAnsi" w:cstheme="minorBidi"/>
          <w:sz w:val="22"/>
          <w:szCs w:val="22"/>
        </w:rPr>
      </w:pPr>
      <w:hyperlink w:anchor="_Toc371577700" w:history="1">
        <w:r w:rsidR="00552102" w:rsidRPr="000316C8">
          <w:rPr>
            <w:rStyle w:val="Hyperlink"/>
          </w:rPr>
          <w:t>2 Comparison of PGA hazard curves for selected sites</w:t>
        </w:r>
        <w:r w:rsidR="00552102">
          <w:rPr>
            <w:webHidden/>
          </w:rPr>
          <w:tab/>
        </w:r>
        <w:r w:rsidR="00552102">
          <w:rPr>
            <w:webHidden/>
          </w:rPr>
          <w:fldChar w:fldCharType="begin"/>
        </w:r>
        <w:r w:rsidR="00552102">
          <w:rPr>
            <w:webHidden/>
          </w:rPr>
          <w:instrText xml:space="preserve"> PAGEREF _Toc371577700 \h </w:instrText>
        </w:r>
        <w:r w:rsidR="00552102">
          <w:rPr>
            <w:webHidden/>
          </w:rPr>
        </w:r>
        <w:r w:rsidR="00552102">
          <w:rPr>
            <w:webHidden/>
          </w:rPr>
          <w:fldChar w:fldCharType="separate"/>
        </w:r>
        <w:r w:rsidR="00552102">
          <w:rPr>
            <w:webHidden/>
          </w:rPr>
          <w:t>5</w:t>
        </w:r>
        <w:r w:rsidR="00552102">
          <w:rPr>
            <w:webHidden/>
          </w:rPr>
          <w:fldChar w:fldCharType="end"/>
        </w:r>
      </w:hyperlink>
    </w:p>
    <w:p w:rsidR="00552102" w:rsidRDefault="006220B6">
      <w:pPr>
        <w:pStyle w:val="TOC1"/>
        <w:rPr>
          <w:rFonts w:asciiTheme="minorHAnsi" w:eastAsiaTheme="minorEastAsia" w:hAnsiTheme="minorHAnsi" w:cstheme="minorBidi"/>
          <w:sz w:val="22"/>
          <w:szCs w:val="22"/>
        </w:rPr>
      </w:pPr>
      <w:hyperlink w:anchor="_Toc371577701" w:history="1">
        <w:r w:rsidR="00552102" w:rsidRPr="000316C8">
          <w:rPr>
            <w:rStyle w:val="Hyperlink"/>
          </w:rPr>
          <w:t>3 National Seismic Hazard Maps</w:t>
        </w:r>
        <w:r w:rsidR="00552102">
          <w:rPr>
            <w:webHidden/>
          </w:rPr>
          <w:tab/>
        </w:r>
        <w:r w:rsidR="00552102">
          <w:rPr>
            <w:webHidden/>
          </w:rPr>
          <w:fldChar w:fldCharType="begin"/>
        </w:r>
        <w:r w:rsidR="00552102">
          <w:rPr>
            <w:webHidden/>
          </w:rPr>
          <w:instrText xml:space="preserve"> PAGEREF _Toc371577701 \h </w:instrText>
        </w:r>
        <w:r w:rsidR="00552102">
          <w:rPr>
            <w:webHidden/>
          </w:rPr>
        </w:r>
        <w:r w:rsidR="00552102">
          <w:rPr>
            <w:webHidden/>
          </w:rPr>
          <w:fldChar w:fldCharType="separate"/>
        </w:r>
        <w:r w:rsidR="00552102">
          <w:rPr>
            <w:webHidden/>
          </w:rPr>
          <w:t>8</w:t>
        </w:r>
        <w:r w:rsidR="00552102">
          <w:rPr>
            <w:webHidden/>
          </w:rPr>
          <w:fldChar w:fldCharType="end"/>
        </w:r>
      </w:hyperlink>
    </w:p>
    <w:p w:rsidR="00552102" w:rsidRDefault="006220B6">
      <w:pPr>
        <w:pStyle w:val="TOC1"/>
        <w:rPr>
          <w:rFonts w:asciiTheme="minorHAnsi" w:eastAsiaTheme="minorEastAsia" w:hAnsiTheme="minorHAnsi" w:cstheme="minorBidi"/>
          <w:sz w:val="22"/>
          <w:szCs w:val="22"/>
        </w:rPr>
      </w:pPr>
      <w:hyperlink w:anchor="_Toc371577702" w:history="1">
        <w:r w:rsidR="00552102" w:rsidRPr="000316C8">
          <w:rPr>
            <w:rStyle w:val="Hyperlink"/>
          </w:rPr>
          <w:t>4 Regional Seismic Hazard Maps</w:t>
        </w:r>
        <w:r w:rsidR="00552102">
          <w:rPr>
            <w:webHidden/>
          </w:rPr>
          <w:tab/>
        </w:r>
        <w:r w:rsidR="00552102">
          <w:rPr>
            <w:webHidden/>
          </w:rPr>
          <w:fldChar w:fldCharType="begin"/>
        </w:r>
        <w:r w:rsidR="00552102">
          <w:rPr>
            <w:webHidden/>
          </w:rPr>
          <w:instrText xml:space="preserve"> PAGEREF _Toc371577702 \h </w:instrText>
        </w:r>
        <w:r w:rsidR="00552102">
          <w:rPr>
            <w:webHidden/>
          </w:rPr>
        </w:r>
        <w:r w:rsidR="00552102">
          <w:rPr>
            <w:webHidden/>
          </w:rPr>
          <w:fldChar w:fldCharType="separate"/>
        </w:r>
        <w:r w:rsidR="00552102">
          <w:rPr>
            <w:webHidden/>
          </w:rPr>
          <w:t>15</w:t>
        </w:r>
        <w:r w:rsidR="00552102">
          <w:rPr>
            <w:webHidden/>
          </w:rPr>
          <w:fldChar w:fldCharType="end"/>
        </w:r>
      </w:hyperlink>
    </w:p>
    <w:p w:rsidR="00552102" w:rsidRDefault="006220B6">
      <w:pPr>
        <w:pStyle w:val="TOC1"/>
        <w:rPr>
          <w:rFonts w:asciiTheme="minorHAnsi" w:eastAsiaTheme="minorEastAsia" w:hAnsiTheme="minorHAnsi" w:cstheme="minorBidi"/>
          <w:sz w:val="22"/>
          <w:szCs w:val="22"/>
        </w:rPr>
      </w:pPr>
      <w:hyperlink w:anchor="_Toc371577703" w:history="1">
        <w:r w:rsidR="00552102" w:rsidRPr="000316C8">
          <w:rPr>
            <w:rStyle w:val="Hyperlink"/>
          </w:rPr>
          <w:t>5 Hazard Curves</w:t>
        </w:r>
        <w:r w:rsidR="00552102">
          <w:rPr>
            <w:webHidden/>
          </w:rPr>
          <w:tab/>
        </w:r>
        <w:r w:rsidR="00552102">
          <w:rPr>
            <w:webHidden/>
          </w:rPr>
          <w:fldChar w:fldCharType="begin"/>
        </w:r>
        <w:r w:rsidR="00552102">
          <w:rPr>
            <w:webHidden/>
          </w:rPr>
          <w:instrText xml:space="preserve"> PAGEREF _Toc371577703 \h </w:instrText>
        </w:r>
        <w:r w:rsidR="00552102">
          <w:rPr>
            <w:webHidden/>
          </w:rPr>
        </w:r>
        <w:r w:rsidR="00552102">
          <w:rPr>
            <w:webHidden/>
          </w:rPr>
          <w:fldChar w:fldCharType="separate"/>
        </w:r>
        <w:r w:rsidR="00552102">
          <w:rPr>
            <w:webHidden/>
          </w:rPr>
          <w:t>25</w:t>
        </w:r>
        <w:r w:rsidR="00552102">
          <w:rPr>
            <w:webHidden/>
          </w:rPr>
          <w:fldChar w:fldCharType="end"/>
        </w:r>
      </w:hyperlink>
    </w:p>
    <w:p w:rsidR="00552102" w:rsidRDefault="006220B6">
      <w:pPr>
        <w:pStyle w:val="TOC1"/>
        <w:rPr>
          <w:rFonts w:asciiTheme="minorHAnsi" w:eastAsiaTheme="minorEastAsia" w:hAnsiTheme="minorHAnsi" w:cstheme="minorBidi"/>
          <w:sz w:val="22"/>
          <w:szCs w:val="22"/>
        </w:rPr>
      </w:pPr>
      <w:hyperlink w:anchor="_Toc371577704" w:history="1">
        <w:r w:rsidR="00552102" w:rsidRPr="000316C8">
          <w:rPr>
            <w:rStyle w:val="Hyperlink"/>
          </w:rPr>
          <w:t>6 Hazard Spectra</w:t>
        </w:r>
        <w:r w:rsidR="00552102">
          <w:rPr>
            <w:webHidden/>
          </w:rPr>
          <w:tab/>
        </w:r>
        <w:r w:rsidR="00552102">
          <w:rPr>
            <w:webHidden/>
          </w:rPr>
          <w:fldChar w:fldCharType="begin"/>
        </w:r>
        <w:r w:rsidR="00552102">
          <w:rPr>
            <w:webHidden/>
          </w:rPr>
          <w:instrText xml:space="preserve"> PAGEREF _Toc371577704 \h </w:instrText>
        </w:r>
        <w:r w:rsidR="00552102">
          <w:rPr>
            <w:webHidden/>
          </w:rPr>
        </w:r>
        <w:r w:rsidR="00552102">
          <w:rPr>
            <w:webHidden/>
          </w:rPr>
          <w:fldChar w:fldCharType="separate"/>
        </w:r>
        <w:r w:rsidR="00552102">
          <w:rPr>
            <w:webHidden/>
          </w:rPr>
          <w:t>33</w:t>
        </w:r>
        <w:r w:rsidR="00552102">
          <w:rPr>
            <w:webHidden/>
          </w:rPr>
          <w:fldChar w:fldCharType="end"/>
        </w:r>
      </w:hyperlink>
    </w:p>
    <w:p w:rsidR="00552102" w:rsidRDefault="006220B6">
      <w:pPr>
        <w:pStyle w:val="TOC1"/>
        <w:rPr>
          <w:rFonts w:asciiTheme="minorHAnsi" w:eastAsiaTheme="minorEastAsia" w:hAnsiTheme="minorHAnsi" w:cstheme="minorBidi"/>
          <w:sz w:val="22"/>
          <w:szCs w:val="22"/>
        </w:rPr>
      </w:pPr>
      <w:hyperlink w:anchor="_Toc371577705" w:history="1">
        <w:r w:rsidR="00552102" w:rsidRPr="000316C8">
          <w:rPr>
            <w:rStyle w:val="Hyperlink"/>
          </w:rPr>
          <w:t>7 PGA Hazard Values</w:t>
        </w:r>
        <w:r w:rsidR="00552102">
          <w:rPr>
            <w:webHidden/>
          </w:rPr>
          <w:tab/>
        </w:r>
        <w:r w:rsidR="00552102">
          <w:rPr>
            <w:webHidden/>
          </w:rPr>
          <w:fldChar w:fldCharType="begin"/>
        </w:r>
        <w:r w:rsidR="00552102">
          <w:rPr>
            <w:webHidden/>
          </w:rPr>
          <w:instrText xml:space="preserve"> PAGEREF _Toc371577705 \h </w:instrText>
        </w:r>
        <w:r w:rsidR="00552102">
          <w:rPr>
            <w:webHidden/>
          </w:rPr>
        </w:r>
        <w:r w:rsidR="00552102">
          <w:rPr>
            <w:webHidden/>
          </w:rPr>
          <w:fldChar w:fldCharType="separate"/>
        </w:r>
        <w:r w:rsidR="00552102">
          <w:rPr>
            <w:webHidden/>
          </w:rPr>
          <w:t>35</w:t>
        </w:r>
        <w:r w:rsidR="00552102">
          <w:rPr>
            <w:webHidden/>
          </w:rPr>
          <w:fldChar w:fldCharType="end"/>
        </w:r>
      </w:hyperlink>
    </w:p>
    <w:p w:rsidR="00552102" w:rsidRDefault="006220B6">
      <w:pPr>
        <w:pStyle w:val="TOC1"/>
        <w:rPr>
          <w:rFonts w:asciiTheme="minorHAnsi" w:eastAsiaTheme="minorEastAsia" w:hAnsiTheme="minorHAnsi" w:cstheme="minorBidi"/>
          <w:sz w:val="22"/>
          <w:szCs w:val="22"/>
        </w:rPr>
      </w:pPr>
      <w:hyperlink w:anchor="_Toc371577706" w:history="1">
        <w:r w:rsidR="00552102" w:rsidRPr="000316C8">
          <w:rPr>
            <w:rStyle w:val="Hyperlink"/>
          </w:rPr>
          <w:t>8 Erratum to GA record 2012/71</w:t>
        </w:r>
        <w:r w:rsidR="00552102">
          <w:rPr>
            <w:webHidden/>
          </w:rPr>
          <w:tab/>
        </w:r>
        <w:r w:rsidR="00552102">
          <w:rPr>
            <w:webHidden/>
          </w:rPr>
          <w:fldChar w:fldCharType="begin"/>
        </w:r>
        <w:r w:rsidR="00552102">
          <w:rPr>
            <w:webHidden/>
          </w:rPr>
          <w:instrText xml:space="preserve"> PAGEREF _Toc371577706 \h </w:instrText>
        </w:r>
        <w:r w:rsidR="00552102">
          <w:rPr>
            <w:webHidden/>
          </w:rPr>
        </w:r>
        <w:r w:rsidR="00552102">
          <w:rPr>
            <w:webHidden/>
          </w:rPr>
          <w:fldChar w:fldCharType="separate"/>
        </w:r>
        <w:r w:rsidR="00552102">
          <w:rPr>
            <w:webHidden/>
          </w:rPr>
          <w:t>38</w:t>
        </w:r>
        <w:r w:rsidR="00552102">
          <w:rPr>
            <w:webHidden/>
          </w:rPr>
          <w:fldChar w:fldCharType="end"/>
        </w:r>
      </w:hyperlink>
    </w:p>
    <w:p w:rsidR="00552102" w:rsidRDefault="006220B6">
      <w:pPr>
        <w:pStyle w:val="TOC1"/>
        <w:rPr>
          <w:rFonts w:asciiTheme="minorHAnsi" w:eastAsiaTheme="minorEastAsia" w:hAnsiTheme="minorHAnsi" w:cstheme="minorBidi"/>
          <w:sz w:val="22"/>
          <w:szCs w:val="22"/>
        </w:rPr>
      </w:pPr>
      <w:hyperlink w:anchor="_Toc371577707" w:history="1">
        <w:r w:rsidR="00552102" w:rsidRPr="000316C8">
          <w:rPr>
            <w:rStyle w:val="Hyperlink"/>
          </w:rPr>
          <w:t>9 References</w:t>
        </w:r>
        <w:r w:rsidR="00552102">
          <w:rPr>
            <w:webHidden/>
          </w:rPr>
          <w:tab/>
        </w:r>
        <w:r w:rsidR="00552102">
          <w:rPr>
            <w:webHidden/>
          </w:rPr>
          <w:fldChar w:fldCharType="begin"/>
        </w:r>
        <w:r w:rsidR="00552102">
          <w:rPr>
            <w:webHidden/>
          </w:rPr>
          <w:instrText xml:space="preserve"> PAGEREF _Toc371577707 \h </w:instrText>
        </w:r>
        <w:r w:rsidR="00552102">
          <w:rPr>
            <w:webHidden/>
          </w:rPr>
        </w:r>
        <w:r w:rsidR="00552102">
          <w:rPr>
            <w:webHidden/>
          </w:rPr>
          <w:fldChar w:fldCharType="separate"/>
        </w:r>
        <w:r w:rsidR="00552102">
          <w:rPr>
            <w:webHidden/>
          </w:rPr>
          <w:t>39</w:t>
        </w:r>
        <w:r w:rsidR="00552102">
          <w:rPr>
            <w:webHidden/>
          </w:rPr>
          <w:fldChar w:fldCharType="end"/>
        </w:r>
      </w:hyperlink>
    </w:p>
    <w:p w:rsidR="00BC06C4" w:rsidRDefault="008C0AB4" w:rsidP="00150B52">
      <w:pPr>
        <w:pStyle w:val="BodyText"/>
        <w:rPr>
          <w:noProof/>
        </w:rPr>
      </w:pPr>
      <w:r>
        <w:rPr>
          <w:noProof/>
        </w:rPr>
        <w:fldChar w:fldCharType="end"/>
      </w:r>
    </w:p>
    <w:p w:rsidR="00BC06C4" w:rsidRDefault="003632DE" w:rsidP="003632DE">
      <w:pPr>
        <w:pStyle w:val="TOCHeading"/>
        <w:rPr>
          <w:noProof/>
        </w:rPr>
      </w:pPr>
      <w:r>
        <w:rPr>
          <w:noProof/>
        </w:rPr>
        <w:lastRenderedPageBreak/>
        <w:t>List of Figures</w:t>
      </w:r>
    </w:p>
    <w:p w:rsidR="00552102" w:rsidRDefault="00552102">
      <w:pPr>
        <w:pStyle w:val="TableofFigures"/>
        <w:rPr>
          <w:rFonts w:asciiTheme="minorHAnsi" w:eastAsiaTheme="minorEastAsia" w:hAnsiTheme="minorHAnsi" w:cstheme="minorBidi"/>
          <w:sz w:val="22"/>
          <w:szCs w:val="22"/>
        </w:rPr>
      </w:pPr>
      <w:r w:rsidRPr="00717638">
        <w:t>Figure 1 The probability factor (Kp) for the eight capital cities compared to the single Kp values in AS1170.4-2007 (orange dashed curve).</w:t>
      </w:r>
      <w:r>
        <w:rPr>
          <w:webHidden/>
        </w:rPr>
        <w:tab/>
        <w:t>4</w:t>
      </w:r>
    </w:p>
    <w:p w:rsidR="00552102" w:rsidRDefault="00552102">
      <w:pPr>
        <w:pStyle w:val="TableofFigures"/>
        <w:rPr>
          <w:rFonts w:asciiTheme="minorHAnsi" w:eastAsiaTheme="minorEastAsia" w:hAnsiTheme="minorHAnsi" w:cstheme="minorBidi"/>
          <w:sz w:val="22"/>
          <w:szCs w:val="22"/>
        </w:rPr>
      </w:pPr>
      <w:r w:rsidRPr="00717638">
        <w:t>Figure 2 A map of the 0.0s (PGA) Spectral Acceleration (SA) with an annual probability of exceedence of 1/2500.</w:t>
      </w:r>
      <w:r>
        <w:rPr>
          <w:webHidden/>
        </w:rPr>
        <w:tab/>
        <w:t>5</w:t>
      </w:r>
    </w:p>
    <w:p w:rsidR="00552102" w:rsidRDefault="00552102">
      <w:pPr>
        <w:pStyle w:val="TableofFigures"/>
        <w:rPr>
          <w:rFonts w:asciiTheme="minorHAnsi" w:eastAsiaTheme="minorEastAsia" w:hAnsiTheme="minorHAnsi" w:cstheme="minorBidi"/>
          <w:sz w:val="22"/>
          <w:szCs w:val="22"/>
        </w:rPr>
      </w:pPr>
      <w:r w:rsidRPr="00717638">
        <w:t>Figure 3 PGA hazard curves for the capital cities for (a) the CBD values or (b) the maximum values for the greater metropolitan area covered by the city. The hazard of the CBD of the four cities of Adelaide, Canberra, Melbourne and Sydney are effectively identical (Figure 3a), and that for Brisbane, Perth and Darwin hazard is 25% lower. The PGA hazard for Hobart is significantly lower than the other capital cities for all return periods.</w:t>
      </w:r>
      <w:r>
        <w:rPr>
          <w:webHidden/>
        </w:rPr>
        <w:tab/>
        <w:t>6</w:t>
      </w:r>
    </w:p>
    <w:p w:rsidR="00552102" w:rsidRDefault="00552102">
      <w:pPr>
        <w:pStyle w:val="TableofFigures"/>
        <w:rPr>
          <w:rFonts w:asciiTheme="minorHAnsi" w:eastAsiaTheme="minorEastAsia" w:hAnsiTheme="minorHAnsi" w:cstheme="minorBidi"/>
          <w:sz w:val="22"/>
          <w:szCs w:val="22"/>
        </w:rPr>
      </w:pPr>
      <w:r w:rsidRPr="00717638">
        <w:t>Figure 4 Hazard curves for a SA of 0.0s (PGA) at locations D, K, T, V, Y and Tennant Creek between 100 and (a) 3000 or (b) 10,000 years.</w:t>
      </w:r>
      <w:r>
        <w:rPr>
          <w:webHidden/>
        </w:rPr>
        <w:tab/>
        <w:t>7</w:t>
      </w:r>
    </w:p>
    <w:p w:rsidR="00552102" w:rsidRDefault="00552102">
      <w:pPr>
        <w:pStyle w:val="TableofFigures"/>
        <w:rPr>
          <w:rFonts w:asciiTheme="minorHAnsi" w:eastAsiaTheme="minorEastAsia" w:hAnsiTheme="minorHAnsi" w:cstheme="minorBidi"/>
          <w:sz w:val="22"/>
          <w:szCs w:val="22"/>
        </w:rPr>
      </w:pPr>
      <w:r w:rsidRPr="00717638">
        <w:t>Figure 5 The national hazard map with an annual probability of exceedence of 1/500 at a RSA of 0.0s (PGA). Ground motions were calculated out to 100km only. This is the map released in Burbidge (ed. 2012).</w:t>
      </w:r>
      <w:r>
        <w:rPr>
          <w:webHidden/>
        </w:rPr>
        <w:tab/>
        <w:t>9</w:t>
      </w:r>
    </w:p>
    <w:p w:rsidR="00552102" w:rsidRDefault="00552102">
      <w:pPr>
        <w:pStyle w:val="TableofFigures"/>
        <w:rPr>
          <w:rFonts w:asciiTheme="minorHAnsi" w:eastAsiaTheme="minorEastAsia" w:hAnsiTheme="minorHAnsi" w:cstheme="minorBidi"/>
          <w:sz w:val="22"/>
          <w:szCs w:val="22"/>
        </w:rPr>
      </w:pPr>
      <w:r w:rsidRPr="00717638">
        <w:t>Figure 6 The national hazard map with an annual probability of exceedence of 1/500 at a SA of 0.0s (PGA). Ground motions were calculated out to 600km.</w:t>
      </w:r>
      <w:r>
        <w:rPr>
          <w:webHidden/>
        </w:rPr>
        <w:tab/>
        <w:t>10</w:t>
      </w:r>
    </w:p>
    <w:p w:rsidR="00552102" w:rsidRDefault="00552102">
      <w:pPr>
        <w:pStyle w:val="TableofFigures"/>
        <w:rPr>
          <w:rFonts w:asciiTheme="minorHAnsi" w:eastAsiaTheme="minorEastAsia" w:hAnsiTheme="minorHAnsi" w:cstheme="minorBidi"/>
          <w:sz w:val="22"/>
          <w:szCs w:val="22"/>
        </w:rPr>
      </w:pPr>
      <w:r w:rsidRPr="00717638">
        <w:t>Figure 7 The national hazard map with an annual probability of exceedence of 1/2500 at a SA of 0.0s (PGA).</w:t>
      </w:r>
      <w:r>
        <w:rPr>
          <w:webHidden/>
        </w:rPr>
        <w:tab/>
        <w:t>11</w:t>
      </w:r>
    </w:p>
    <w:p w:rsidR="00552102" w:rsidRDefault="00552102">
      <w:pPr>
        <w:pStyle w:val="TableofFigures"/>
        <w:rPr>
          <w:rFonts w:asciiTheme="minorHAnsi" w:eastAsiaTheme="minorEastAsia" w:hAnsiTheme="minorHAnsi" w:cstheme="minorBidi"/>
          <w:sz w:val="22"/>
          <w:szCs w:val="22"/>
        </w:rPr>
      </w:pPr>
      <w:r w:rsidRPr="00717638">
        <w:t>Figure 8 The national hazard map with an annual probability of exceedence of 1/2500 at a SA of 0.3s.</w:t>
      </w:r>
      <w:r>
        <w:rPr>
          <w:webHidden/>
        </w:rPr>
        <w:tab/>
        <w:t>12</w:t>
      </w:r>
    </w:p>
    <w:p w:rsidR="00552102" w:rsidRDefault="00552102">
      <w:pPr>
        <w:pStyle w:val="TableofFigures"/>
        <w:rPr>
          <w:rFonts w:asciiTheme="minorHAnsi" w:eastAsiaTheme="minorEastAsia" w:hAnsiTheme="minorHAnsi" w:cstheme="minorBidi"/>
          <w:sz w:val="22"/>
          <w:szCs w:val="22"/>
        </w:rPr>
      </w:pPr>
      <w:r w:rsidRPr="00717638">
        <w:t>Figure 9 The national hazard map with an annual probability of exceedence of 1/2500 at a SA of 1.0s.</w:t>
      </w:r>
      <w:r>
        <w:rPr>
          <w:webHidden/>
        </w:rPr>
        <w:tab/>
        <w:t>13</w:t>
      </w:r>
    </w:p>
    <w:p w:rsidR="00552102" w:rsidRDefault="00552102">
      <w:pPr>
        <w:pStyle w:val="TableofFigures"/>
        <w:rPr>
          <w:rFonts w:asciiTheme="minorHAnsi" w:eastAsiaTheme="minorEastAsia" w:hAnsiTheme="minorHAnsi" w:cstheme="minorBidi"/>
          <w:sz w:val="22"/>
          <w:szCs w:val="22"/>
        </w:rPr>
      </w:pPr>
      <w:r w:rsidRPr="00717638">
        <w:t>Figure 10 The national hazard map with an annual probability of exceedence of 1/10000 at a SA of 1.0s.</w:t>
      </w:r>
      <w:r>
        <w:rPr>
          <w:webHidden/>
        </w:rPr>
        <w:tab/>
        <w:t>14</w:t>
      </w:r>
    </w:p>
    <w:p w:rsidR="00552102" w:rsidRDefault="00552102">
      <w:pPr>
        <w:pStyle w:val="TableofFigures"/>
        <w:rPr>
          <w:rFonts w:asciiTheme="minorHAnsi" w:eastAsiaTheme="minorEastAsia" w:hAnsiTheme="minorHAnsi" w:cstheme="minorBidi"/>
          <w:sz w:val="22"/>
          <w:szCs w:val="22"/>
        </w:rPr>
      </w:pPr>
      <w:r w:rsidRPr="00717638">
        <w:t>Figure 11 The hazard map of Queensland with an annual probability of exceedence of 1/500 at a SA period of 0.0s (PGA).</w:t>
      </w:r>
      <w:r>
        <w:rPr>
          <w:webHidden/>
        </w:rPr>
        <w:tab/>
        <w:t>15</w:t>
      </w:r>
    </w:p>
    <w:p w:rsidR="00552102" w:rsidRDefault="00552102">
      <w:pPr>
        <w:pStyle w:val="TableofFigures"/>
        <w:rPr>
          <w:rFonts w:asciiTheme="minorHAnsi" w:eastAsiaTheme="minorEastAsia" w:hAnsiTheme="minorHAnsi" w:cstheme="minorBidi"/>
          <w:sz w:val="22"/>
          <w:szCs w:val="22"/>
        </w:rPr>
      </w:pPr>
      <w:r w:rsidRPr="00717638">
        <w:t>Figure 12 The hazard map of Queensland with an annual probability of exceedence of 1/2500 at a SA period of 0.0s (PGA).</w:t>
      </w:r>
      <w:r>
        <w:rPr>
          <w:webHidden/>
        </w:rPr>
        <w:tab/>
        <w:t>16</w:t>
      </w:r>
    </w:p>
    <w:p w:rsidR="00552102" w:rsidRDefault="00552102">
      <w:pPr>
        <w:pStyle w:val="TableofFigures"/>
        <w:rPr>
          <w:rFonts w:asciiTheme="minorHAnsi" w:eastAsiaTheme="minorEastAsia" w:hAnsiTheme="minorHAnsi" w:cstheme="minorBidi"/>
          <w:sz w:val="22"/>
          <w:szCs w:val="22"/>
        </w:rPr>
      </w:pPr>
      <w:r w:rsidRPr="00717638">
        <w:t>Figure 13 The hazard map of NSW, Victoria and Tasmania with an annual probability of exceedence of 1/500 at a SA period of 0.0s (PGA).</w:t>
      </w:r>
      <w:r>
        <w:rPr>
          <w:webHidden/>
        </w:rPr>
        <w:tab/>
        <w:t>17</w:t>
      </w:r>
    </w:p>
    <w:p w:rsidR="00552102" w:rsidRDefault="00552102">
      <w:pPr>
        <w:pStyle w:val="TableofFigures"/>
        <w:rPr>
          <w:rFonts w:asciiTheme="minorHAnsi" w:eastAsiaTheme="minorEastAsia" w:hAnsiTheme="minorHAnsi" w:cstheme="minorBidi"/>
          <w:sz w:val="22"/>
          <w:szCs w:val="22"/>
        </w:rPr>
      </w:pPr>
      <w:r w:rsidRPr="00717638">
        <w:t>Figure 14 The hazard map of NSW, Victoria and Tasmania with an annual probability of exceedence of 1/2500 at a SA period of 0.0s (PGA).</w:t>
      </w:r>
      <w:r>
        <w:rPr>
          <w:webHidden/>
        </w:rPr>
        <w:tab/>
        <w:t>18</w:t>
      </w:r>
    </w:p>
    <w:p w:rsidR="00552102" w:rsidRDefault="00552102">
      <w:pPr>
        <w:pStyle w:val="TableofFigures"/>
        <w:rPr>
          <w:rFonts w:asciiTheme="minorHAnsi" w:eastAsiaTheme="minorEastAsia" w:hAnsiTheme="minorHAnsi" w:cstheme="minorBidi"/>
          <w:sz w:val="22"/>
          <w:szCs w:val="22"/>
        </w:rPr>
      </w:pPr>
      <w:r w:rsidRPr="00717638">
        <w:t>Figure 15 The hazard map of South Australia with an annual probability of exceedence of 1/500 at a SA period of 0.0s (PGA).</w:t>
      </w:r>
      <w:r>
        <w:rPr>
          <w:webHidden/>
        </w:rPr>
        <w:tab/>
        <w:t>19</w:t>
      </w:r>
    </w:p>
    <w:p w:rsidR="00552102" w:rsidRDefault="00552102">
      <w:pPr>
        <w:pStyle w:val="TableofFigures"/>
        <w:rPr>
          <w:rFonts w:asciiTheme="minorHAnsi" w:eastAsiaTheme="minorEastAsia" w:hAnsiTheme="minorHAnsi" w:cstheme="minorBidi"/>
          <w:sz w:val="22"/>
          <w:szCs w:val="22"/>
        </w:rPr>
      </w:pPr>
      <w:r w:rsidRPr="00717638">
        <w:t>Figure 16 The hazard map of South Australia with an annual probability of exceedence of 1/2500 at a SA period of 0.0s (PGA).</w:t>
      </w:r>
      <w:r>
        <w:rPr>
          <w:webHidden/>
        </w:rPr>
        <w:tab/>
        <w:t>20</w:t>
      </w:r>
    </w:p>
    <w:p w:rsidR="00552102" w:rsidRDefault="00552102">
      <w:pPr>
        <w:pStyle w:val="TableofFigures"/>
        <w:rPr>
          <w:rFonts w:asciiTheme="minorHAnsi" w:eastAsiaTheme="minorEastAsia" w:hAnsiTheme="minorHAnsi" w:cstheme="minorBidi"/>
          <w:sz w:val="22"/>
          <w:szCs w:val="22"/>
        </w:rPr>
      </w:pPr>
      <w:r w:rsidRPr="00717638">
        <w:t>Figure 17 The hazard map of Western Australia with an annual probability of exceedence of 1/500 at a SA period of 0.0s (PGA).</w:t>
      </w:r>
      <w:r>
        <w:rPr>
          <w:webHidden/>
        </w:rPr>
        <w:tab/>
        <w:t>21</w:t>
      </w:r>
    </w:p>
    <w:p w:rsidR="00552102" w:rsidRDefault="00552102">
      <w:pPr>
        <w:pStyle w:val="TableofFigures"/>
        <w:rPr>
          <w:rFonts w:asciiTheme="minorHAnsi" w:eastAsiaTheme="minorEastAsia" w:hAnsiTheme="minorHAnsi" w:cstheme="minorBidi"/>
          <w:sz w:val="22"/>
          <w:szCs w:val="22"/>
        </w:rPr>
      </w:pPr>
      <w:r w:rsidRPr="00717638">
        <w:t>Figure 18 The hazard map of Western Australia with an annual probability of exceedence of 1/2500 at a SA period of 0.0s (PGA).</w:t>
      </w:r>
      <w:r>
        <w:rPr>
          <w:webHidden/>
        </w:rPr>
        <w:tab/>
        <w:t>22</w:t>
      </w:r>
    </w:p>
    <w:p w:rsidR="00552102" w:rsidRDefault="00552102">
      <w:pPr>
        <w:pStyle w:val="TableofFigures"/>
        <w:rPr>
          <w:rFonts w:asciiTheme="minorHAnsi" w:eastAsiaTheme="minorEastAsia" w:hAnsiTheme="minorHAnsi" w:cstheme="minorBidi"/>
          <w:sz w:val="22"/>
          <w:szCs w:val="22"/>
        </w:rPr>
      </w:pPr>
      <w:r w:rsidRPr="00717638">
        <w:t>Figure 19 The hazard map of the Northern Territory with an annual probability of exceedence of 1/500 at a SA period of 0.0s (PGA).</w:t>
      </w:r>
      <w:r>
        <w:rPr>
          <w:webHidden/>
        </w:rPr>
        <w:tab/>
        <w:t>23</w:t>
      </w:r>
    </w:p>
    <w:p w:rsidR="00552102" w:rsidRDefault="00552102">
      <w:pPr>
        <w:pStyle w:val="TableofFigures"/>
        <w:rPr>
          <w:rFonts w:asciiTheme="minorHAnsi" w:eastAsiaTheme="minorEastAsia" w:hAnsiTheme="minorHAnsi" w:cstheme="minorBidi"/>
          <w:sz w:val="22"/>
          <w:szCs w:val="22"/>
        </w:rPr>
      </w:pPr>
      <w:r w:rsidRPr="00717638">
        <w:lastRenderedPageBreak/>
        <w:t>Figure 20 The hazard map of the Northern Territory with an annual probability of exceedence of 1/2500 at a SA period of 0.0s (PGA).</w:t>
      </w:r>
      <w:r>
        <w:rPr>
          <w:webHidden/>
        </w:rPr>
        <w:tab/>
        <w:t>24</w:t>
      </w:r>
    </w:p>
    <w:p w:rsidR="00552102" w:rsidRDefault="00552102">
      <w:pPr>
        <w:pStyle w:val="TableofFigures"/>
        <w:rPr>
          <w:rFonts w:asciiTheme="minorHAnsi" w:eastAsiaTheme="minorEastAsia" w:hAnsiTheme="minorHAnsi" w:cstheme="minorBidi"/>
          <w:sz w:val="22"/>
          <w:szCs w:val="22"/>
        </w:rPr>
      </w:pPr>
      <w:r w:rsidRPr="00717638">
        <w:t>Figure 21 The source zones with the 26 locations and eight capital cities for which hazard curves and spectra shown in Figures 23 and 24 are calculated.</w:t>
      </w:r>
      <w:r>
        <w:rPr>
          <w:webHidden/>
        </w:rPr>
        <w:tab/>
        <w:t>25</w:t>
      </w:r>
    </w:p>
    <w:p w:rsidR="00552102" w:rsidRDefault="00552102">
      <w:pPr>
        <w:pStyle w:val="TableofFigures"/>
        <w:rPr>
          <w:rFonts w:asciiTheme="minorHAnsi" w:eastAsiaTheme="minorEastAsia" w:hAnsiTheme="minorHAnsi" w:cstheme="minorBidi"/>
          <w:sz w:val="22"/>
          <w:szCs w:val="22"/>
        </w:rPr>
      </w:pPr>
      <w:r w:rsidRPr="00717638">
        <w:t>Figure 22 The hazard map, with an annual probability of exceedence of 1/2500, with the 26 locations and eight capital cities for which hazard curves in Figures 23 and 24 are calculated.</w:t>
      </w:r>
      <w:r>
        <w:rPr>
          <w:webHidden/>
        </w:rPr>
        <w:tab/>
        <w:t>26</w:t>
      </w:r>
    </w:p>
    <w:p w:rsidR="00552102" w:rsidRDefault="00552102">
      <w:pPr>
        <w:pStyle w:val="TableofFigures"/>
        <w:rPr>
          <w:rFonts w:asciiTheme="minorHAnsi" w:eastAsiaTheme="minorEastAsia" w:hAnsiTheme="minorHAnsi" w:cstheme="minorBidi"/>
          <w:sz w:val="22"/>
          <w:szCs w:val="22"/>
        </w:rPr>
      </w:pPr>
      <w:r w:rsidRPr="00717638">
        <w:t>Figure 23 The hazard curves for the eight capital cities. All the SA curves were calculated at 5% damping</w:t>
      </w:r>
      <w:r>
        <w:rPr>
          <w:webHidden/>
        </w:rPr>
        <w:tab/>
        <w:t>28</w:t>
      </w:r>
    </w:p>
    <w:p w:rsidR="00552102" w:rsidRDefault="00552102">
      <w:pPr>
        <w:pStyle w:val="TableofFigures"/>
        <w:rPr>
          <w:rFonts w:asciiTheme="minorHAnsi" w:eastAsiaTheme="minorEastAsia" w:hAnsiTheme="minorHAnsi" w:cstheme="minorBidi"/>
          <w:sz w:val="22"/>
          <w:szCs w:val="22"/>
        </w:rPr>
      </w:pPr>
      <w:r w:rsidRPr="00717638">
        <w:t>Figure 24 The hazard curves for the 26 locations A – Z shown in Figures 21 and 22. All the SA curves were calculated at 5% damping.</w:t>
      </w:r>
      <w:r>
        <w:rPr>
          <w:webHidden/>
        </w:rPr>
        <w:tab/>
        <w:t>32</w:t>
      </w:r>
    </w:p>
    <w:p w:rsidR="00552102" w:rsidRDefault="00552102">
      <w:pPr>
        <w:pStyle w:val="TableofFigures"/>
        <w:rPr>
          <w:rFonts w:asciiTheme="minorHAnsi" w:eastAsiaTheme="minorEastAsia" w:hAnsiTheme="minorHAnsi" w:cstheme="minorBidi"/>
          <w:sz w:val="22"/>
          <w:szCs w:val="22"/>
        </w:rPr>
      </w:pPr>
      <w:r w:rsidRPr="00717638">
        <w:t>Figure 25 The 500 year (thick solid lines), 2500 year (thin solid lines), and AS1170.4 500 year (dotted lines), return period hazard spectra for the capital cities, out to 1.0s.</w:t>
      </w:r>
      <w:r>
        <w:rPr>
          <w:webHidden/>
        </w:rPr>
        <w:tab/>
        <w:t>33</w:t>
      </w:r>
    </w:p>
    <w:p w:rsidR="00552102" w:rsidRDefault="00552102">
      <w:pPr>
        <w:pStyle w:val="TableofFigures"/>
        <w:rPr>
          <w:rFonts w:asciiTheme="minorHAnsi" w:eastAsiaTheme="minorEastAsia" w:hAnsiTheme="minorHAnsi" w:cstheme="minorBidi"/>
          <w:sz w:val="22"/>
          <w:szCs w:val="22"/>
        </w:rPr>
      </w:pPr>
      <w:r w:rsidRPr="00717638">
        <w:t>Figure 26 The 500 year return period hazard spectra for the capital cities, out to 3.0s. The dotted lines are the AS1170.4 500 year return period hazard spectra.</w:t>
      </w:r>
      <w:r>
        <w:rPr>
          <w:webHidden/>
        </w:rPr>
        <w:tab/>
        <w:t>34</w:t>
      </w:r>
    </w:p>
    <w:p w:rsidR="00552102" w:rsidRDefault="00552102">
      <w:pPr>
        <w:pStyle w:val="TableofFigures"/>
        <w:rPr>
          <w:rFonts w:asciiTheme="minorHAnsi" w:eastAsiaTheme="minorEastAsia" w:hAnsiTheme="minorHAnsi" w:cstheme="minorBidi"/>
          <w:sz w:val="22"/>
          <w:szCs w:val="22"/>
        </w:rPr>
      </w:pPr>
      <w:r w:rsidRPr="00717638">
        <w:t>Figure 27 The 500 year return period hazard spectra for the locations D, K, T, V, Y and Tennant Creek, out to 1.0s and 5.0s. The location D spectrum is very similar to that of Melbourne’s.</w:t>
      </w:r>
      <w:r>
        <w:rPr>
          <w:webHidden/>
        </w:rPr>
        <w:tab/>
        <w:t>34</w:t>
      </w:r>
    </w:p>
    <w:p w:rsidR="00BC06C4" w:rsidRDefault="003632DE" w:rsidP="003632DE">
      <w:pPr>
        <w:pStyle w:val="TOCHeading"/>
        <w:rPr>
          <w:noProof/>
        </w:rPr>
      </w:pPr>
      <w:r>
        <w:rPr>
          <w:noProof/>
        </w:rPr>
        <w:lastRenderedPageBreak/>
        <w:t>List of Tables</w:t>
      </w:r>
    </w:p>
    <w:p w:rsidR="00552102" w:rsidRDefault="00BC06C4">
      <w:pPr>
        <w:pStyle w:val="TableofFigures"/>
        <w:rPr>
          <w:rFonts w:asciiTheme="minorHAnsi" w:eastAsiaTheme="minorEastAsia" w:hAnsiTheme="minorHAnsi" w:cstheme="minorBidi"/>
          <w:sz w:val="22"/>
          <w:szCs w:val="22"/>
        </w:rPr>
      </w:pPr>
      <w:r>
        <w:fldChar w:fldCharType="begin"/>
      </w:r>
      <w:r>
        <w:instrText xml:space="preserve"> TOC \h \z \c "Table" </w:instrText>
      </w:r>
      <w:r>
        <w:fldChar w:fldCharType="separate"/>
      </w:r>
      <w:hyperlink w:anchor="_Toc371577690" w:history="1">
        <w:r w:rsidR="00552102" w:rsidRPr="00483A33">
          <w:rPr>
            <w:rStyle w:val="Hyperlink"/>
          </w:rPr>
          <w:t>Table 1 Details of the six national hazard maps presented in Figures 5 to 10.</w:t>
        </w:r>
        <w:r w:rsidR="00552102">
          <w:rPr>
            <w:webHidden/>
          </w:rPr>
          <w:tab/>
        </w:r>
        <w:r w:rsidR="00552102">
          <w:rPr>
            <w:webHidden/>
          </w:rPr>
          <w:fldChar w:fldCharType="begin"/>
        </w:r>
        <w:r w:rsidR="00552102">
          <w:rPr>
            <w:webHidden/>
          </w:rPr>
          <w:instrText xml:space="preserve"> PAGEREF _Toc371577690 \h </w:instrText>
        </w:r>
        <w:r w:rsidR="00552102">
          <w:rPr>
            <w:webHidden/>
          </w:rPr>
        </w:r>
        <w:r w:rsidR="00552102">
          <w:rPr>
            <w:webHidden/>
          </w:rPr>
          <w:fldChar w:fldCharType="separate"/>
        </w:r>
        <w:r w:rsidR="00552102">
          <w:rPr>
            <w:webHidden/>
          </w:rPr>
          <w:t>8</w:t>
        </w:r>
        <w:r w:rsidR="00552102">
          <w:rPr>
            <w:webHidden/>
          </w:rPr>
          <w:fldChar w:fldCharType="end"/>
        </w:r>
      </w:hyperlink>
    </w:p>
    <w:p w:rsidR="00552102" w:rsidRDefault="006220B6">
      <w:pPr>
        <w:pStyle w:val="TableofFigures"/>
        <w:rPr>
          <w:rFonts w:asciiTheme="minorHAnsi" w:eastAsiaTheme="minorEastAsia" w:hAnsiTheme="minorHAnsi" w:cstheme="minorBidi"/>
          <w:sz w:val="22"/>
          <w:szCs w:val="22"/>
        </w:rPr>
      </w:pPr>
      <w:hyperlink w:anchor="_Toc371577691" w:history="1">
        <w:r w:rsidR="00552102" w:rsidRPr="00483A33">
          <w:rPr>
            <w:rStyle w:val="Hyperlink"/>
          </w:rPr>
          <w:t>Table 2 The 0.0 s SA (PGA) hazard value at 500 and 2500 year recurrence interval for the capital cities of Australia. For the larger cities two values are given; one in the CBD and one for the largest value in the greater metropolitan area of the city.</w:t>
        </w:r>
        <w:r w:rsidR="00552102">
          <w:rPr>
            <w:webHidden/>
          </w:rPr>
          <w:tab/>
        </w:r>
        <w:r w:rsidR="00552102">
          <w:rPr>
            <w:webHidden/>
          </w:rPr>
          <w:fldChar w:fldCharType="begin"/>
        </w:r>
        <w:r w:rsidR="00552102">
          <w:rPr>
            <w:webHidden/>
          </w:rPr>
          <w:instrText xml:space="preserve"> PAGEREF _Toc371577691 \h </w:instrText>
        </w:r>
        <w:r w:rsidR="00552102">
          <w:rPr>
            <w:webHidden/>
          </w:rPr>
        </w:r>
        <w:r w:rsidR="00552102">
          <w:rPr>
            <w:webHidden/>
          </w:rPr>
          <w:fldChar w:fldCharType="separate"/>
        </w:r>
        <w:r w:rsidR="00552102">
          <w:rPr>
            <w:webHidden/>
          </w:rPr>
          <w:t>35</w:t>
        </w:r>
        <w:r w:rsidR="00552102">
          <w:rPr>
            <w:webHidden/>
          </w:rPr>
          <w:fldChar w:fldCharType="end"/>
        </w:r>
      </w:hyperlink>
    </w:p>
    <w:p w:rsidR="00552102" w:rsidRDefault="006220B6">
      <w:pPr>
        <w:pStyle w:val="TableofFigures"/>
        <w:rPr>
          <w:rFonts w:asciiTheme="minorHAnsi" w:eastAsiaTheme="minorEastAsia" w:hAnsiTheme="minorHAnsi" w:cstheme="minorBidi"/>
          <w:sz w:val="22"/>
          <w:szCs w:val="22"/>
        </w:rPr>
      </w:pPr>
      <w:hyperlink w:anchor="_Toc371577692" w:history="1">
        <w:r w:rsidR="00552102" w:rsidRPr="00483A33">
          <w:rPr>
            <w:rStyle w:val="Hyperlink"/>
          </w:rPr>
          <w:t>Table 3 The 0.0 s SA (PGA) hazard value at 500 and 2500 year recurrence intervals for the cities and towns shown in Figures 11 to 20.</w:t>
        </w:r>
        <w:r w:rsidR="00552102">
          <w:rPr>
            <w:webHidden/>
          </w:rPr>
          <w:tab/>
        </w:r>
        <w:r w:rsidR="00552102">
          <w:rPr>
            <w:webHidden/>
          </w:rPr>
          <w:fldChar w:fldCharType="begin"/>
        </w:r>
        <w:r w:rsidR="00552102">
          <w:rPr>
            <w:webHidden/>
          </w:rPr>
          <w:instrText xml:space="preserve"> PAGEREF _Toc371577692 \h </w:instrText>
        </w:r>
        <w:r w:rsidR="00552102">
          <w:rPr>
            <w:webHidden/>
          </w:rPr>
        </w:r>
        <w:r w:rsidR="00552102">
          <w:rPr>
            <w:webHidden/>
          </w:rPr>
          <w:fldChar w:fldCharType="separate"/>
        </w:r>
        <w:r w:rsidR="00552102">
          <w:rPr>
            <w:webHidden/>
          </w:rPr>
          <w:t>35</w:t>
        </w:r>
        <w:r w:rsidR="00552102">
          <w:rPr>
            <w:webHidden/>
          </w:rPr>
          <w:fldChar w:fldCharType="end"/>
        </w:r>
      </w:hyperlink>
    </w:p>
    <w:p w:rsidR="00552102" w:rsidRDefault="006220B6">
      <w:pPr>
        <w:pStyle w:val="TableofFigures"/>
        <w:rPr>
          <w:rFonts w:asciiTheme="minorHAnsi" w:eastAsiaTheme="minorEastAsia" w:hAnsiTheme="minorHAnsi" w:cstheme="minorBidi"/>
          <w:sz w:val="22"/>
          <w:szCs w:val="22"/>
        </w:rPr>
      </w:pPr>
      <w:hyperlink w:anchor="_Toc371577693" w:history="1">
        <w:r w:rsidR="00552102" w:rsidRPr="00483A33">
          <w:rPr>
            <w:rStyle w:val="Hyperlink"/>
          </w:rPr>
          <w:t>Table 4 The 0.0s SA (PGA) hazard value at 500 and 2500 year recurrence intervals for the locations shown in Figure 21 and 22.</w:t>
        </w:r>
        <w:r w:rsidR="00552102">
          <w:rPr>
            <w:webHidden/>
          </w:rPr>
          <w:tab/>
        </w:r>
        <w:r w:rsidR="00552102">
          <w:rPr>
            <w:webHidden/>
          </w:rPr>
          <w:fldChar w:fldCharType="begin"/>
        </w:r>
        <w:r w:rsidR="00552102">
          <w:rPr>
            <w:webHidden/>
          </w:rPr>
          <w:instrText xml:space="preserve"> PAGEREF _Toc371577693 \h </w:instrText>
        </w:r>
        <w:r w:rsidR="00552102">
          <w:rPr>
            <w:webHidden/>
          </w:rPr>
        </w:r>
        <w:r w:rsidR="00552102">
          <w:rPr>
            <w:webHidden/>
          </w:rPr>
          <w:fldChar w:fldCharType="separate"/>
        </w:r>
        <w:r w:rsidR="00552102">
          <w:rPr>
            <w:webHidden/>
          </w:rPr>
          <w:t>37</w:t>
        </w:r>
        <w:r w:rsidR="00552102">
          <w:rPr>
            <w:webHidden/>
          </w:rPr>
          <w:fldChar w:fldCharType="end"/>
        </w:r>
      </w:hyperlink>
    </w:p>
    <w:p w:rsidR="00CE52F5" w:rsidRDefault="00BC06C4" w:rsidP="00150B52">
      <w:pPr>
        <w:pStyle w:val="BodyText"/>
        <w:rPr>
          <w:noProof/>
        </w:rPr>
        <w:sectPr w:rsidR="00CE52F5" w:rsidSect="00703F29">
          <w:headerReference w:type="even" r:id="rId13"/>
          <w:headerReference w:type="default" r:id="rId14"/>
          <w:footerReference w:type="even" r:id="rId15"/>
          <w:footerReference w:type="default" r:id="rId16"/>
          <w:headerReference w:type="first" r:id="rId17"/>
          <w:pgSz w:w="11907" w:h="16840" w:code="9"/>
          <w:pgMar w:top="1985" w:right="1134" w:bottom="1418" w:left="1701" w:header="720" w:footer="567" w:gutter="0"/>
          <w:pgNumType w:fmt="lowerRoman" w:start="3"/>
          <w:cols w:space="720"/>
        </w:sectPr>
      </w:pPr>
      <w:r>
        <w:rPr>
          <w:noProof/>
        </w:rPr>
        <w:fldChar w:fldCharType="end"/>
      </w:r>
    </w:p>
    <w:p w:rsidR="00CE52F5" w:rsidRDefault="00CE52F5" w:rsidP="00CE52F5">
      <w:pPr>
        <w:pStyle w:val="Heading1"/>
      </w:pPr>
      <w:bookmarkStart w:id="1" w:name="_Toc335744224"/>
      <w:bookmarkStart w:id="2" w:name="_Toc345571235"/>
      <w:bookmarkStart w:id="3" w:name="_Toc371577696"/>
      <w:r>
        <w:lastRenderedPageBreak/>
        <w:t>Introduction</w:t>
      </w:r>
      <w:bookmarkEnd w:id="1"/>
      <w:bookmarkEnd w:id="2"/>
      <w:bookmarkEnd w:id="3"/>
    </w:p>
    <w:p w:rsidR="00285D1C" w:rsidRDefault="00285D1C" w:rsidP="00285D1C">
      <w:pPr>
        <w:pStyle w:val="Heading2"/>
      </w:pPr>
      <w:bookmarkStart w:id="4" w:name="_Toc17558419"/>
      <w:bookmarkStart w:id="5" w:name="_Toc335744225"/>
      <w:bookmarkStart w:id="6" w:name="_Toc55379346"/>
      <w:bookmarkStart w:id="7" w:name="_Toc345571236"/>
      <w:bookmarkStart w:id="8" w:name="_Toc371577697"/>
      <w:r>
        <w:t>Introduction</w:t>
      </w:r>
      <w:bookmarkEnd w:id="4"/>
      <w:r>
        <w:t xml:space="preserve"> to th</w:t>
      </w:r>
      <w:bookmarkEnd w:id="5"/>
      <w:bookmarkEnd w:id="6"/>
      <w:bookmarkEnd w:id="7"/>
      <w:r w:rsidR="00FF0ED8">
        <w:t>is Atlas of N</w:t>
      </w:r>
      <w:r>
        <w:t>SHM</w:t>
      </w:r>
      <w:bookmarkEnd w:id="8"/>
    </w:p>
    <w:p w:rsidR="000C2DCE" w:rsidRDefault="00610280" w:rsidP="00150B52">
      <w:pPr>
        <w:pStyle w:val="BodyText"/>
      </w:pPr>
      <w:r>
        <w:t>In 2012</w:t>
      </w:r>
      <w:r w:rsidR="00CE52F5">
        <w:t xml:space="preserve"> </w:t>
      </w:r>
      <w:r>
        <w:t>Geoscie</w:t>
      </w:r>
      <w:r w:rsidR="00E5329C">
        <w:t>nce Australia produced a National</w:t>
      </w:r>
      <w:r w:rsidR="00371179">
        <w:t xml:space="preserve"> Seismic Hazard M</w:t>
      </w:r>
      <w:r>
        <w:t>a</w:t>
      </w:r>
      <w:r w:rsidR="005369F5">
        <w:t>p</w:t>
      </w:r>
      <w:r w:rsidR="00E5329C">
        <w:t xml:space="preserve"> (N</w:t>
      </w:r>
      <w:r w:rsidR="00371179">
        <w:t>SHM)</w:t>
      </w:r>
      <w:r>
        <w:t xml:space="preserve"> of Australia</w:t>
      </w:r>
      <w:r w:rsidR="00E5329C">
        <w:t xml:space="preserve"> using the Probabilistic Seismic Hazard Assessment (PSHA) methodology</w:t>
      </w:r>
      <w:r>
        <w:t xml:space="preserve">. The </w:t>
      </w:r>
      <w:r w:rsidR="00247334">
        <w:t xml:space="preserve">technical details describing the process </w:t>
      </w:r>
      <w:r w:rsidR="007157C8">
        <w:t xml:space="preserve">used to produce the NSHM </w:t>
      </w:r>
      <w:r w:rsidR="003479C8">
        <w:t>are</w:t>
      </w:r>
      <w:r w:rsidR="00247334">
        <w:t xml:space="preserve"> presented in</w:t>
      </w:r>
      <w:r w:rsidR="003479C8">
        <w:t xml:space="preserve"> the GA record,</w:t>
      </w:r>
      <w:r w:rsidR="007928FC">
        <w:t xml:space="preserve"> </w:t>
      </w:r>
      <w:r>
        <w:t>Burbidge ed.</w:t>
      </w:r>
      <w:r w:rsidR="007928FC">
        <w:t xml:space="preserve"> </w:t>
      </w:r>
      <w:r w:rsidR="00247334">
        <w:t>(</w:t>
      </w:r>
      <w:r>
        <w:t>2012</w:t>
      </w:r>
      <w:r w:rsidR="007928FC">
        <w:t>)</w:t>
      </w:r>
      <w:r w:rsidR="00371179">
        <w:t xml:space="preserve">. </w:t>
      </w:r>
      <w:r w:rsidR="00E5329C">
        <w:t xml:space="preserve">The primary product </w:t>
      </w:r>
      <w:r w:rsidR="00750D65">
        <w:t xml:space="preserve">of the project </w:t>
      </w:r>
      <w:r w:rsidR="00E5329C">
        <w:t xml:space="preserve">was </w:t>
      </w:r>
      <w:r w:rsidR="008F4704">
        <w:t xml:space="preserve">a </w:t>
      </w:r>
      <w:r w:rsidR="000D5F34">
        <w:t>single 500</w:t>
      </w:r>
      <w:r w:rsidR="006547D0">
        <w:t xml:space="preserve"> </w:t>
      </w:r>
      <w:r w:rsidR="000D5F34">
        <w:t>y</w:t>
      </w:r>
      <w:r w:rsidR="006547D0">
        <w:t>ea</w:t>
      </w:r>
      <w:r w:rsidR="000D5F34">
        <w:t xml:space="preserve">r return period </w:t>
      </w:r>
      <w:r w:rsidR="007A2968">
        <w:t>Peak Ground Acceleration (PGA</w:t>
      </w:r>
      <w:r w:rsidR="00704F27">
        <w:t>)</w:t>
      </w:r>
      <w:r w:rsidR="007A2968">
        <w:t xml:space="preserve"> </w:t>
      </w:r>
      <w:r w:rsidR="00E5329C">
        <w:t xml:space="preserve">map. </w:t>
      </w:r>
      <w:r w:rsidR="00371179">
        <w:t xml:space="preserve">Readers interested in the underlying science </w:t>
      </w:r>
      <w:r w:rsidR="00E5329C">
        <w:t xml:space="preserve">used </w:t>
      </w:r>
      <w:r w:rsidR="00750D65">
        <w:t xml:space="preserve">to produce the map </w:t>
      </w:r>
      <w:r w:rsidR="00371179">
        <w:t>are referred to the</w:t>
      </w:r>
      <w:r>
        <w:t xml:space="preserve"> papers</w:t>
      </w:r>
      <w:r w:rsidR="00371179">
        <w:t xml:space="preserve">: </w:t>
      </w:r>
      <w:r w:rsidR="00086609">
        <w:t xml:space="preserve">Allen et al. 2006, Leonard 2008, Clark et al. 2011, Allen 2012, </w:t>
      </w:r>
      <w:r w:rsidR="00371179">
        <w:t>Allen et al. 2012,</w:t>
      </w:r>
      <w:r w:rsidR="00086609">
        <w:t xml:space="preserve"> Burbidge et al. 2012, Clark et al. 2012, Leonard 2012, Leonard et al. 2012, Leonard et al. 2013-submitted</w:t>
      </w:r>
      <w:r w:rsidR="00371179">
        <w:t>.</w:t>
      </w:r>
    </w:p>
    <w:p w:rsidR="000C2DCE" w:rsidRDefault="00371179" w:rsidP="00150B52">
      <w:pPr>
        <w:pStyle w:val="BodyText"/>
      </w:pPr>
      <w:r>
        <w:t xml:space="preserve">At the 2012 Australian Earthquake Engineering Society meeting, </w:t>
      </w:r>
      <w:r w:rsidR="00E5329C">
        <w:t>where th</w:t>
      </w:r>
      <w:r w:rsidR="007157C8">
        <w:t>e</w:t>
      </w:r>
      <w:r w:rsidR="00E5329C">
        <w:t xml:space="preserve"> N</w:t>
      </w:r>
      <w:r w:rsidR="005369F5">
        <w:t>SHM was initially presented</w:t>
      </w:r>
      <w:r>
        <w:t xml:space="preserve">, there was </w:t>
      </w:r>
      <w:r w:rsidR="008F4704">
        <w:t xml:space="preserve">a general </w:t>
      </w:r>
      <w:r w:rsidR="003C6EE7">
        <w:t>acceptance</w:t>
      </w:r>
      <w:r w:rsidR="008F4704">
        <w:t xml:space="preserve"> t</w:t>
      </w:r>
      <w:r>
        <w:t xml:space="preserve">hat </w:t>
      </w:r>
      <w:r w:rsidR="008F4704">
        <w:t xml:space="preserve">the reference hazard </w:t>
      </w:r>
      <w:r w:rsidR="003C6EE7">
        <w:t>return period</w:t>
      </w:r>
      <w:r w:rsidR="008F4704">
        <w:t xml:space="preserve"> </w:t>
      </w:r>
      <w:r w:rsidR="003C6EE7">
        <w:t xml:space="preserve">in the earthquake loading code </w:t>
      </w:r>
      <w:r>
        <w:t>s</w:t>
      </w:r>
      <w:r w:rsidR="00E5329C">
        <w:t>hould move from 500</w:t>
      </w:r>
      <w:r w:rsidR="007928FC">
        <w:t xml:space="preserve"> </w:t>
      </w:r>
      <w:r w:rsidR="00E5329C">
        <w:t>y</w:t>
      </w:r>
      <w:r w:rsidR="007928FC">
        <w:t>ea</w:t>
      </w:r>
      <w:r w:rsidR="00E5329C">
        <w:t>r</w:t>
      </w:r>
      <w:r w:rsidR="007928FC">
        <w:t>s</w:t>
      </w:r>
      <w:r w:rsidR="00E5329C">
        <w:t xml:space="preserve"> to</w:t>
      </w:r>
      <w:r>
        <w:t xml:space="preserve"> 2500</w:t>
      </w:r>
      <w:r w:rsidR="007928FC">
        <w:t xml:space="preserve"> </w:t>
      </w:r>
      <w:r>
        <w:t>y</w:t>
      </w:r>
      <w:r w:rsidR="007928FC">
        <w:t>ears</w:t>
      </w:r>
      <w:r>
        <w:t xml:space="preserve">. </w:t>
      </w:r>
      <w:r w:rsidR="005369F5">
        <w:t xml:space="preserve">Since the publication of the hazard map the authors have </w:t>
      </w:r>
      <w:r w:rsidR="003C6EE7">
        <w:t xml:space="preserve">also </w:t>
      </w:r>
      <w:r w:rsidR="005369F5">
        <w:t xml:space="preserve">received extensive feedback from various technical experts. A recurring theme </w:t>
      </w:r>
      <w:r w:rsidR="008F4704">
        <w:t>wa</w:t>
      </w:r>
      <w:r w:rsidR="005369F5">
        <w:t>s that a single 500</w:t>
      </w:r>
      <w:r w:rsidR="003479C8">
        <w:t xml:space="preserve"> </w:t>
      </w:r>
      <w:r w:rsidR="005369F5">
        <w:t>y</w:t>
      </w:r>
      <w:r w:rsidR="003479C8">
        <w:t>ea</w:t>
      </w:r>
      <w:r w:rsidR="005369F5">
        <w:t>r return period PGA map was not ade</w:t>
      </w:r>
      <w:r w:rsidR="00BC0C55">
        <w:t>quate for many of the users of N</w:t>
      </w:r>
      <w:r w:rsidR="005369F5">
        <w:t>SHM. F</w:t>
      </w:r>
      <w:r>
        <w:t>or example</w:t>
      </w:r>
      <w:r w:rsidR="001013B7">
        <w:t>,</w:t>
      </w:r>
      <w:r>
        <w:t xml:space="preserve"> those in the mining industry are interested in much longer </w:t>
      </w:r>
      <w:r w:rsidR="00142B25">
        <w:t>re</w:t>
      </w:r>
      <w:r w:rsidR="003479C8">
        <w:t>turn periods</w:t>
      </w:r>
      <w:r>
        <w:t xml:space="preserve"> </w:t>
      </w:r>
      <w:r w:rsidR="00BD588B">
        <w:t>with intervals</w:t>
      </w:r>
      <w:r>
        <w:t xml:space="preserve"> of 10,000</w:t>
      </w:r>
      <w:r w:rsidR="007928FC">
        <w:t xml:space="preserve"> </w:t>
      </w:r>
      <w:r>
        <w:t>y</w:t>
      </w:r>
      <w:r w:rsidR="007928FC">
        <w:t>ea</w:t>
      </w:r>
      <w:r>
        <w:t>r</w:t>
      </w:r>
      <w:r w:rsidR="007928FC">
        <w:t>s</w:t>
      </w:r>
      <w:r>
        <w:t>, even 100,000</w:t>
      </w:r>
      <w:r w:rsidR="007928FC">
        <w:t xml:space="preserve"> </w:t>
      </w:r>
      <w:r>
        <w:t>y</w:t>
      </w:r>
      <w:r w:rsidR="007928FC">
        <w:t>ears</w:t>
      </w:r>
      <w:r>
        <w:t>,</w:t>
      </w:r>
      <w:r w:rsidR="00716072">
        <w:t xml:space="preserve"> being</w:t>
      </w:r>
      <w:r>
        <w:t xml:space="preserve"> mentioned.</w:t>
      </w:r>
      <w:r w:rsidR="00FC099A">
        <w:t xml:space="preserve"> </w:t>
      </w:r>
      <w:r w:rsidR="00716072">
        <w:t xml:space="preserve">A wider range of </w:t>
      </w:r>
      <w:r w:rsidR="00BD588B">
        <w:t xml:space="preserve">Pseudo </w:t>
      </w:r>
      <w:r w:rsidR="008F4704">
        <w:t xml:space="preserve">Absolute </w:t>
      </w:r>
      <w:r w:rsidR="00FC099A">
        <w:t>Spectral Acceleration (SA) periods</w:t>
      </w:r>
      <w:r w:rsidR="00E5329C">
        <w:t xml:space="preserve"> ha</w:t>
      </w:r>
      <w:r w:rsidR="003C6EE7">
        <w:t>ve</w:t>
      </w:r>
      <w:r w:rsidR="00E5329C">
        <w:t xml:space="preserve"> </w:t>
      </w:r>
      <w:r w:rsidR="001013B7">
        <w:t xml:space="preserve">also </w:t>
      </w:r>
      <w:r w:rsidR="00E5329C">
        <w:t xml:space="preserve">been </w:t>
      </w:r>
      <w:r w:rsidR="003C6EE7">
        <w:t>requested</w:t>
      </w:r>
      <w:r w:rsidR="00E5329C">
        <w:t>,</w:t>
      </w:r>
      <w:r w:rsidR="00716072">
        <w:t xml:space="preserve"> with </w:t>
      </w:r>
      <w:r w:rsidR="008F4704">
        <w:t xml:space="preserve">professionals </w:t>
      </w:r>
      <w:r w:rsidR="00FC099A">
        <w:t xml:space="preserve">designing, building and managing large </w:t>
      </w:r>
      <w:r w:rsidR="00086609">
        <w:t>structures being</w:t>
      </w:r>
      <w:r w:rsidR="007A2968">
        <w:t xml:space="preserve"> </w:t>
      </w:r>
      <w:r w:rsidR="003479C8">
        <w:t>primarily</w:t>
      </w:r>
      <w:r w:rsidR="00716072">
        <w:t xml:space="preserve"> interested in SA periods of 1.0s </w:t>
      </w:r>
      <w:r w:rsidR="003479C8">
        <w:t>or</w:t>
      </w:r>
      <w:r w:rsidR="00716072">
        <w:t xml:space="preserve"> longer.</w:t>
      </w:r>
      <w:r>
        <w:t xml:space="preserve"> </w:t>
      </w:r>
      <w:r w:rsidR="00FC099A">
        <w:t>In response to this feedback</w:t>
      </w:r>
      <w:r w:rsidR="003479C8">
        <w:t>,</w:t>
      </w:r>
      <w:r w:rsidR="00FC099A">
        <w:t xml:space="preserve"> it was decided to publish this atlas which contains a range of hazard maps with </w:t>
      </w:r>
      <w:r w:rsidR="003479C8">
        <w:t>different</w:t>
      </w:r>
      <w:r w:rsidR="00FC099A">
        <w:t xml:space="preserve"> </w:t>
      </w:r>
      <w:r w:rsidR="00142B25">
        <w:t>re</w:t>
      </w:r>
      <w:r w:rsidR="003479C8">
        <w:t>turn</w:t>
      </w:r>
      <w:r w:rsidR="00FC099A">
        <w:t xml:space="preserve"> and </w:t>
      </w:r>
      <w:r w:rsidR="00716072">
        <w:t xml:space="preserve">spectral acceleration periods. </w:t>
      </w:r>
      <w:r w:rsidR="00DB6826">
        <w:t xml:space="preserve">It also contains hazard curves and </w:t>
      </w:r>
      <w:r w:rsidR="00086609">
        <w:t>hazard spectra for 34</w:t>
      </w:r>
      <w:r w:rsidR="00DB6826">
        <w:t xml:space="preserve"> locations across Australia.</w:t>
      </w:r>
    </w:p>
    <w:p w:rsidR="000C2DCE" w:rsidRDefault="006547D0" w:rsidP="00150B52">
      <w:pPr>
        <w:pStyle w:val="BodyText"/>
      </w:pPr>
      <w:r>
        <w:t>In total, t</w:t>
      </w:r>
      <w:r w:rsidR="000D5F34">
        <w:t xml:space="preserve">he hazard </w:t>
      </w:r>
      <w:r>
        <w:t xml:space="preserve">in this assessment </w:t>
      </w:r>
      <w:r w:rsidR="000D5F34">
        <w:t xml:space="preserve">has been calculated </w:t>
      </w:r>
      <w:r w:rsidR="007157C8">
        <w:t>for</w:t>
      </w:r>
      <w:r w:rsidR="000D5F34">
        <w:t xml:space="preserve"> 14 </w:t>
      </w:r>
      <w:r w:rsidR="00142B25">
        <w:t>re</w:t>
      </w:r>
      <w:r w:rsidR="003479C8">
        <w:t>turn periods</w:t>
      </w:r>
      <w:r w:rsidR="000D5F34">
        <w:t xml:space="preserve"> (100 – 100,000 years) and 21 SA periods (0.0 – 5.0s), giving 294 hazard layers (maps) for 48</w:t>
      </w:r>
      <w:r w:rsidR="008F4704">
        <w:t>,</w:t>
      </w:r>
      <w:r w:rsidR="000D5F34">
        <w:t xml:space="preserve">000 sites across Australia. The hazard maps, curves and spectra </w:t>
      </w:r>
      <w:r w:rsidR="003479C8">
        <w:t xml:space="preserve">presented in this Atlas </w:t>
      </w:r>
      <w:r w:rsidR="000D5F34">
        <w:t xml:space="preserve">are </w:t>
      </w:r>
      <w:r w:rsidR="008F4704">
        <w:t xml:space="preserve">effectively </w:t>
      </w:r>
      <w:r w:rsidR="000D5F34">
        <w:t xml:space="preserve">slices and lines extracted from </w:t>
      </w:r>
      <w:r w:rsidR="003C6EE7">
        <w:t>this</w:t>
      </w:r>
      <w:r w:rsidR="000D5F34">
        <w:t xml:space="preserve"> </w:t>
      </w:r>
      <w:r w:rsidR="003479C8">
        <w:t>four</w:t>
      </w:r>
      <w:r w:rsidR="000D5F34">
        <w:t xml:space="preserve"> dimensional data volume. </w:t>
      </w:r>
      <w:r>
        <w:t xml:space="preserve">Due to space limitation, </w:t>
      </w:r>
      <w:r w:rsidR="0018757A">
        <w:t>only</w:t>
      </w:r>
      <w:r w:rsidR="000D5F34">
        <w:t xml:space="preserve"> </w:t>
      </w:r>
      <w:r w:rsidR="00C21A0B">
        <w:t>five</w:t>
      </w:r>
      <w:r w:rsidR="000D5F34">
        <w:t xml:space="preserve"> of the possible 294 </w:t>
      </w:r>
      <w:r w:rsidR="00086609">
        <w:t>hazard maps and 34</w:t>
      </w:r>
      <w:r w:rsidR="000D5F34">
        <w:t xml:space="preserve"> of the </w:t>
      </w:r>
      <w:r w:rsidR="001013B7">
        <w:t>ten</w:t>
      </w:r>
      <w:r w:rsidR="000D5F34">
        <w:t xml:space="preserve">s of </w:t>
      </w:r>
      <w:r w:rsidR="001013B7">
        <w:t>thousand</w:t>
      </w:r>
      <w:r w:rsidR="000D5F34">
        <w:t>s of possible hazard curves and spectra</w:t>
      </w:r>
      <w:r w:rsidR="0018757A">
        <w:t xml:space="preserve"> are shown</w:t>
      </w:r>
      <w:r w:rsidR="000D5F34">
        <w:t>.</w:t>
      </w:r>
      <w:r w:rsidR="001C552B">
        <w:t xml:space="preserve"> </w:t>
      </w:r>
      <w:r w:rsidR="007A2968">
        <w:t xml:space="preserve">These were selected to cover the </w:t>
      </w:r>
      <w:r w:rsidR="00810867">
        <w:t>main types</w:t>
      </w:r>
      <w:r w:rsidR="007A2968">
        <w:t xml:space="preserve"> of additional maps that have been requested since the NSHM was </w:t>
      </w:r>
      <w:r w:rsidR="007157C8">
        <w:t>released</w:t>
      </w:r>
      <w:r w:rsidR="003479C8">
        <w:t xml:space="preserve"> and to cover a reaso</w:t>
      </w:r>
      <w:r w:rsidR="008C45AC">
        <w:t xml:space="preserve">nable range of return periods, </w:t>
      </w:r>
      <w:r w:rsidR="008F4704">
        <w:t>SA</w:t>
      </w:r>
      <w:r w:rsidR="003479C8">
        <w:t xml:space="preserve"> periods and locations</w:t>
      </w:r>
      <w:r w:rsidR="007A2968">
        <w:t>.</w:t>
      </w:r>
      <w:r w:rsidR="00810867">
        <w:t xml:space="preserve"> </w:t>
      </w:r>
      <w:r w:rsidR="007A2968">
        <w:t>In this record, t</w:t>
      </w:r>
      <w:r w:rsidR="00DB6826">
        <w:t>he probability factor</w:t>
      </w:r>
      <w:r w:rsidR="008F4704">
        <w:t>s</w:t>
      </w:r>
      <w:r w:rsidR="00DB6826">
        <w:t xml:space="preserve"> (</w:t>
      </w:r>
      <w:proofErr w:type="spellStart"/>
      <w:r w:rsidR="00DB6826">
        <w:t>Kp</w:t>
      </w:r>
      <w:proofErr w:type="spellEnd"/>
      <w:r w:rsidR="00DB6826">
        <w:t xml:space="preserve">) </w:t>
      </w:r>
      <w:r w:rsidR="000D5F34">
        <w:t>given in AS1</w:t>
      </w:r>
      <w:r w:rsidR="000060AD">
        <w:t>1</w:t>
      </w:r>
      <w:r w:rsidR="000D5F34">
        <w:t>7</w:t>
      </w:r>
      <w:r w:rsidR="00C73085">
        <w:t>0</w:t>
      </w:r>
      <w:r w:rsidR="00DB6826">
        <w:t xml:space="preserve">.4 </w:t>
      </w:r>
      <w:r w:rsidR="008F4704">
        <w:t>are</w:t>
      </w:r>
      <w:r w:rsidR="00DB6826">
        <w:t xml:space="preserve"> </w:t>
      </w:r>
      <w:r w:rsidR="001013B7">
        <w:t xml:space="preserve">also </w:t>
      </w:r>
      <w:r w:rsidR="00DB6826">
        <w:t xml:space="preserve">compared to the </w:t>
      </w:r>
      <w:r w:rsidR="008F4704">
        <w:t xml:space="preserve">equivalent </w:t>
      </w:r>
      <w:r w:rsidR="00DB6826">
        <w:t>curve</w:t>
      </w:r>
      <w:r w:rsidR="007157C8">
        <w:t xml:space="preserve"> </w:t>
      </w:r>
      <w:r w:rsidR="008F4704">
        <w:t>from the hazard assessment</w:t>
      </w:r>
      <w:r w:rsidR="00DB6826">
        <w:t xml:space="preserve"> for the eight capital cities</w:t>
      </w:r>
      <w:r w:rsidR="00C21A0B">
        <w:t>. Finally,</w:t>
      </w:r>
      <w:r w:rsidR="007A2968">
        <w:t xml:space="preserve"> the </w:t>
      </w:r>
      <w:r w:rsidR="00750D65">
        <w:t>hazard spectra</w:t>
      </w:r>
      <w:r w:rsidR="007A2968">
        <w:t xml:space="preserve"> for the capital cities and </w:t>
      </w:r>
      <w:r w:rsidR="008F4704">
        <w:t xml:space="preserve">for </w:t>
      </w:r>
      <w:r w:rsidR="007A2968">
        <w:t>some selected locations</w:t>
      </w:r>
      <w:r w:rsidR="00750D65">
        <w:t xml:space="preserve"> </w:t>
      </w:r>
      <w:r w:rsidR="008F4704">
        <w:t>are</w:t>
      </w:r>
      <w:r w:rsidR="00C21A0B">
        <w:t xml:space="preserve"> compared</w:t>
      </w:r>
      <w:r w:rsidR="006D1FC8">
        <w:t xml:space="preserve"> to</w:t>
      </w:r>
      <w:r w:rsidR="00C21A0B">
        <w:t xml:space="preserve"> </w:t>
      </w:r>
      <w:r w:rsidR="000D5F34">
        <w:t>the spectra</w:t>
      </w:r>
      <w:r w:rsidR="00DA77BD">
        <w:t xml:space="preserve"> for site class B</w:t>
      </w:r>
      <w:r w:rsidR="00810867" w:rsidRPr="00150B52">
        <w:rPr>
          <w:rStyle w:val="Subscript"/>
        </w:rPr>
        <w:t>e</w:t>
      </w:r>
      <w:r w:rsidR="000D5F34">
        <w:t xml:space="preserve"> given in </w:t>
      </w:r>
      <w:r w:rsidR="00C73085">
        <w:t>AS1</w:t>
      </w:r>
      <w:r w:rsidR="007A2968">
        <w:t>1</w:t>
      </w:r>
      <w:r w:rsidR="00C73085">
        <w:t>70</w:t>
      </w:r>
      <w:r w:rsidR="000D5F34">
        <w:t>.4</w:t>
      </w:r>
      <w:r w:rsidR="00C21A0B">
        <w:t>.</w:t>
      </w:r>
    </w:p>
    <w:p w:rsidR="000C2DCE" w:rsidRDefault="008441DC" w:rsidP="00150B52">
      <w:pPr>
        <w:pStyle w:val="BodyText"/>
      </w:pPr>
      <w:r w:rsidRPr="005168A9">
        <w:t xml:space="preserve">Modern ground motion prediction equations (GMPE) predict the maximum acceleration response of a 5% damped oscillator with a natural period of vibration equal to that of interest when subject to an earthquake of given magnitude, depth, distance and local bedrock condition (Reiter 1990 </w:t>
      </w:r>
      <w:proofErr w:type="spellStart"/>
      <w:r w:rsidRPr="005168A9">
        <w:t>pg</w:t>
      </w:r>
      <w:proofErr w:type="spellEnd"/>
      <w:r w:rsidRPr="005168A9">
        <w:t xml:space="preserve"> 100-106).</w:t>
      </w:r>
      <w:r w:rsidR="000C2DCE">
        <w:t xml:space="preserve"> </w:t>
      </w:r>
      <w:r w:rsidRPr="005168A9">
        <w:t>Where acceleration response values are determined across a range of natural periods they lie on what is described as the acceleration response spectrum for the earthquake under consideration.</w:t>
      </w:r>
      <w:r w:rsidR="000C2DCE">
        <w:t xml:space="preserve"> </w:t>
      </w:r>
      <w:r w:rsidRPr="005168A9">
        <w:t xml:space="preserve">These values are related to the spectra used in engineering design in that the spectral accelerations associated with the entire range of possible earthquake events are integrated into a generalised acceleration response spectrum in which each point on the spectrum has an equal annual likelihood of </w:t>
      </w:r>
      <w:proofErr w:type="spellStart"/>
      <w:r w:rsidRPr="005168A9">
        <w:t>exceedence</w:t>
      </w:r>
      <w:proofErr w:type="spellEnd"/>
      <w:r w:rsidRPr="005168A9">
        <w:t>.</w:t>
      </w:r>
      <w:r w:rsidR="000C2DCE">
        <w:t xml:space="preserve"> </w:t>
      </w:r>
      <w:r w:rsidRPr="005168A9">
        <w:t xml:space="preserve">The spectrum is generally smoother than that associated with an individual earthquake </w:t>
      </w:r>
      <w:r w:rsidRPr="005168A9">
        <w:lastRenderedPageBreak/>
        <w:t>event and a single earthquake usually does not match the full spectrum as it is an integration of a range of earthquakes having varied ground motion frequency contents.</w:t>
      </w:r>
      <w:r w:rsidR="000C2DCE">
        <w:t xml:space="preserve"> </w:t>
      </w:r>
      <w:r w:rsidRPr="005168A9">
        <w:t>In building regulations around the world this generalised design spectrum is defined in several ways.</w:t>
      </w:r>
      <w:r w:rsidR="000C2DCE">
        <w:t xml:space="preserve"> </w:t>
      </w:r>
      <w:r w:rsidRPr="005168A9">
        <w:t xml:space="preserve">In the current Australian standard (AS1170.4, 2007) the </w:t>
      </w:r>
      <w:r w:rsidR="00EC5EC5">
        <w:t>PGA</w:t>
      </w:r>
      <w:r w:rsidRPr="005168A9">
        <w:t xml:space="preserve"> is defined to provide the zero period spectral acceleration value for a soft rock site.</w:t>
      </w:r>
      <w:r w:rsidR="000C2DCE">
        <w:t xml:space="preserve"> </w:t>
      </w:r>
      <w:r w:rsidRPr="005168A9">
        <w:t>The balance of the acceleration spectrum “hangs” off this value using a set of period specific shape factors that are applied to the PGA value.</w:t>
      </w:r>
      <w:r w:rsidR="000C2DCE">
        <w:t xml:space="preserve"> </w:t>
      </w:r>
      <w:r w:rsidRPr="005168A9">
        <w:t>The GMPE can provide a direct prediction of the shape factors for a soft rock site, though the codified values are often subject to some heuristic modifications to address design issues.</w:t>
      </w:r>
      <w:r w:rsidR="000C2DCE">
        <w:t xml:space="preserve"> </w:t>
      </w:r>
      <w:r w:rsidRPr="005168A9">
        <w:t>The design demands for non-rock sites are also specified using alternate spectral shape factors that are applied to the same soft rock site PGA, which are developed from site response modelling with similar heuristic modifications.</w:t>
      </w:r>
      <w:r w:rsidR="000C2DCE">
        <w:t xml:space="preserve"> </w:t>
      </w:r>
      <w:r w:rsidRPr="005168A9">
        <w:t xml:space="preserve">Finally, the site PGA value in the standard is factored for other annual likelihoods of </w:t>
      </w:r>
      <w:proofErr w:type="spellStart"/>
      <w:r w:rsidR="00913184" w:rsidRPr="005168A9">
        <w:t>exceedence</w:t>
      </w:r>
      <w:proofErr w:type="spellEnd"/>
      <w:r w:rsidRPr="005168A9">
        <w:t xml:space="preserve"> which in turn proportionally adjusts the entire design spectrum.</w:t>
      </w:r>
    </w:p>
    <w:p w:rsidR="00285D1C" w:rsidRDefault="008441DC" w:rsidP="00385623">
      <w:pPr>
        <w:pStyle w:val="Heading2"/>
      </w:pPr>
      <w:bookmarkStart w:id="9" w:name="_Toc371577698"/>
      <w:r>
        <w:t>T</w:t>
      </w:r>
      <w:r w:rsidR="00285D1C">
        <w:t>echnical changes from GA Record 2012/71</w:t>
      </w:r>
      <w:bookmarkEnd w:id="9"/>
    </w:p>
    <w:p w:rsidR="00FC099A" w:rsidRDefault="00285D1C" w:rsidP="00150B52">
      <w:pPr>
        <w:pStyle w:val="BodyText"/>
      </w:pPr>
      <w:r>
        <w:t>To extend the Probabilistic Seismic Hazard Assessment (PSHA) t</w:t>
      </w:r>
      <w:r w:rsidR="00DB6826">
        <w:t>o longer return and SA periods</w:t>
      </w:r>
      <w:r w:rsidR="00FC099A">
        <w:t xml:space="preserve"> the modelling </w:t>
      </w:r>
      <w:r w:rsidR="00DB6826">
        <w:t xml:space="preserve">had </w:t>
      </w:r>
      <w:r w:rsidR="00FC099A">
        <w:t xml:space="preserve">to be modified slightly from that described in Burbidge (ed. 2012). </w:t>
      </w:r>
      <w:r w:rsidR="003479C8">
        <w:t>For the</w:t>
      </w:r>
      <w:r w:rsidR="007C721C">
        <w:t xml:space="preserve"> NSHM the ground motions for the 500</w:t>
      </w:r>
      <w:r w:rsidR="00BF0617">
        <w:t xml:space="preserve"> </w:t>
      </w:r>
      <w:r w:rsidR="007C721C">
        <w:t xml:space="preserve">year PGA map were calculated out to </w:t>
      </w:r>
      <w:r w:rsidR="007C721C" w:rsidRPr="00053567">
        <w:t>100</w:t>
      </w:r>
      <w:r w:rsidR="007C721C">
        <w:t>km</w:t>
      </w:r>
      <w:r w:rsidR="007E13D1">
        <w:t xml:space="preserve"> for each synthetic earthquake</w:t>
      </w:r>
      <w:r w:rsidR="00716072">
        <w:t>. However for</w:t>
      </w:r>
      <w:r w:rsidR="00FC099A">
        <w:t xml:space="preserve"> </w:t>
      </w:r>
      <w:r w:rsidR="00716072">
        <w:t xml:space="preserve">longer return and SA periods </w:t>
      </w:r>
      <w:r w:rsidR="00FC099A">
        <w:t>it was found that ground motions o</w:t>
      </w:r>
      <w:r w:rsidR="00DB6826">
        <w:t xml:space="preserve">ut to 600km </w:t>
      </w:r>
      <w:r w:rsidR="007E13D1">
        <w:t>still made</w:t>
      </w:r>
      <w:r w:rsidR="00DB6826">
        <w:t xml:space="preserve"> a significant contribution to the probabilistic hazard.</w:t>
      </w:r>
      <w:r w:rsidR="00FC099A">
        <w:t xml:space="preserve"> </w:t>
      </w:r>
      <w:r w:rsidR="0018757A">
        <w:t>As s</w:t>
      </w:r>
      <w:r w:rsidR="00A472A8">
        <w:t>everal o</w:t>
      </w:r>
      <w:r w:rsidR="00EC5EC5">
        <w:t>f the GMPEs</w:t>
      </w:r>
      <w:r w:rsidR="00A472A8">
        <w:t xml:space="preserve"> used </w:t>
      </w:r>
      <w:r w:rsidR="003479C8">
        <w:t>in the assessment we</w:t>
      </w:r>
      <w:r w:rsidR="00A472A8">
        <w:t xml:space="preserve">re only defined out to </w:t>
      </w:r>
      <w:r w:rsidR="00810867">
        <w:t>2</w:t>
      </w:r>
      <w:r w:rsidR="00A472A8">
        <w:t xml:space="preserve">00 or </w:t>
      </w:r>
      <w:r w:rsidR="00810867">
        <w:t>5</w:t>
      </w:r>
      <w:r w:rsidR="0018757A">
        <w:t>00km</w:t>
      </w:r>
      <w:r w:rsidR="00A472A8">
        <w:t xml:space="preserve"> extrapolation was needed in order to use them out to 600km. </w:t>
      </w:r>
      <w:r w:rsidR="005563B5">
        <w:t>Similarly, some extrapolat</w:t>
      </w:r>
      <w:r w:rsidR="008C45AC">
        <w:t xml:space="preserve">ion is needed to calculate the </w:t>
      </w:r>
      <w:r w:rsidR="005563B5">
        <w:t>SA for periods longer than that specified for the equation in question (for example, the Allen (2012) equation is only specified up to 4.0s).</w:t>
      </w:r>
    </w:p>
    <w:p w:rsidR="00371179" w:rsidRDefault="0018757A" w:rsidP="00150B52">
      <w:pPr>
        <w:pStyle w:val="BodyText"/>
      </w:pPr>
      <w:r>
        <w:t>T</w:t>
      </w:r>
      <w:r w:rsidR="00A472A8" w:rsidRPr="00A472A8">
        <w:t>h</w:t>
      </w:r>
      <w:r w:rsidR="006547D0">
        <w:t xml:space="preserve">e requirement to calculate ground motion out to longer distances </w:t>
      </w:r>
      <w:r w:rsidR="009D2C41">
        <w:t xml:space="preserve">for a larger range of SA periods </w:t>
      </w:r>
      <w:r>
        <w:t>provided</w:t>
      </w:r>
      <w:r w:rsidR="00A472A8" w:rsidRPr="00A472A8">
        <w:t xml:space="preserve"> an opportunity</w:t>
      </w:r>
      <w:r w:rsidR="00A472A8">
        <w:t xml:space="preserve"> to </w:t>
      </w:r>
      <w:r w:rsidR="007E13D1">
        <w:t>adjust</w:t>
      </w:r>
      <w:r w:rsidR="00A472A8">
        <w:t xml:space="preserve"> some </w:t>
      </w:r>
      <w:r w:rsidR="006547D0">
        <w:t xml:space="preserve">zone </w:t>
      </w:r>
      <w:r>
        <w:t>boundaries. First</w:t>
      </w:r>
      <w:r w:rsidR="00A472A8" w:rsidRPr="00A472A8">
        <w:t xml:space="preserve"> the </w:t>
      </w:r>
      <w:r w:rsidR="003479C8">
        <w:t>western Southwest Seismic Zone (SWSZ)</w:t>
      </w:r>
      <w:r w:rsidR="00A472A8" w:rsidRPr="00A472A8">
        <w:t xml:space="preserve"> boundary </w:t>
      </w:r>
      <w:r>
        <w:t xml:space="preserve">was moved </w:t>
      </w:r>
      <w:r w:rsidR="00A472A8" w:rsidRPr="00A472A8">
        <w:t>from approximately 35km ea</w:t>
      </w:r>
      <w:r w:rsidR="00A472A8">
        <w:t xml:space="preserve">st of the Darling </w:t>
      </w:r>
      <w:r w:rsidR="003479C8">
        <w:t>F</w:t>
      </w:r>
      <w:r w:rsidR="00A472A8">
        <w:t>ault to approximately</w:t>
      </w:r>
      <w:r w:rsidR="00A472A8" w:rsidRPr="00A472A8">
        <w:t xml:space="preserve"> 5</w:t>
      </w:r>
      <w:r w:rsidR="00214A7F">
        <w:t>km</w:t>
      </w:r>
      <w:r w:rsidR="00A472A8" w:rsidRPr="00A472A8">
        <w:t xml:space="preserve"> east of it. This</w:t>
      </w:r>
      <w:r w:rsidR="00A472A8">
        <w:t xml:space="preserve"> new position is now </w:t>
      </w:r>
      <w:r w:rsidR="00214A7F">
        <w:t xml:space="preserve">more </w:t>
      </w:r>
      <w:r w:rsidR="00A472A8">
        <w:t xml:space="preserve">consistent with </w:t>
      </w:r>
      <w:r w:rsidR="007E13D1">
        <w:t xml:space="preserve">the </w:t>
      </w:r>
      <w:r w:rsidR="00A472A8">
        <w:t xml:space="preserve">boundary between the </w:t>
      </w:r>
      <w:proofErr w:type="spellStart"/>
      <w:r w:rsidR="00A472A8">
        <w:t>Cratonic</w:t>
      </w:r>
      <w:proofErr w:type="spellEnd"/>
      <w:r w:rsidR="00A472A8">
        <w:t xml:space="preserve"> and Extended S</w:t>
      </w:r>
      <w:r w:rsidR="006547D0">
        <w:t xml:space="preserve">table </w:t>
      </w:r>
      <w:r w:rsidR="00A472A8">
        <w:t>C</w:t>
      </w:r>
      <w:r w:rsidR="006547D0">
        <w:t xml:space="preserve">ontinental </w:t>
      </w:r>
      <w:r w:rsidR="00A472A8">
        <w:t>R</w:t>
      </w:r>
      <w:r w:rsidR="006547D0">
        <w:t>egions</w:t>
      </w:r>
      <w:r w:rsidR="00A472A8">
        <w:t xml:space="preserve"> (Leonard et al. 2012). This</w:t>
      </w:r>
      <w:r w:rsidR="00A472A8" w:rsidRPr="00A472A8">
        <w:t xml:space="preserve"> </w:t>
      </w:r>
      <w:r w:rsidR="00A472A8">
        <w:t xml:space="preserve">slightly </w:t>
      </w:r>
      <w:r w:rsidR="00A472A8" w:rsidRPr="00A472A8">
        <w:t xml:space="preserve">increases the </w:t>
      </w:r>
      <w:r w:rsidR="00214A7F">
        <w:t xml:space="preserve">PGA </w:t>
      </w:r>
      <w:r w:rsidR="00A472A8" w:rsidRPr="00A472A8">
        <w:t>hazard in Perth</w:t>
      </w:r>
      <w:r w:rsidR="00214A7F">
        <w:t xml:space="preserve"> </w:t>
      </w:r>
      <w:r w:rsidR="00992F0A">
        <w:t xml:space="preserve">from </w:t>
      </w:r>
      <w:r w:rsidR="00992F0A" w:rsidRPr="00053567">
        <w:t>0.036g</w:t>
      </w:r>
      <w:r w:rsidR="00992F0A">
        <w:t xml:space="preserve"> to 0.</w:t>
      </w:r>
      <w:r w:rsidR="00992F0A" w:rsidRPr="00992F0A">
        <w:t>04</w:t>
      </w:r>
      <w:r w:rsidR="00992F0A">
        <w:t>2g</w:t>
      </w:r>
      <w:r w:rsidR="00214A7F">
        <w:t xml:space="preserve"> </w:t>
      </w:r>
      <w:r w:rsidR="00D843A0">
        <w:t>at</w:t>
      </w:r>
      <w:r w:rsidR="00214A7F">
        <w:t xml:space="preserve"> </w:t>
      </w:r>
      <w:r w:rsidR="00992F0A">
        <w:t xml:space="preserve">a </w:t>
      </w:r>
      <w:r w:rsidR="00214A7F">
        <w:t>return period of 500 years.</w:t>
      </w:r>
      <w:r>
        <w:t xml:space="preserve"> Second,</w:t>
      </w:r>
      <w:r w:rsidR="00A472A8" w:rsidRPr="00A472A8">
        <w:t xml:space="preserve"> the Flinders and Mt Lofty </w:t>
      </w:r>
      <w:r w:rsidR="006547D0">
        <w:t>R</w:t>
      </w:r>
      <w:r w:rsidR="00A472A8" w:rsidRPr="00A472A8">
        <w:t xml:space="preserve">anges source zone </w:t>
      </w:r>
      <w:r>
        <w:t xml:space="preserve">was extended </w:t>
      </w:r>
      <w:r w:rsidR="00A472A8" w:rsidRPr="00A472A8">
        <w:t>south by about 50km. This reduces the effect of the smoothing algorithm on the hazard in Adelaide</w:t>
      </w:r>
      <w:r w:rsidR="00214A7F">
        <w:t xml:space="preserve"> and changes the PGA hazard in the Adelaide CBD </w:t>
      </w:r>
      <w:r w:rsidR="00992F0A">
        <w:t xml:space="preserve">from </w:t>
      </w:r>
      <w:r w:rsidR="00992F0A" w:rsidRPr="00053567">
        <w:t>0.0</w:t>
      </w:r>
      <w:r w:rsidR="00BD588B" w:rsidRPr="00053567">
        <w:t>6</w:t>
      </w:r>
      <w:r w:rsidR="00992F0A" w:rsidRPr="00053567">
        <w:t>g</w:t>
      </w:r>
      <w:r w:rsidR="00992F0A">
        <w:t xml:space="preserve"> to 0.0</w:t>
      </w:r>
      <w:r w:rsidR="00BD588B">
        <w:t>8</w:t>
      </w:r>
      <w:r w:rsidR="00992F0A">
        <w:t xml:space="preserve">g </w:t>
      </w:r>
      <w:r w:rsidR="00214A7F">
        <w:t>at a return period of 500 years</w:t>
      </w:r>
      <w:r w:rsidR="00A472A8" w:rsidRPr="00A472A8">
        <w:t>.</w:t>
      </w:r>
    </w:p>
    <w:p w:rsidR="00C3518C" w:rsidRDefault="000256F6" w:rsidP="00150B52">
      <w:pPr>
        <w:pStyle w:val="BodyText"/>
      </w:pPr>
      <w:r>
        <w:t>With these</w:t>
      </w:r>
      <w:r w:rsidR="00A472A8">
        <w:t xml:space="preserve"> c</w:t>
      </w:r>
      <w:r w:rsidR="000D5F34">
        <w:t>hanges implemented</w:t>
      </w:r>
      <w:r w:rsidR="000A31F9">
        <w:t>,</w:t>
      </w:r>
      <w:r w:rsidR="000D5F34">
        <w:t xml:space="preserve"> the</w:t>
      </w:r>
      <w:r>
        <w:t xml:space="preserve"> two l</w:t>
      </w:r>
      <w:r w:rsidR="00283094">
        <w:t>ayers (</w:t>
      </w:r>
      <w:r w:rsidR="000A31F9">
        <w:t>one for which</w:t>
      </w:r>
      <w:r w:rsidR="00283094">
        <w:t xml:space="preserve"> combined </w:t>
      </w:r>
      <w:r w:rsidR="00130CCF">
        <w:t xml:space="preserve">the </w:t>
      </w:r>
      <w:r w:rsidR="00283094">
        <w:t>Background,</w:t>
      </w:r>
      <w:r w:rsidR="00A472A8">
        <w:t xml:space="preserve"> Regional</w:t>
      </w:r>
      <w:r>
        <w:t xml:space="preserve"> and Offshore</w:t>
      </w:r>
      <w:r w:rsidR="00286B0D">
        <w:t xml:space="preserve"> zones</w:t>
      </w:r>
      <w:r w:rsidR="000A31F9">
        <w:t xml:space="preserve"> and one for the</w:t>
      </w:r>
      <w:r w:rsidR="00130CCF">
        <w:t xml:space="preserve"> </w:t>
      </w:r>
      <w:r w:rsidR="00A472A8">
        <w:t>Local</w:t>
      </w:r>
      <w:r w:rsidR="000A31F9">
        <w:t xml:space="preserve"> zones</w:t>
      </w:r>
      <w:r w:rsidR="00A472A8">
        <w:t xml:space="preserve">) were rerun. The </w:t>
      </w:r>
      <w:r w:rsidR="00142B25">
        <w:t>re</w:t>
      </w:r>
      <w:r w:rsidR="00130CCF">
        <w:t>turn periods</w:t>
      </w:r>
      <w:r w:rsidR="00A472A8">
        <w:t xml:space="preserve"> used were: </w:t>
      </w:r>
      <w:r w:rsidR="00A472A8" w:rsidRPr="00A472A8">
        <w:t xml:space="preserve">100, 250, 500, 800, 1000, 1500, 2000, 2500, 3000, </w:t>
      </w:r>
      <w:proofErr w:type="gramStart"/>
      <w:r w:rsidR="00A472A8" w:rsidRPr="00A472A8">
        <w:t>5</w:t>
      </w:r>
      <w:r w:rsidR="00C3518C">
        <w:t>000</w:t>
      </w:r>
      <w:proofErr w:type="gramEnd"/>
      <w:r w:rsidR="00C3518C">
        <w:t xml:space="preserve">, </w:t>
      </w:r>
      <w:r w:rsidR="000D5F34">
        <w:t>10000, 20000, 50000</w:t>
      </w:r>
      <w:r w:rsidR="00A472A8">
        <w:t xml:space="preserve"> and</w:t>
      </w:r>
      <w:r w:rsidR="000D5F34">
        <w:t xml:space="preserve"> 100000</w:t>
      </w:r>
      <w:r>
        <w:t xml:space="preserve"> years</w:t>
      </w:r>
      <w:r w:rsidR="00A472A8">
        <w:t xml:space="preserve">. The SA periods used were </w:t>
      </w:r>
      <w:r w:rsidR="00A472A8" w:rsidRPr="00A472A8">
        <w:t>0.0,</w:t>
      </w:r>
      <w:r w:rsidR="001013B7">
        <w:t xml:space="preserve"> </w:t>
      </w:r>
      <w:r w:rsidR="00A472A8" w:rsidRPr="00A472A8">
        <w:t>0.1,</w:t>
      </w:r>
      <w:r w:rsidR="001013B7">
        <w:t xml:space="preserve"> </w:t>
      </w:r>
      <w:r w:rsidR="00A472A8" w:rsidRPr="00A472A8">
        <w:t>0.2,</w:t>
      </w:r>
      <w:r w:rsidR="001013B7">
        <w:t xml:space="preserve"> </w:t>
      </w:r>
      <w:r w:rsidR="00A472A8" w:rsidRPr="00A472A8">
        <w:t>0.3,</w:t>
      </w:r>
      <w:r w:rsidR="001013B7">
        <w:t xml:space="preserve"> </w:t>
      </w:r>
      <w:r w:rsidR="00A472A8" w:rsidRPr="00A472A8">
        <w:t>0.4,</w:t>
      </w:r>
      <w:r w:rsidR="001013B7">
        <w:t xml:space="preserve"> </w:t>
      </w:r>
      <w:r w:rsidR="00A472A8" w:rsidRPr="00A472A8">
        <w:t>0.5,</w:t>
      </w:r>
      <w:r w:rsidR="001013B7">
        <w:t xml:space="preserve"> </w:t>
      </w:r>
      <w:r w:rsidR="00A472A8" w:rsidRPr="00A472A8">
        <w:t>0.6,</w:t>
      </w:r>
      <w:r w:rsidR="001013B7">
        <w:t xml:space="preserve"> </w:t>
      </w:r>
      <w:r w:rsidR="00A472A8" w:rsidRPr="00A472A8">
        <w:t>0.7,</w:t>
      </w:r>
      <w:r w:rsidR="001013B7">
        <w:t xml:space="preserve"> </w:t>
      </w:r>
      <w:r w:rsidR="00A472A8" w:rsidRPr="00A472A8">
        <w:t>0.8,</w:t>
      </w:r>
      <w:r w:rsidR="001013B7">
        <w:t xml:space="preserve"> </w:t>
      </w:r>
      <w:r w:rsidR="00A472A8" w:rsidRPr="00A472A8">
        <w:t>0.9,</w:t>
      </w:r>
      <w:r w:rsidR="001013B7">
        <w:t xml:space="preserve"> </w:t>
      </w:r>
      <w:r w:rsidR="00A472A8" w:rsidRPr="00A472A8">
        <w:t>1.0,</w:t>
      </w:r>
      <w:r w:rsidR="001013B7">
        <w:t xml:space="preserve"> </w:t>
      </w:r>
      <w:r w:rsidR="00A472A8" w:rsidRPr="00A472A8">
        <w:t>1.2,</w:t>
      </w:r>
      <w:r w:rsidR="001013B7">
        <w:t xml:space="preserve"> </w:t>
      </w:r>
      <w:r w:rsidR="00A472A8">
        <w:t>1.5,</w:t>
      </w:r>
      <w:r w:rsidR="001013B7">
        <w:t xml:space="preserve"> </w:t>
      </w:r>
      <w:r w:rsidR="00A472A8">
        <w:t>1.7,</w:t>
      </w:r>
      <w:r w:rsidR="001013B7">
        <w:t xml:space="preserve"> </w:t>
      </w:r>
      <w:r w:rsidR="00A472A8">
        <w:t>2.0,</w:t>
      </w:r>
      <w:r w:rsidR="001013B7">
        <w:t xml:space="preserve"> </w:t>
      </w:r>
      <w:r w:rsidR="00A472A8">
        <w:t>2.5,</w:t>
      </w:r>
      <w:r w:rsidR="001013B7">
        <w:t xml:space="preserve"> </w:t>
      </w:r>
      <w:r w:rsidR="00A472A8">
        <w:t>3.0,</w:t>
      </w:r>
      <w:r w:rsidR="001013B7">
        <w:t xml:space="preserve"> </w:t>
      </w:r>
      <w:r w:rsidR="00A472A8">
        <w:t>3.5,</w:t>
      </w:r>
      <w:r w:rsidR="001013B7">
        <w:t xml:space="preserve"> </w:t>
      </w:r>
      <w:r w:rsidR="00A472A8">
        <w:t>4.0,</w:t>
      </w:r>
      <w:r w:rsidR="001013B7">
        <w:t xml:space="preserve"> </w:t>
      </w:r>
      <w:r w:rsidR="00A472A8">
        <w:t xml:space="preserve">4.5 and </w:t>
      </w:r>
      <w:r w:rsidR="00A472A8" w:rsidRPr="00A472A8">
        <w:t>5.0</w:t>
      </w:r>
      <w:r w:rsidR="001013B7">
        <w:t>s</w:t>
      </w:r>
      <w:r w:rsidR="00283094">
        <w:t>.</w:t>
      </w:r>
      <w:r w:rsidR="000C2DCE">
        <w:t xml:space="preserve"> </w:t>
      </w:r>
      <w:r w:rsidR="00283094">
        <w:t xml:space="preserve">Note that a </w:t>
      </w:r>
      <w:r w:rsidR="00142B25">
        <w:t xml:space="preserve">recurrence interval </w:t>
      </w:r>
      <w:r w:rsidR="00053567">
        <w:t>of 500 years is</w:t>
      </w:r>
      <w:r w:rsidR="00283094">
        <w:t xml:space="preserve"> </w:t>
      </w:r>
      <w:r w:rsidR="00053567" w:rsidRPr="00053567">
        <w:t>often</w:t>
      </w:r>
      <w:r w:rsidR="00283094" w:rsidRPr="00053567">
        <w:t xml:space="preserve"> </w:t>
      </w:r>
      <w:r w:rsidR="00283094">
        <w:t>called an annual frequency</w:t>
      </w:r>
      <w:r w:rsidR="00283094" w:rsidRPr="00283094">
        <w:t xml:space="preserve"> of </w:t>
      </w:r>
      <w:proofErr w:type="spellStart"/>
      <w:r w:rsidR="00283094" w:rsidRPr="00283094">
        <w:t>exceedence</w:t>
      </w:r>
      <w:proofErr w:type="spellEnd"/>
      <w:r w:rsidR="00283094" w:rsidRPr="00283094">
        <w:t xml:space="preserve"> of 1/500</w:t>
      </w:r>
      <w:r w:rsidR="00283094">
        <w:t>.</w:t>
      </w:r>
      <w:r w:rsidR="000C2DCE">
        <w:t xml:space="preserve"> </w:t>
      </w:r>
      <w:r w:rsidR="00283094">
        <w:t xml:space="preserve">Similarly a 500 year hazard map is </w:t>
      </w:r>
      <w:r w:rsidR="00E47563">
        <w:t xml:space="preserve">also known as </w:t>
      </w:r>
      <w:r w:rsidR="00283094">
        <w:t xml:space="preserve">a map of </w:t>
      </w:r>
      <w:r w:rsidR="00283094" w:rsidRPr="00283094">
        <w:t>hazard</w:t>
      </w:r>
      <w:r w:rsidR="00E47563">
        <w:t xml:space="preserve"> values</w:t>
      </w:r>
      <w:r w:rsidR="00283094" w:rsidRPr="00283094">
        <w:t xml:space="preserve"> with an annual probability of </w:t>
      </w:r>
      <w:proofErr w:type="spellStart"/>
      <w:r w:rsidR="00283094" w:rsidRPr="00283094">
        <w:t>exceedence</w:t>
      </w:r>
      <w:proofErr w:type="spellEnd"/>
      <w:r w:rsidR="00283094" w:rsidRPr="00283094">
        <w:t xml:space="preserve"> of 1/500</w:t>
      </w:r>
      <w:r w:rsidR="00283094">
        <w:t>.</w:t>
      </w:r>
      <w:r w:rsidR="00142B25">
        <w:t xml:space="preserve"> The </w:t>
      </w:r>
      <w:r w:rsidR="00BD588B">
        <w:t xml:space="preserve">recurrence interval </w:t>
      </w:r>
      <w:r w:rsidR="00142B25">
        <w:t>is also known as the</w:t>
      </w:r>
      <w:r w:rsidR="00BD588B" w:rsidRPr="00BD588B">
        <w:t xml:space="preserve"> </w:t>
      </w:r>
      <w:r w:rsidR="00BD588B">
        <w:t>return period</w:t>
      </w:r>
      <w:r w:rsidR="00142B25">
        <w:t>.</w:t>
      </w:r>
    </w:p>
    <w:p w:rsidR="00285D1C" w:rsidRDefault="00BB22EB" w:rsidP="00285D1C">
      <w:pPr>
        <w:pStyle w:val="Heading2"/>
      </w:pPr>
      <w:bookmarkStart w:id="10" w:name="_Toc371577699"/>
      <w:r>
        <w:lastRenderedPageBreak/>
        <w:t>Major c</w:t>
      </w:r>
      <w:r w:rsidR="000A6BE3">
        <w:t>hanges from</w:t>
      </w:r>
      <w:r w:rsidR="00285D1C">
        <w:t xml:space="preserve"> AS1170.4</w:t>
      </w:r>
      <w:r w:rsidR="001530D9">
        <w:t>-</w:t>
      </w:r>
      <w:r w:rsidR="000A6BE3">
        <w:t>200</w:t>
      </w:r>
      <w:r w:rsidR="00B6570F">
        <w:t>7</w:t>
      </w:r>
      <w:bookmarkEnd w:id="10"/>
    </w:p>
    <w:p w:rsidR="000C2DCE" w:rsidRDefault="001D5DFC" w:rsidP="00150B52">
      <w:pPr>
        <w:pStyle w:val="BodyText"/>
      </w:pPr>
      <w:r>
        <w:t>The 200</w:t>
      </w:r>
      <w:r w:rsidR="007E13D1">
        <w:t>7</w:t>
      </w:r>
      <w:r>
        <w:t xml:space="preserve"> </w:t>
      </w:r>
      <w:r w:rsidR="00CE05A1">
        <w:t xml:space="preserve">earthquake </w:t>
      </w:r>
      <w:r>
        <w:t>hazard map for the building code was a single 500 year PGA map, with a Probability Factor (</w:t>
      </w:r>
      <w:proofErr w:type="spellStart"/>
      <w:r>
        <w:t>Kp</w:t>
      </w:r>
      <w:proofErr w:type="spellEnd"/>
      <w:r>
        <w:t xml:space="preserve">) </w:t>
      </w:r>
      <w:r w:rsidR="007E13D1">
        <w:t>applied</w:t>
      </w:r>
      <w:r>
        <w:t xml:space="preserve"> to scale this</w:t>
      </w:r>
      <w:r w:rsidR="007E13D1">
        <w:t xml:space="preserve"> to</w:t>
      </w:r>
      <w:r>
        <w:t xml:space="preserve"> other </w:t>
      </w:r>
      <w:r w:rsidR="00142B25">
        <w:t>recurrence interval</w:t>
      </w:r>
      <w:r w:rsidR="00CE05A1">
        <w:t>s</w:t>
      </w:r>
      <w:r>
        <w:t xml:space="preserve">. </w:t>
      </w:r>
      <w:r w:rsidR="00285D1C">
        <w:t>The</w:t>
      </w:r>
      <w:r>
        <w:t xml:space="preserve"> general trend of the</w:t>
      </w:r>
      <w:r w:rsidR="00285D1C">
        <w:t xml:space="preserve"> maps </w:t>
      </w:r>
      <w:r w:rsidR="007E13D1">
        <w:t xml:space="preserve">shown in this atlas </w:t>
      </w:r>
      <w:r w:rsidR="00285D1C">
        <w:t>is that at a return pe</w:t>
      </w:r>
      <w:r w:rsidR="00BC0C55">
        <w:t xml:space="preserve">riod of 500 years </w:t>
      </w:r>
      <w:r w:rsidR="00285D1C">
        <w:t xml:space="preserve">the </w:t>
      </w:r>
      <w:r w:rsidR="00BC0C55">
        <w:t xml:space="preserve">PGA </w:t>
      </w:r>
      <w:r w:rsidR="00285D1C">
        <w:t xml:space="preserve">hazard is generally lower than the </w:t>
      </w:r>
      <w:r w:rsidR="009E1150">
        <w:t xml:space="preserve">hazard </w:t>
      </w:r>
      <w:r w:rsidR="00285D1C">
        <w:t>map in AS1170.4.</w:t>
      </w:r>
      <w:r w:rsidR="00C31A30">
        <w:t xml:space="preserve"> In most</w:t>
      </w:r>
      <w:r w:rsidR="006A77FB">
        <w:t xml:space="preserve"> capital cities the 500 year PGA </w:t>
      </w:r>
      <w:r w:rsidR="00BC0C55">
        <w:t xml:space="preserve">hazard </w:t>
      </w:r>
      <w:r w:rsidR="006A77FB">
        <w:t xml:space="preserve">is around </w:t>
      </w:r>
      <w:r w:rsidR="001013B7">
        <w:t>three qua</w:t>
      </w:r>
      <w:r w:rsidR="00EA4187">
        <w:t>r</w:t>
      </w:r>
      <w:r w:rsidR="001013B7">
        <w:t>ters</w:t>
      </w:r>
      <w:r w:rsidR="006A77FB">
        <w:t xml:space="preserve"> of t</w:t>
      </w:r>
      <w:r>
        <w:t>he</w:t>
      </w:r>
      <w:r w:rsidR="007E13D1">
        <w:t xml:space="preserve"> current</w:t>
      </w:r>
      <w:r>
        <w:t xml:space="preserve"> hazard value in AS1170.4</w:t>
      </w:r>
      <w:r w:rsidR="006A77FB">
        <w:t>.</w:t>
      </w:r>
      <w:r w:rsidR="000C2DCE">
        <w:t xml:space="preserve"> </w:t>
      </w:r>
      <w:r w:rsidR="00285D1C">
        <w:t>However</w:t>
      </w:r>
      <w:r w:rsidR="00AE2665">
        <w:t>,</w:t>
      </w:r>
      <w:r w:rsidR="00285D1C">
        <w:t xml:space="preserve"> at </w:t>
      </w:r>
      <w:r w:rsidR="00142B25">
        <w:t>recurrence interval</w:t>
      </w:r>
      <w:r w:rsidR="00CE05A1">
        <w:t>s</w:t>
      </w:r>
      <w:r w:rsidR="00285D1C">
        <w:t xml:space="preserve"> of 2500 years</w:t>
      </w:r>
      <w:r w:rsidR="00CE05A1">
        <w:t xml:space="preserve"> or more</w:t>
      </w:r>
      <w:r w:rsidR="00285D1C">
        <w:t xml:space="preserve"> the hazard is generally higher. The lower </w:t>
      </w:r>
      <w:r w:rsidR="00286B0D">
        <w:t xml:space="preserve">500 year </w:t>
      </w:r>
      <w:r w:rsidR="00285D1C">
        <w:t>hazard is thought to be primarily the result of two factors. First</w:t>
      </w:r>
      <w:r w:rsidR="00C21A0B">
        <w:t>,</w:t>
      </w:r>
      <w:r w:rsidR="00285D1C">
        <w:t xml:space="preserve"> the selected GMPEs</w:t>
      </w:r>
      <w:r w:rsidR="00CE05A1">
        <w:t xml:space="preserve"> in the new assessment</w:t>
      </w:r>
      <w:r w:rsidR="00285D1C">
        <w:t xml:space="preserve"> hav</w:t>
      </w:r>
      <w:r w:rsidR="00CE05A1">
        <w:t>e</w:t>
      </w:r>
      <w:r w:rsidR="00285D1C">
        <w:t xml:space="preserve"> a higher attenuation than those used in the late 1980’s PSHAs </w:t>
      </w:r>
      <w:r w:rsidR="00CE05A1">
        <w:t>which</w:t>
      </w:r>
      <w:r w:rsidR="00285D1C">
        <w:t xml:space="preserve"> were </w:t>
      </w:r>
      <w:r w:rsidR="00CE05A1">
        <w:t xml:space="preserve">used as </w:t>
      </w:r>
      <w:r w:rsidR="00285D1C">
        <w:t>the basis of</w:t>
      </w:r>
      <w:r w:rsidR="00CE05A1">
        <w:t xml:space="preserve"> the map in</w:t>
      </w:r>
      <w:r w:rsidR="00285D1C">
        <w:t xml:space="preserve"> AS1170.4. Second</w:t>
      </w:r>
      <w:r w:rsidR="00C21A0B">
        <w:t>,</w:t>
      </w:r>
      <w:r w:rsidR="00285D1C">
        <w:t xml:space="preserve"> the adoption of local magnitude scales (</w:t>
      </w:r>
      <w:r w:rsidR="00285D1C" w:rsidRPr="00285D1C">
        <w:t>M</w:t>
      </w:r>
      <w:r w:rsidR="00285D1C" w:rsidRPr="00150B52">
        <w:rPr>
          <w:rStyle w:val="Subscript"/>
        </w:rPr>
        <w:t>L</w:t>
      </w:r>
      <w:r w:rsidR="00285D1C">
        <w:t xml:space="preserve">) </w:t>
      </w:r>
      <w:r w:rsidR="006547D0">
        <w:t>from</w:t>
      </w:r>
      <w:r w:rsidR="00285D1C">
        <w:t xml:space="preserve"> around 1990</w:t>
      </w:r>
      <w:r w:rsidR="000A6BE3">
        <w:t xml:space="preserve"> have resulted in the lowering of the magnitude</w:t>
      </w:r>
      <w:r>
        <w:t>s of larger (&gt;</w:t>
      </w:r>
      <w:r w:rsidRPr="00EC5EC5">
        <w:t>M</w:t>
      </w:r>
      <w:r w:rsidR="00EC5EC5" w:rsidRPr="000C2DCE">
        <w:rPr>
          <w:rStyle w:val="Subscript"/>
        </w:rPr>
        <w:t>L</w:t>
      </w:r>
      <w:r w:rsidRPr="00EC5EC5">
        <w:t>4</w:t>
      </w:r>
      <w:r>
        <w:t>.0) earthquakes</w:t>
      </w:r>
      <w:r w:rsidR="006547D0">
        <w:t>. This</w:t>
      </w:r>
      <w:r w:rsidR="000A6BE3">
        <w:t xml:space="preserve"> reduces the seismicity rat</w:t>
      </w:r>
      <w:r w:rsidR="006547D0">
        <w:t>e</w:t>
      </w:r>
      <w:r w:rsidR="000A6BE3">
        <w:t>. Th</w:t>
      </w:r>
      <w:r w:rsidR="00AE2665">
        <w:t>e effect of these two facto</w:t>
      </w:r>
      <w:r w:rsidR="00B74250">
        <w:t>r</w:t>
      </w:r>
      <w:r w:rsidR="00AE2665">
        <w:t>s on the hazard</w:t>
      </w:r>
      <w:r w:rsidR="000A6BE3">
        <w:t xml:space="preserve"> can be summarised by comparing the probability factor (</w:t>
      </w:r>
      <w:proofErr w:type="spellStart"/>
      <w:r>
        <w:t>Kp</w:t>
      </w:r>
      <w:proofErr w:type="spellEnd"/>
      <w:r w:rsidR="000A6BE3">
        <w:t>) for</w:t>
      </w:r>
      <w:r w:rsidR="00285D1C">
        <w:t xml:space="preserve"> the eight capital</w:t>
      </w:r>
      <w:r w:rsidR="00C21A0B">
        <w:t>s.</w:t>
      </w:r>
    </w:p>
    <w:p w:rsidR="000256F6" w:rsidRDefault="001013B7" w:rsidP="00150B52">
      <w:pPr>
        <w:pStyle w:val="BodyText"/>
      </w:pPr>
      <w:r>
        <w:t xml:space="preserve">The </w:t>
      </w:r>
      <w:proofErr w:type="spellStart"/>
      <w:r>
        <w:t>Kp</w:t>
      </w:r>
      <w:proofErr w:type="spellEnd"/>
      <w:r>
        <w:t xml:space="preserve"> factor is calculated at a point </w:t>
      </w:r>
      <w:r w:rsidR="00CE42FD">
        <w:t>by normalising the hazard</w:t>
      </w:r>
      <w:r>
        <w:t xml:space="preserve"> by its value at a recurrence interval of 500 years. </w:t>
      </w:r>
      <w:r w:rsidR="00C73085">
        <w:t>The</w:t>
      </w:r>
      <w:r w:rsidR="001E56D0">
        <w:t xml:space="preserve"> </w:t>
      </w:r>
      <w:proofErr w:type="spellStart"/>
      <w:r w:rsidR="001E56D0">
        <w:t>Kp</w:t>
      </w:r>
      <w:proofErr w:type="spellEnd"/>
      <w:r w:rsidR="001E56D0">
        <w:t xml:space="preserve"> values</w:t>
      </w:r>
      <w:r w:rsidR="001D5DFC">
        <w:t xml:space="preserve"> calculated </w:t>
      </w:r>
      <w:r w:rsidR="00C21A0B">
        <w:t>probabilistically</w:t>
      </w:r>
      <w:r>
        <w:t xml:space="preserve"> </w:t>
      </w:r>
      <w:r w:rsidR="001E56D0">
        <w:t xml:space="preserve">here </w:t>
      </w:r>
      <w:r w:rsidR="001D5DFC">
        <w:t>differ markedly from the</w:t>
      </w:r>
      <w:r w:rsidR="000256F6">
        <w:t xml:space="preserve"> </w:t>
      </w:r>
      <w:proofErr w:type="spellStart"/>
      <w:r w:rsidR="001D5DFC">
        <w:t>Kp</w:t>
      </w:r>
      <w:proofErr w:type="spellEnd"/>
      <w:r w:rsidR="001D5DFC">
        <w:t xml:space="preserve"> </w:t>
      </w:r>
      <w:r w:rsidR="00755CD4">
        <w:t>values</w:t>
      </w:r>
      <w:r w:rsidR="001D5DFC">
        <w:t xml:space="preserve"> given in AS1170.4 (</w:t>
      </w:r>
      <w:r w:rsidR="001D5DFC" w:rsidRPr="001932F2">
        <w:rPr>
          <w:rStyle w:val="Hyperlink"/>
        </w:rPr>
        <w:t>Figure 1</w:t>
      </w:r>
      <w:r w:rsidR="001D5DFC">
        <w:t>)</w:t>
      </w:r>
      <w:r w:rsidR="000256F6">
        <w:t>. Above 500 years</w:t>
      </w:r>
      <w:r w:rsidR="001E56D0">
        <w:t>,</w:t>
      </w:r>
      <w:r w:rsidR="000256F6">
        <w:t xml:space="preserve"> the calculated </w:t>
      </w:r>
      <w:proofErr w:type="spellStart"/>
      <w:r w:rsidR="000256F6">
        <w:t>Kp</w:t>
      </w:r>
      <w:proofErr w:type="spellEnd"/>
      <w:r w:rsidR="000256F6">
        <w:t xml:space="preserve"> curve </w:t>
      </w:r>
      <w:r w:rsidR="001D5DFC">
        <w:t>continue</w:t>
      </w:r>
      <w:r w:rsidR="00755CD4">
        <w:t>s</w:t>
      </w:r>
      <w:r w:rsidR="001D5DFC">
        <w:t xml:space="preserve"> to rise whereas the </w:t>
      </w:r>
      <w:r w:rsidR="000256F6">
        <w:t xml:space="preserve">AS1170.4 </w:t>
      </w:r>
      <w:proofErr w:type="spellStart"/>
      <w:r w:rsidR="000256F6">
        <w:t>K</w:t>
      </w:r>
      <w:r w:rsidR="001D5DFC">
        <w:t>p</w:t>
      </w:r>
      <w:proofErr w:type="spellEnd"/>
      <w:r w:rsidR="001D5DFC">
        <w:t xml:space="preserve"> </w:t>
      </w:r>
      <w:r w:rsidR="00755CD4">
        <w:t>values</w:t>
      </w:r>
      <w:r w:rsidR="001D5DFC">
        <w:t xml:space="preserve"> flatten off</w:t>
      </w:r>
      <w:r w:rsidR="000256F6">
        <w:t xml:space="preserve">. The differences in </w:t>
      </w:r>
      <w:proofErr w:type="spellStart"/>
      <w:r w:rsidR="000256F6">
        <w:t>Kp</w:t>
      </w:r>
      <w:proofErr w:type="spellEnd"/>
      <w:r w:rsidR="000256F6">
        <w:t xml:space="preserve"> between the capital cities appears to be primarily controlled by the b-value. A high b-value (e</w:t>
      </w:r>
      <w:r w:rsidR="00C57F8B">
        <w:t>.</w:t>
      </w:r>
      <w:r w:rsidR="000256F6">
        <w:t xml:space="preserve">g. 1.0 for Canberra and Adelaide) results in lower </w:t>
      </w:r>
      <w:proofErr w:type="spellStart"/>
      <w:r w:rsidR="000256F6">
        <w:t>Kp</w:t>
      </w:r>
      <w:proofErr w:type="spellEnd"/>
      <w:r w:rsidR="000256F6">
        <w:t xml:space="preserve"> values at longer </w:t>
      </w:r>
      <w:r w:rsidR="00142B25">
        <w:t>recurrence interval</w:t>
      </w:r>
      <w:r w:rsidR="001E0DCE">
        <w:t>s</w:t>
      </w:r>
      <w:r w:rsidR="000256F6">
        <w:t xml:space="preserve"> compared to mid-values (e.g. 0.9 for Melbourne, Perth and Sydney) </w:t>
      </w:r>
      <w:r w:rsidR="001E0DCE">
        <w:t xml:space="preserve">or </w:t>
      </w:r>
      <w:r w:rsidR="000256F6">
        <w:t>lower values (e.g. 0.75 for Brisbane and Hobart).</w:t>
      </w:r>
      <w:r w:rsidR="000C2DCE">
        <w:t xml:space="preserve"> </w:t>
      </w:r>
      <w:r w:rsidR="00CE42FD">
        <w:t>T</w:t>
      </w:r>
      <w:r w:rsidR="000256F6">
        <w:t xml:space="preserve">he high </w:t>
      </w:r>
      <w:r w:rsidR="000256F6" w:rsidRPr="000256F6">
        <w:t>M</w:t>
      </w:r>
      <w:r w:rsidR="000256F6" w:rsidRPr="00150B52">
        <w:rPr>
          <w:rStyle w:val="Subscript"/>
        </w:rPr>
        <w:t>MAX</w:t>
      </w:r>
      <w:r w:rsidR="00EC5EC5">
        <w:t xml:space="preserve"> (the maximum magnitude used in the hazard modelling</w:t>
      </w:r>
      <w:r w:rsidR="000256F6">
        <w:t>)</w:t>
      </w:r>
      <w:r w:rsidR="00EC5EC5">
        <w:t>,</w:t>
      </w:r>
      <w:r w:rsidR="000256F6">
        <w:t xml:space="preserve"> of </w:t>
      </w:r>
      <w:r w:rsidR="00EC5EC5">
        <w:t xml:space="preserve">9.3, used in </w:t>
      </w:r>
      <w:r w:rsidR="000256F6">
        <w:t>the zone</w:t>
      </w:r>
      <w:r w:rsidR="006547D0">
        <w:t>s</w:t>
      </w:r>
      <w:r w:rsidR="000256F6">
        <w:t xml:space="preserve"> </w:t>
      </w:r>
      <w:r w:rsidR="006547D0">
        <w:t xml:space="preserve">to the </w:t>
      </w:r>
      <w:r w:rsidR="000256F6">
        <w:t xml:space="preserve">north of </w:t>
      </w:r>
      <w:r w:rsidR="001E0DCE">
        <w:t xml:space="preserve">Australia </w:t>
      </w:r>
      <w:r w:rsidR="000256F6">
        <w:t xml:space="preserve">is </w:t>
      </w:r>
      <w:r w:rsidR="001E56D0">
        <w:t>li</w:t>
      </w:r>
      <w:r w:rsidR="004C56A9">
        <w:t>k</w:t>
      </w:r>
      <w:r w:rsidR="001E56D0">
        <w:t>ely to be</w:t>
      </w:r>
      <w:r w:rsidR="00CE42FD">
        <w:t xml:space="preserve"> causing</w:t>
      </w:r>
      <w:r w:rsidR="000256F6">
        <w:t xml:space="preserve"> the rapidly increasing </w:t>
      </w:r>
      <w:proofErr w:type="spellStart"/>
      <w:r w:rsidR="000256F6">
        <w:t>Kp</w:t>
      </w:r>
      <w:proofErr w:type="spellEnd"/>
      <w:r w:rsidR="000256F6">
        <w:t xml:space="preserve"> curve for Darwin. The 500 year PGA hazard</w:t>
      </w:r>
      <w:r w:rsidR="001E56D0">
        <w:t>, presented here,</w:t>
      </w:r>
      <w:r w:rsidR="000256F6">
        <w:t xml:space="preserve"> </w:t>
      </w:r>
      <w:r w:rsidR="001E56D0">
        <w:t xml:space="preserve">is 75% of the AS1170.4 value </w:t>
      </w:r>
      <w:r w:rsidR="000256F6">
        <w:t>for many Australian cities (i.e. Adelaide, Brisbane, Canberra, Melbourne, Sydney) whereas the 2500 year hazard value is 30% higher.</w:t>
      </w:r>
    </w:p>
    <w:p w:rsidR="00B24C39" w:rsidRDefault="001D5DFC" w:rsidP="00B24C39">
      <w:pPr>
        <w:pStyle w:val="FiguresandImagescentred"/>
      </w:pPr>
      <w:r>
        <w:rPr>
          <w:noProof/>
        </w:rPr>
        <w:lastRenderedPageBreak/>
        <w:drawing>
          <wp:inline distT="0" distB="0" distL="0" distR="0" wp14:anchorId="1FF5ED2E" wp14:editId="3898C305">
            <wp:extent cx="4277802" cy="4286419"/>
            <wp:effectExtent l="0" t="0" r="8890" b="0"/>
            <wp:docPr id="713752" name="Picture 713752"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y_Haz_kp.jpg"/>
                    <pic:cNvPicPr/>
                  </pic:nvPicPr>
                  <pic:blipFill>
                    <a:blip r:embed="rId18">
                      <a:extLst>
                        <a:ext uri="{28A0092B-C50C-407E-A947-70E740481C1C}">
                          <a14:useLocalDpi xmlns:a14="http://schemas.microsoft.com/office/drawing/2010/main" val="0"/>
                        </a:ext>
                      </a:extLst>
                    </a:blip>
                    <a:stretch>
                      <a:fillRect/>
                    </a:stretch>
                  </pic:blipFill>
                  <pic:spPr>
                    <a:xfrm>
                      <a:off x="0" y="0"/>
                      <a:ext cx="4267669" cy="4276266"/>
                    </a:xfrm>
                    <a:prstGeom prst="rect">
                      <a:avLst/>
                    </a:prstGeom>
                  </pic:spPr>
                </pic:pic>
              </a:graphicData>
            </a:graphic>
          </wp:inline>
        </w:drawing>
      </w:r>
    </w:p>
    <w:p w:rsidR="000C2DCE" w:rsidRDefault="00B24C39" w:rsidP="001D5DFC">
      <w:pPr>
        <w:pStyle w:val="Caption"/>
      </w:pPr>
      <w:bookmarkStart w:id="11" w:name="_Toc371577663"/>
      <w:r>
        <w:t xml:space="preserve">Figure </w:t>
      </w:r>
      <w:r w:rsidR="006220B6">
        <w:fldChar w:fldCharType="begin"/>
      </w:r>
      <w:r w:rsidR="006220B6">
        <w:instrText xml:space="preserve"> SEQ Figure \* ARABIC </w:instrText>
      </w:r>
      <w:r w:rsidR="006220B6">
        <w:fldChar w:fldCharType="separate"/>
      </w:r>
      <w:r w:rsidR="00552102">
        <w:rPr>
          <w:noProof/>
        </w:rPr>
        <w:t>1</w:t>
      </w:r>
      <w:r w:rsidR="006220B6">
        <w:rPr>
          <w:noProof/>
        </w:rPr>
        <w:fldChar w:fldCharType="end"/>
      </w:r>
      <w:r>
        <w:t xml:space="preserve"> </w:t>
      </w:r>
      <w:r w:rsidR="001D5DFC" w:rsidRPr="005D2FF3">
        <w:t xml:space="preserve">The probability factor </w:t>
      </w:r>
      <w:r w:rsidR="00A33B3C">
        <w:t>(</w:t>
      </w:r>
      <w:proofErr w:type="spellStart"/>
      <w:r w:rsidR="00A33B3C">
        <w:t>Kp</w:t>
      </w:r>
      <w:proofErr w:type="spellEnd"/>
      <w:r w:rsidR="00A33B3C">
        <w:t xml:space="preserve">) </w:t>
      </w:r>
      <w:r w:rsidR="001D5DFC" w:rsidRPr="005D2FF3">
        <w:t>for the eight ca</w:t>
      </w:r>
      <w:r w:rsidR="001D5DFC">
        <w:t xml:space="preserve">pital cities compared to the single </w:t>
      </w:r>
      <w:proofErr w:type="spellStart"/>
      <w:r w:rsidR="00FA6184">
        <w:t>Kp</w:t>
      </w:r>
      <w:proofErr w:type="spellEnd"/>
      <w:r w:rsidR="00FA6184">
        <w:t xml:space="preserve"> values</w:t>
      </w:r>
      <w:r w:rsidR="004C56A9">
        <w:t xml:space="preserve"> in </w:t>
      </w:r>
      <w:r w:rsidR="001D5DFC">
        <w:t>AS1170.4</w:t>
      </w:r>
      <w:r w:rsidR="004C56A9">
        <w:t>-2007</w:t>
      </w:r>
      <w:r w:rsidR="00FA6184">
        <w:t xml:space="preserve"> (orange dashed curve)</w:t>
      </w:r>
      <w:r w:rsidR="001D5DFC" w:rsidRPr="005D2FF3">
        <w:t>.</w:t>
      </w:r>
      <w:bookmarkEnd w:id="11"/>
    </w:p>
    <w:p w:rsidR="00051A75" w:rsidRDefault="00D95418" w:rsidP="00051A75">
      <w:pPr>
        <w:pStyle w:val="Heading1"/>
      </w:pPr>
      <w:bookmarkStart w:id="12" w:name="_Toc371577700"/>
      <w:r>
        <w:lastRenderedPageBreak/>
        <w:t>Comparison of PGA hazard curves</w:t>
      </w:r>
      <w:r w:rsidR="00051A75">
        <w:t xml:space="preserve"> for selected sites</w:t>
      </w:r>
      <w:bookmarkEnd w:id="12"/>
    </w:p>
    <w:p w:rsidR="003B3B37" w:rsidRDefault="00051A75" w:rsidP="000C2DCE">
      <w:pPr>
        <w:pStyle w:val="FiguresandImagescentred"/>
      </w:pPr>
      <w:r>
        <w:rPr>
          <w:noProof/>
        </w:rPr>
        <w:drawing>
          <wp:inline distT="0" distB="0" distL="0" distR="0" wp14:anchorId="1A300907" wp14:editId="3FD70864">
            <wp:extent cx="5760085" cy="4646295"/>
            <wp:effectExtent l="0" t="0" r="0" b="1905"/>
            <wp:docPr id="713732" name="Picture 713732"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_seis_haz.tif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4646295"/>
                    </a:xfrm>
                    <a:prstGeom prst="rect">
                      <a:avLst/>
                    </a:prstGeom>
                  </pic:spPr>
                </pic:pic>
              </a:graphicData>
            </a:graphic>
          </wp:inline>
        </w:drawing>
      </w:r>
    </w:p>
    <w:p w:rsidR="00051A75" w:rsidRDefault="00051A75" w:rsidP="00051A75">
      <w:pPr>
        <w:pStyle w:val="Caption"/>
      </w:pPr>
      <w:bookmarkStart w:id="13" w:name="_Toc371577664"/>
      <w:r>
        <w:t xml:space="preserve">Figure </w:t>
      </w:r>
      <w:r w:rsidR="006220B6">
        <w:fldChar w:fldCharType="begin"/>
      </w:r>
      <w:r w:rsidR="006220B6">
        <w:instrText xml:space="preserve"> SEQ</w:instrText>
      </w:r>
      <w:r w:rsidR="006220B6">
        <w:instrText xml:space="preserve"> Figure \* ARABIC </w:instrText>
      </w:r>
      <w:r w:rsidR="006220B6">
        <w:fldChar w:fldCharType="separate"/>
      </w:r>
      <w:r w:rsidR="00552102">
        <w:rPr>
          <w:noProof/>
        </w:rPr>
        <w:t>2</w:t>
      </w:r>
      <w:r w:rsidR="006220B6">
        <w:rPr>
          <w:noProof/>
        </w:rPr>
        <w:fldChar w:fldCharType="end"/>
      </w:r>
      <w:r w:rsidR="000C2DCE">
        <w:t xml:space="preserve"> </w:t>
      </w:r>
      <w:r w:rsidR="001013B7">
        <w:t>A</w:t>
      </w:r>
      <w:r w:rsidR="00605DAE">
        <w:t xml:space="preserve"> map of the 0.0s </w:t>
      </w:r>
      <w:r w:rsidR="00AE2665">
        <w:t xml:space="preserve">(PGA) </w:t>
      </w:r>
      <w:r w:rsidR="00605DAE">
        <w:t>Spectral Acceleration</w:t>
      </w:r>
      <w:r w:rsidR="008E467D">
        <w:t xml:space="preserve"> (SA)</w:t>
      </w:r>
      <w:r w:rsidR="00605DAE">
        <w:t xml:space="preserve"> with an </w:t>
      </w:r>
      <w:r w:rsidR="00605DAE" w:rsidRPr="00FF0C92">
        <w:t xml:space="preserve">annual probability of </w:t>
      </w:r>
      <w:proofErr w:type="spellStart"/>
      <w:r w:rsidR="00605DAE" w:rsidRPr="00FF0C92">
        <w:t>exceedence</w:t>
      </w:r>
      <w:proofErr w:type="spellEnd"/>
      <w:r w:rsidR="00605DAE" w:rsidRPr="00FF0C92">
        <w:t xml:space="preserve"> of 1/2500.</w:t>
      </w:r>
      <w:bookmarkEnd w:id="13"/>
    </w:p>
    <w:p w:rsidR="000C2DCE" w:rsidRDefault="00CD2BDD" w:rsidP="00150B52">
      <w:pPr>
        <w:pStyle w:val="BodyText"/>
      </w:pPr>
      <w:r>
        <w:t xml:space="preserve">The </w:t>
      </w:r>
      <w:r w:rsidR="00CB489F">
        <w:t>25</w:t>
      </w:r>
      <w:r w:rsidR="00283094">
        <w:t>0</w:t>
      </w:r>
      <w:r w:rsidR="00CB489F">
        <w:t>0 year return period SA 0.0s (PGA)</w:t>
      </w:r>
      <w:r w:rsidR="00FB4B36">
        <w:t xml:space="preserve"> </w:t>
      </w:r>
      <w:r w:rsidR="00CB489F">
        <w:t xml:space="preserve">hazard map is shown in </w:t>
      </w:r>
      <w:r w:rsidR="00CB489F" w:rsidRPr="00746449">
        <w:rPr>
          <w:rStyle w:val="Hyperlink"/>
        </w:rPr>
        <w:t>Figure 2</w:t>
      </w:r>
      <w:r w:rsidR="00CB489F">
        <w:t>, al</w:t>
      </w:r>
      <w:r w:rsidR="0018757A">
        <w:t xml:space="preserve">ong with the capital cities. The figure </w:t>
      </w:r>
      <w:r w:rsidR="00CE42FD">
        <w:t>also show</w:t>
      </w:r>
      <w:r w:rsidR="0018757A">
        <w:t>s</w:t>
      </w:r>
      <w:r w:rsidR="00CB489F">
        <w:t xml:space="preserve"> 26 reference locations</w:t>
      </w:r>
      <w:r w:rsidR="0018757A">
        <w:t>,</w:t>
      </w:r>
      <w:r w:rsidR="00CB489F">
        <w:t xml:space="preserve"> </w:t>
      </w:r>
      <w:r w:rsidR="00CE42FD">
        <w:t>from A to Z</w:t>
      </w:r>
      <w:r w:rsidR="0018757A">
        <w:t>,</w:t>
      </w:r>
      <w:r w:rsidR="00CE42FD">
        <w:t xml:space="preserve"> </w:t>
      </w:r>
      <w:r w:rsidR="00CB489F">
        <w:t xml:space="preserve">which typify the hazard across the </w:t>
      </w:r>
      <w:r w:rsidR="00A47DD1">
        <w:t xml:space="preserve">rest of the </w:t>
      </w:r>
      <w:r w:rsidR="00CB489F">
        <w:t>country. From this figure it can be seen that the</w:t>
      </w:r>
      <w:r>
        <w:t xml:space="preserve"> four cities of Adelaide, Canberra, Melbourne and Sydney </w:t>
      </w:r>
      <w:r w:rsidR="00CB489F">
        <w:t>all have a similar hazard (≈0.16g) with Brisbane, Perth and Darwin bein</w:t>
      </w:r>
      <w:r w:rsidR="00AB5E8D">
        <w:t>g lower (≈0.12g) and Hobart being much</w:t>
      </w:r>
      <w:r w:rsidR="00CB489F">
        <w:t xml:space="preserve"> low</w:t>
      </w:r>
      <w:r w:rsidR="00AB5E8D">
        <w:t>er</w:t>
      </w:r>
      <w:r w:rsidR="00CB489F">
        <w:t xml:space="preserve"> (≈0.07g)</w:t>
      </w:r>
      <w:r w:rsidR="00AE2665">
        <w:t xml:space="preserve"> at a recurrence interval of 2500 years</w:t>
      </w:r>
      <w:r w:rsidR="00CB489F">
        <w:t>. Th</w:t>
      </w:r>
      <w:r w:rsidR="001E0DCE">
        <w:t>is</w:t>
      </w:r>
      <w:r w:rsidR="00CB489F">
        <w:t xml:space="preserve"> </w:t>
      </w:r>
      <w:r w:rsidR="006A7096">
        <w:t>difference between the cities is</w:t>
      </w:r>
      <w:r w:rsidR="00CB489F">
        <w:t xml:space="preserve"> clearer in the hazard curves (</w:t>
      </w:r>
      <w:r w:rsidR="00AB5E8D" w:rsidRPr="001932F2">
        <w:rPr>
          <w:rStyle w:val="Hyperlink"/>
        </w:rPr>
        <w:t>Figure 3</w:t>
      </w:r>
      <w:r w:rsidR="00AB5E8D">
        <w:t>). The hazard in the CBD</w:t>
      </w:r>
      <w:r w:rsidR="00CB489F">
        <w:t>s of</w:t>
      </w:r>
      <w:r>
        <w:t xml:space="preserve"> </w:t>
      </w:r>
      <w:r w:rsidR="00CB489F">
        <w:t xml:space="preserve">Adelaide, Canberra, Melbourne and Sydney </w:t>
      </w:r>
      <w:r w:rsidR="006A7096">
        <w:t xml:space="preserve">are </w:t>
      </w:r>
      <w:r>
        <w:t>effectively identical</w:t>
      </w:r>
      <w:r w:rsidR="00CB489F">
        <w:t xml:space="preserve"> (</w:t>
      </w:r>
      <w:r w:rsidR="00CB489F" w:rsidRPr="001932F2">
        <w:rPr>
          <w:rStyle w:val="Hyperlink"/>
        </w:rPr>
        <w:t>Figure 3a</w:t>
      </w:r>
      <w:r w:rsidR="006A7096">
        <w:t>),</w:t>
      </w:r>
      <w:r w:rsidR="00D16043">
        <w:t xml:space="preserve"> w</w:t>
      </w:r>
      <w:r w:rsidR="00AE2665">
        <w:t>hile</w:t>
      </w:r>
      <w:r w:rsidR="00D16043">
        <w:t xml:space="preserve"> the </w:t>
      </w:r>
      <w:r w:rsidR="00CE05A1">
        <w:t xml:space="preserve">hazard in </w:t>
      </w:r>
      <w:r w:rsidR="00D16043">
        <w:t xml:space="preserve">Brisbane, Perth and Darwin </w:t>
      </w:r>
      <w:r w:rsidR="00AE2665">
        <w:t>is</w:t>
      </w:r>
      <w:r w:rsidR="00D16043">
        <w:t xml:space="preserve"> 25% lower</w:t>
      </w:r>
      <w:r>
        <w:t>.</w:t>
      </w:r>
      <w:r w:rsidR="00D16043">
        <w:t xml:space="preserve"> Hobart</w:t>
      </w:r>
      <w:r w:rsidR="00CE05A1">
        <w:t>’s hazard</w:t>
      </w:r>
      <w:r w:rsidR="00D16043">
        <w:t xml:space="preserve"> is significantly lower than </w:t>
      </w:r>
      <w:r w:rsidR="00CE05A1">
        <w:t xml:space="preserve">for all </w:t>
      </w:r>
      <w:r w:rsidR="00D16043">
        <w:t xml:space="preserve">the other capital </w:t>
      </w:r>
      <w:r w:rsidR="00FB4B36">
        <w:t>cities. Due to their size and</w:t>
      </w:r>
      <w:r w:rsidR="00D16043">
        <w:t xml:space="preserve"> a gradient in the hazard, the hazard varies significantly across the cities of Adelaide, Brisbane, Melbourne, Perth and Sydney. </w:t>
      </w:r>
      <w:r w:rsidR="006A7096">
        <w:t xml:space="preserve">The maximum hazard for the greater metropolitan </w:t>
      </w:r>
      <w:r w:rsidR="005834BC">
        <w:t>are</w:t>
      </w:r>
      <w:r w:rsidR="006547D0">
        <w:t>as</w:t>
      </w:r>
      <w:r w:rsidR="005834BC">
        <w:t xml:space="preserve"> covered by</w:t>
      </w:r>
      <w:r w:rsidR="006A7096">
        <w:t xml:space="preserve"> the capital cities (</w:t>
      </w:r>
      <w:r w:rsidR="00D16043" w:rsidRPr="001932F2">
        <w:rPr>
          <w:rStyle w:val="Hyperlink"/>
        </w:rPr>
        <w:t>Figure 3</w:t>
      </w:r>
      <w:r w:rsidR="006A7096" w:rsidRPr="001932F2">
        <w:rPr>
          <w:rStyle w:val="Hyperlink"/>
        </w:rPr>
        <w:t>b</w:t>
      </w:r>
      <w:r w:rsidR="006A7096">
        <w:t>)</w:t>
      </w:r>
      <w:r w:rsidR="001E0DCE">
        <w:t xml:space="preserve"> </w:t>
      </w:r>
      <w:r w:rsidR="005834BC">
        <w:t>shows</w:t>
      </w:r>
      <w:r w:rsidR="006A7096">
        <w:t xml:space="preserve"> a greater spread </w:t>
      </w:r>
      <w:r w:rsidR="005834BC">
        <w:t xml:space="preserve">in values </w:t>
      </w:r>
      <w:r w:rsidR="006A7096">
        <w:t>than</w:t>
      </w:r>
      <w:r w:rsidR="001E0DCE">
        <w:t xml:space="preserve"> for</w:t>
      </w:r>
      <w:r w:rsidR="006A7096">
        <w:t xml:space="preserve"> </w:t>
      </w:r>
      <w:r w:rsidR="00D16043">
        <w:t xml:space="preserve">the </w:t>
      </w:r>
      <w:r w:rsidR="00FB4B36">
        <w:t>CBD</w:t>
      </w:r>
      <w:r w:rsidR="006A7096">
        <w:t xml:space="preserve">s. </w:t>
      </w:r>
      <w:r w:rsidR="006A7096">
        <w:lastRenderedPageBreak/>
        <w:t xml:space="preserve">The hazard </w:t>
      </w:r>
      <w:r w:rsidR="005834BC">
        <w:t xml:space="preserve">for </w:t>
      </w:r>
      <w:r w:rsidR="006A7096">
        <w:t xml:space="preserve">Melbourne and Sydney has increased and </w:t>
      </w:r>
      <w:r w:rsidR="00C21A0B">
        <w:t xml:space="preserve">is </w:t>
      </w:r>
      <w:r w:rsidR="006A7096">
        <w:t xml:space="preserve">now slightly higher than Adelaide and Canberra which </w:t>
      </w:r>
      <w:r w:rsidR="00CE05A1">
        <w:t xml:space="preserve">still </w:t>
      </w:r>
      <w:r w:rsidR="006A7096">
        <w:t>have effectively identical hazard curves. The hazard in Perth and Brisbane has increased to a similar level to</w:t>
      </w:r>
      <w:r w:rsidR="005834BC">
        <w:t xml:space="preserve"> that in</w:t>
      </w:r>
      <w:r w:rsidR="006A7096">
        <w:t xml:space="preserve"> Adelaide and Canberra. </w:t>
      </w:r>
      <w:r w:rsidR="00AB5E8D">
        <w:t xml:space="preserve">Darwin is lower and </w:t>
      </w:r>
      <w:r w:rsidR="006A7096">
        <w:t>Hobart remain</w:t>
      </w:r>
      <w:r w:rsidR="005834BC">
        <w:t>s</w:t>
      </w:r>
      <w:r w:rsidR="006A7096">
        <w:t xml:space="preserve"> the lowest.</w:t>
      </w:r>
    </w:p>
    <w:p w:rsidR="00697613" w:rsidRPr="00D81519" w:rsidRDefault="00697613" w:rsidP="00697613">
      <w:pPr>
        <w:pStyle w:val="Figuresandimagesleft0"/>
      </w:pPr>
      <w:r>
        <w:t>(a)</w:t>
      </w:r>
      <w:r>
        <w:tab/>
      </w:r>
      <w:r w:rsidRPr="00D81519">
        <w:tab/>
        <w:t>(b)</w:t>
      </w:r>
    </w:p>
    <w:p w:rsidR="00053567" w:rsidRDefault="00053567" w:rsidP="00697613">
      <w:pPr>
        <w:pStyle w:val="BodyText"/>
      </w:pPr>
      <w:r>
        <w:rPr>
          <w:noProof/>
        </w:rPr>
        <w:drawing>
          <wp:inline distT="0" distB="0" distL="0" distR="0" wp14:anchorId="750C7D65" wp14:editId="7B337051">
            <wp:extent cx="2715768" cy="2636520"/>
            <wp:effectExtent l="0" t="0" r="8890" b="0"/>
            <wp:docPr id="713815" name="Picture 713815"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Haz_curve_3000.tif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15768" cy="2636520"/>
                    </a:xfrm>
                    <a:prstGeom prst="rect">
                      <a:avLst/>
                    </a:prstGeom>
                  </pic:spPr>
                </pic:pic>
              </a:graphicData>
            </a:graphic>
          </wp:inline>
        </w:drawing>
      </w:r>
      <w:r>
        <w:rPr>
          <w:noProof/>
        </w:rPr>
        <w:drawing>
          <wp:inline distT="0" distB="0" distL="0" distR="0" wp14:anchorId="7F68D187" wp14:editId="733B1CDA">
            <wp:extent cx="2743200" cy="2636520"/>
            <wp:effectExtent l="0" t="0" r="0" b="0"/>
            <wp:docPr id="713816" name="Picture 713816"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max_Haz_curve_10000.tif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2636520"/>
                    </a:xfrm>
                    <a:prstGeom prst="rect">
                      <a:avLst/>
                    </a:prstGeom>
                  </pic:spPr>
                </pic:pic>
              </a:graphicData>
            </a:graphic>
          </wp:inline>
        </w:drawing>
      </w:r>
    </w:p>
    <w:p w:rsidR="00605DAE" w:rsidRDefault="00B4109F" w:rsidP="000E04FD">
      <w:pPr>
        <w:pStyle w:val="Caption"/>
      </w:pPr>
      <w:bookmarkStart w:id="14" w:name="_Toc371577665"/>
      <w:r>
        <w:t xml:space="preserve">Figure </w:t>
      </w:r>
      <w:r w:rsidR="006220B6">
        <w:fldChar w:fldCharType="begin"/>
      </w:r>
      <w:r w:rsidR="006220B6">
        <w:instrText xml:space="preserve"> SEQ Figure \* ARABIC </w:instrText>
      </w:r>
      <w:r w:rsidR="006220B6">
        <w:fldChar w:fldCharType="separate"/>
      </w:r>
      <w:r w:rsidR="00552102">
        <w:rPr>
          <w:noProof/>
        </w:rPr>
        <w:t>3</w:t>
      </w:r>
      <w:r w:rsidR="006220B6">
        <w:rPr>
          <w:noProof/>
        </w:rPr>
        <w:fldChar w:fldCharType="end"/>
      </w:r>
      <w:r>
        <w:t xml:space="preserve"> </w:t>
      </w:r>
      <w:r w:rsidR="00CE42FD">
        <w:t>PGA h</w:t>
      </w:r>
      <w:r w:rsidR="001E56D0">
        <w:t>azard curves for the c</w:t>
      </w:r>
      <w:r>
        <w:t>apital cities</w:t>
      </w:r>
      <w:r w:rsidR="00C21A0B">
        <w:t xml:space="preserve"> for</w:t>
      </w:r>
      <w:r>
        <w:t xml:space="preserve"> (a) the CBD values</w:t>
      </w:r>
      <w:r w:rsidR="005834BC">
        <w:t xml:space="preserve"> or</w:t>
      </w:r>
      <w:r>
        <w:t xml:space="preserve"> (b) the maximum values </w:t>
      </w:r>
      <w:r w:rsidR="005834BC">
        <w:t>for</w:t>
      </w:r>
      <w:r>
        <w:t xml:space="preserve"> the greater metropolitan area</w:t>
      </w:r>
      <w:r w:rsidR="005834BC">
        <w:t xml:space="preserve"> covered by the city</w:t>
      </w:r>
      <w:r>
        <w:t>.</w:t>
      </w:r>
      <w:r w:rsidRPr="00B4109F">
        <w:t xml:space="preserve"> </w:t>
      </w:r>
      <w:r>
        <w:t xml:space="preserve">The hazard of the CBD of the four cities of Adelaide, Canberra, Melbourne and Sydney are effectively identical (Figure </w:t>
      </w:r>
      <w:r w:rsidR="00903248">
        <w:t>3a</w:t>
      </w:r>
      <w:r>
        <w:t xml:space="preserve">), </w:t>
      </w:r>
      <w:r w:rsidR="00A47DD1">
        <w:t>and that for</w:t>
      </w:r>
      <w:r>
        <w:t xml:space="preserve"> Brisbane, Perth and Darwin hazard </w:t>
      </w:r>
      <w:r w:rsidR="00A47DD1">
        <w:t>is</w:t>
      </w:r>
      <w:r>
        <w:t xml:space="preserve"> 25% lower. </w:t>
      </w:r>
      <w:r w:rsidR="00CE42FD">
        <w:t xml:space="preserve">The PGA hazard for </w:t>
      </w:r>
      <w:r>
        <w:t>Hobart is significantly lower than the other capital cities</w:t>
      </w:r>
      <w:r w:rsidR="00F34CD4">
        <w:t xml:space="preserve"> </w:t>
      </w:r>
      <w:r w:rsidR="00A47DD1">
        <w:t>for</w:t>
      </w:r>
      <w:r w:rsidR="00F34CD4">
        <w:t xml:space="preserve"> all return periods</w:t>
      </w:r>
      <w:r>
        <w:t>.</w:t>
      </w:r>
      <w:bookmarkEnd w:id="14"/>
    </w:p>
    <w:p w:rsidR="00697613" w:rsidRPr="00697613" w:rsidRDefault="00605DAE" w:rsidP="00697613">
      <w:pPr>
        <w:pStyle w:val="BodyText"/>
        <w:rPr>
          <w:rStyle w:val="FiguresandimagesleftChar0"/>
        </w:rPr>
      </w:pPr>
      <w:r>
        <w:t xml:space="preserve">The </w:t>
      </w:r>
      <w:r w:rsidR="005834BC">
        <w:t xml:space="preserve">hazard curves for </w:t>
      </w:r>
      <w:r w:rsidR="0018757A">
        <w:t>five</w:t>
      </w:r>
      <w:r>
        <w:t xml:space="preserve"> locations D, K, T, V, Y </w:t>
      </w:r>
      <w:r w:rsidR="005834BC">
        <w:t xml:space="preserve">(see </w:t>
      </w:r>
      <w:r w:rsidR="005834BC" w:rsidRPr="00717638">
        <w:rPr>
          <w:rStyle w:val="Hyperlink"/>
        </w:rPr>
        <w:t>Figure 2</w:t>
      </w:r>
      <w:r w:rsidR="005834BC">
        <w:t xml:space="preserve">) and for </w:t>
      </w:r>
      <w:r w:rsidR="00C21A0B">
        <w:t>Tennant</w:t>
      </w:r>
      <w:r w:rsidR="005834BC">
        <w:t xml:space="preserve"> Creek are shown in </w:t>
      </w:r>
      <w:r w:rsidR="005834BC" w:rsidRPr="001932F2">
        <w:rPr>
          <w:rStyle w:val="Hyperlink"/>
        </w:rPr>
        <w:t>Figure 4</w:t>
      </w:r>
      <w:r w:rsidR="005834BC">
        <w:t>.</w:t>
      </w:r>
      <w:r w:rsidR="000C2DCE">
        <w:t xml:space="preserve"> </w:t>
      </w:r>
      <w:r w:rsidR="005834BC">
        <w:t xml:space="preserve">The </w:t>
      </w:r>
      <w:r w:rsidR="0018757A">
        <w:t>six</w:t>
      </w:r>
      <w:r w:rsidR="005834BC">
        <w:t xml:space="preserve"> locations </w:t>
      </w:r>
      <w:r>
        <w:t xml:space="preserve">characterise the vast majority of seismic hazard in Australia. </w:t>
      </w:r>
      <w:r w:rsidR="006D4695">
        <w:t xml:space="preserve">As the local layer </w:t>
      </w:r>
      <w:r w:rsidR="0018757A">
        <w:t>has</w:t>
      </w:r>
      <w:r w:rsidR="00DA106F">
        <w:t xml:space="preserve"> a lower</w:t>
      </w:r>
      <w:r w:rsidR="00337F36">
        <w:t xml:space="preserve"> M</w:t>
      </w:r>
      <w:r w:rsidR="00337F36" w:rsidRPr="00150B52">
        <w:rPr>
          <w:rStyle w:val="Subscript"/>
        </w:rPr>
        <w:t>MAX</w:t>
      </w:r>
      <w:r w:rsidR="00337F36">
        <w:t xml:space="preserve"> </w:t>
      </w:r>
      <w:r w:rsidR="00F34CD4">
        <w:t xml:space="preserve">in the Tennant Creek zone </w:t>
      </w:r>
      <w:r w:rsidR="00DA106F">
        <w:t xml:space="preserve">than </w:t>
      </w:r>
      <w:r w:rsidR="00F34CD4">
        <w:t xml:space="preserve">for </w:t>
      </w:r>
      <w:r w:rsidR="00DA106F">
        <w:t xml:space="preserve">the </w:t>
      </w:r>
      <w:r w:rsidR="000E04FD">
        <w:t xml:space="preserve">regional layers (i.e. </w:t>
      </w:r>
      <w:r w:rsidR="00DA106F">
        <w:t>6.3 for Tennant Creek compared to</w:t>
      </w:r>
      <w:r w:rsidR="00337F36">
        <w:t xml:space="preserve"> 7.5 </w:t>
      </w:r>
      <w:r w:rsidR="00DA106F">
        <w:t>for</w:t>
      </w:r>
      <w:r w:rsidR="00337F36">
        <w:t xml:space="preserve"> zone</w:t>
      </w:r>
      <w:r w:rsidR="00DA106F">
        <w:t>s</w:t>
      </w:r>
      <w:r w:rsidR="00CE42FD">
        <w:t xml:space="preserve"> which contain points</w:t>
      </w:r>
      <w:r w:rsidR="00337F36">
        <w:t xml:space="preserve"> </w:t>
      </w:r>
      <w:r w:rsidR="000E04FD">
        <w:t>D, K, T, V</w:t>
      </w:r>
      <w:r w:rsidR="00CE42FD">
        <w:t xml:space="preserve"> and</w:t>
      </w:r>
      <w:r w:rsidR="000E04FD">
        <w:t xml:space="preserve"> Y)</w:t>
      </w:r>
      <w:r w:rsidR="00337F36">
        <w:t xml:space="preserve"> it might be expected tha</w:t>
      </w:r>
      <w:r w:rsidR="000E04FD">
        <w:t>t the Tennant Creek hazard would</w:t>
      </w:r>
      <w:r w:rsidR="00337F36">
        <w:t xml:space="preserve"> roll off more rapidly</w:t>
      </w:r>
      <w:r w:rsidR="00DA106F">
        <w:t xml:space="preserve"> than the other locations. However </w:t>
      </w:r>
      <w:r w:rsidR="00F34CD4">
        <w:t>this is not the case</w:t>
      </w:r>
      <w:r w:rsidR="00337F36">
        <w:t xml:space="preserve">. </w:t>
      </w:r>
      <w:r w:rsidR="00DA106F">
        <w:t>This</w:t>
      </w:r>
      <w:r w:rsidR="0086395E">
        <w:t xml:space="preserve"> slower roll-off is thought to be due to</w:t>
      </w:r>
      <w:r w:rsidR="00DA106F">
        <w:t xml:space="preserve"> the high variance in the ground motion prediction equations (GMPEs)</w:t>
      </w:r>
      <w:r w:rsidR="00CE05A1">
        <w:t>,</w:t>
      </w:r>
      <w:r w:rsidR="000E04FD">
        <w:t xml:space="preserve"> particularly at distances less than 20km (Allen 2012)</w:t>
      </w:r>
      <w:r w:rsidR="006D4695">
        <w:t>. Th</w:t>
      </w:r>
      <w:r w:rsidR="006547D0">
        <w:t>e high variance</w:t>
      </w:r>
      <w:r w:rsidR="006D4695">
        <w:t xml:space="preserve"> means</w:t>
      </w:r>
      <w:r w:rsidR="00DA106F">
        <w:t xml:space="preserve"> that at long return periods </w:t>
      </w:r>
      <w:r w:rsidR="000E04FD">
        <w:t>the hazard is being dominated by the very high ground motions</w:t>
      </w:r>
      <w:r w:rsidR="00DA106F">
        <w:t xml:space="preserve"> </w:t>
      </w:r>
      <w:r w:rsidR="005563B5">
        <w:t xml:space="preserve">that are </w:t>
      </w:r>
      <w:r w:rsidR="00AC2D3E">
        <w:t>two standard deviations</w:t>
      </w:r>
      <w:r w:rsidR="005563B5">
        <w:t xml:space="preserve"> above the median</w:t>
      </w:r>
      <w:r w:rsidR="00F34CD4">
        <w:t>. As a result</w:t>
      </w:r>
      <w:r w:rsidR="006547D0">
        <w:t>,</w:t>
      </w:r>
      <w:r w:rsidR="00C21A0B">
        <w:t xml:space="preserve"> the hazard continues to rise</w:t>
      </w:r>
      <w:r w:rsidR="00CE42FD">
        <w:t xml:space="preserve"> </w:t>
      </w:r>
      <w:r w:rsidR="00A47DD1">
        <w:t xml:space="preserve">quite steeply </w:t>
      </w:r>
      <w:r w:rsidR="00CE42FD">
        <w:t xml:space="preserve">as a function of return period </w:t>
      </w:r>
      <w:r w:rsidR="00F34CD4">
        <w:t>e</w:t>
      </w:r>
      <w:r w:rsidR="00A47DD1">
        <w:t xml:space="preserve">ven </w:t>
      </w:r>
      <w:r w:rsidR="009159B2">
        <w:t>for</w:t>
      </w:r>
      <w:r w:rsidR="00A47DD1">
        <w:t xml:space="preserve"> very long recurrence intervals</w:t>
      </w:r>
      <w:r w:rsidR="00AC2D3E">
        <w:t>.</w:t>
      </w:r>
      <w:r w:rsidR="00697613">
        <w:br w:type="page"/>
      </w:r>
      <w:r w:rsidR="00697613" w:rsidRPr="00697613">
        <w:rPr>
          <w:rStyle w:val="FiguresandimagesleftChar0"/>
        </w:rPr>
        <w:lastRenderedPageBreak/>
        <w:t>(a)</w:t>
      </w:r>
      <w:r w:rsidR="00697613" w:rsidRPr="00697613">
        <w:rPr>
          <w:rStyle w:val="FiguresandimagesleftChar0"/>
        </w:rPr>
        <w:tab/>
      </w:r>
      <w:r w:rsidR="00697613" w:rsidRPr="00697613">
        <w:rPr>
          <w:rStyle w:val="FiguresandimagesleftChar0"/>
        </w:rPr>
        <w:tab/>
        <w:t>(b)</w:t>
      </w:r>
    </w:p>
    <w:p w:rsidR="00053567" w:rsidRPr="00053567" w:rsidRDefault="00053567" w:rsidP="00697613">
      <w:pPr>
        <w:pStyle w:val="BodyText"/>
      </w:pPr>
      <w:r>
        <w:rPr>
          <w:noProof/>
        </w:rPr>
        <w:drawing>
          <wp:inline distT="0" distB="0" distL="0" distR="0" wp14:anchorId="63B5E91F" wp14:editId="54BD2932">
            <wp:extent cx="2715768" cy="2636520"/>
            <wp:effectExtent l="0" t="0" r="8890" b="0"/>
            <wp:docPr id="713813" name="Picture 713813"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s_0.0_haz_curve_3000.tif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15768" cy="2636520"/>
                    </a:xfrm>
                    <a:prstGeom prst="rect">
                      <a:avLst/>
                    </a:prstGeom>
                  </pic:spPr>
                </pic:pic>
              </a:graphicData>
            </a:graphic>
          </wp:inline>
        </w:drawing>
      </w:r>
      <w:r>
        <w:rPr>
          <w:noProof/>
        </w:rPr>
        <w:drawing>
          <wp:inline distT="0" distB="0" distL="0" distR="0" wp14:anchorId="77E24252" wp14:editId="3E1737DA">
            <wp:extent cx="2743200" cy="2636520"/>
            <wp:effectExtent l="0" t="0" r="0" b="0"/>
            <wp:docPr id="713814" name="Picture 713814"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s_0.0_haz_curve_10000.tif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43200" cy="2636520"/>
                    </a:xfrm>
                    <a:prstGeom prst="rect">
                      <a:avLst/>
                    </a:prstGeom>
                  </pic:spPr>
                </pic:pic>
              </a:graphicData>
            </a:graphic>
          </wp:inline>
        </w:drawing>
      </w:r>
    </w:p>
    <w:p w:rsidR="00CD2BDD" w:rsidRDefault="006A7096" w:rsidP="006A7096">
      <w:pPr>
        <w:pStyle w:val="Caption"/>
      </w:pPr>
      <w:bookmarkStart w:id="15" w:name="_Toc371577666"/>
      <w:r>
        <w:t xml:space="preserve">Figure </w:t>
      </w:r>
      <w:r w:rsidR="006220B6">
        <w:fldChar w:fldCharType="begin"/>
      </w:r>
      <w:r w:rsidR="006220B6">
        <w:instrText xml:space="preserve"> SEQ Figure \* ARABIC </w:instrText>
      </w:r>
      <w:r w:rsidR="006220B6">
        <w:fldChar w:fldCharType="separate"/>
      </w:r>
      <w:r w:rsidR="00552102">
        <w:rPr>
          <w:noProof/>
        </w:rPr>
        <w:t>4</w:t>
      </w:r>
      <w:r w:rsidR="006220B6">
        <w:rPr>
          <w:noProof/>
        </w:rPr>
        <w:fldChar w:fldCharType="end"/>
      </w:r>
      <w:r>
        <w:t xml:space="preserve"> Hazard curves for</w:t>
      </w:r>
      <w:r w:rsidR="00337F36">
        <w:t xml:space="preserve"> a SA of 0.0s </w:t>
      </w:r>
      <w:r w:rsidR="008E467D">
        <w:t xml:space="preserve">(PGA) </w:t>
      </w:r>
      <w:r w:rsidR="00337F36">
        <w:t>at</w:t>
      </w:r>
      <w:r w:rsidR="001E56D0">
        <w:t xml:space="preserve"> l</w:t>
      </w:r>
      <w:r>
        <w:t>ocations D, K, T, V, Y and Tennant Creek</w:t>
      </w:r>
      <w:r w:rsidR="009159B2">
        <w:t xml:space="preserve"> </w:t>
      </w:r>
      <w:r w:rsidR="00941887">
        <w:t>between 100 and</w:t>
      </w:r>
      <w:r w:rsidR="009159B2">
        <w:t xml:space="preserve"> (a) 3000 </w:t>
      </w:r>
      <w:r w:rsidR="00941887">
        <w:t xml:space="preserve">or </w:t>
      </w:r>
      <w:r w:rsidR="009159B2">
        <w:t>(b) 10,000 years</w:t>
      </w:r>
      <w:r>
        <w:t>.</w:t>
      </w:r>
      <w:bookmarkEnd w:id="15"/>
    </w:p>
    <w:p w:rsidR="00CE52F5" w:rsidRDefault="00A472A8" w:rsidP="00CE52F5">
      <w:pPr>
        <w:pStyle w:val="Heading1"/>
      </w:pPr>
      <w:bookmarkStart w:id="16" w:name="_Toc371577701"/>
      <w:r>
        <w:lastRenderedPageBreak/>
        <w:t>National Seismic Hazard Maps</w:t>
      </w:r>
      <w:bookmarkEnd w:id="16"/>
    </w:p>
    <w:p w:rsidR="00B24C39" w:rsidRDefault="00B24C39" w:rsidP="00B24C39">
      <w:pPr>
        <w:pStyle w:val="Tabletitle"/>
      </w:pPr>
      <w:bookmarkStart w:id="17" w:name="_Ref372186980"/>
      <w:bookmarkStart w:id="18" w:name="_Toc371577690"/>
      <w:r>
        <w:t xml:space="preserve">Table </w:t>
      </w:r>
      <w:r w:rsidR="006220B6">
        <w:fldChar w:fldCharType="begin"/>
      </w:r>
      <w:r w:rsidR="006220B6">
        <w:instrText xml:space="preserve"> SEQ Table \* ARABIC </w:instrText>
      </w:r>
      <w:r w:rsidR="006220B6">
        <w:fldChar w:fldCharType="separate"/>
      </w:r>
      <w:r w:rsidR="00552102">
        <w:rPr>
          <w:noProof/>
        </w:rPr>
        <w:t>1</w:t>
      </w:r>
      <w:r w:rsidR="006220B6">
        <w:rPr>
          <w:noProof/>
        </w:rPr>
        <w:fldChar w:fldCharType="end"/>
      </w:r>
      <w:bookmarkEnd w:id="17"/>
      <w:r>
        <w:t xml:space="preserve"> Details of the six national hazard maps presented in </w:t>
      </w:r>
      <w:r w:rsidRPr="001932F2">
        <w:rPr>
          <w:rStyle w:val="Hyperlink"/>
        </w:rPr>
        <w:t>Figures 5</w:t>
      </w:r>
      <w:r>
        <w:t xml:space="preserve"> to </w:t>
      </w:r>
      <w:r w:rsidRPr="001932F2">
        <w:rPr>
          <w:rStyle w:val="Hyperlink"/>
        </w:rPr>
        <w:t>10</w:t>
      </w:r>
      <w:r>
        <w:t>.</w:t>
      </w:r>
      <w:bookmarkEnd w:id="18"/>
    </w:p>
    <w:tbl>
      <w:tblPr>
        <w:tblStyle w:val="TableStyleG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Description w:val="Please insert your alternative text here"/>
      </w:tblPr>
      <w:tblGrid>
        <w:gridCol w:w="999"/>
        <w:gridCol w:w="1135"/>
        <w:gridCol w:w="1334"/>
        <w:gridCol w:w="1494"/>
        <w:gridCol w:w="1275"/>
        <w:gridCol w:w="1418"/>
        <w:gridCol w:w="1473"/>
      </w:tblGrid>
      <w:tr w:rsidR="003D538D" w:rsidRPr="00FA7038" w:rsidTr="00573851">
        <w:trPr>
          <w:cnfStyle w:val="100000000000" w:firstRow="1" w:lastRow="0" w:firstColumn="0" w:lastColumn="0" w:oddVBand="0" w:evenVBand="0" w:oddHBand="0" w:evenHBand="0" w:firstRowFirstColumn="0" w:firstRowLastColumn="0" w:lastRowFirstColumn="0" w:lastRowLastColumn="0"/>
        </w:trPr>
        <w:tc>
          <w:tcPr>
            <w:tcW w:w="999" w:type="dxa"/>
          </w:tcPr>
          <w:p w:rsidR="005E1E8B" w:rsidRPr="003D538D" w:rsidRDefault="00AC2D3E" w:rsidP="003D538D">
            <w:pPr>
              <w:pStyle w:val="Tabletextleft"/>
            </w:pPr>
            <w:r w:rsidRPr="003D538D">
              <w:t>Figure</w:t>
            </w:r>
          </w:p>
        </w:tc>
        <w:tc>
          <w:tcPr>
            <w:tcW w:w="1135" w:type="dxa"/>
          </w:tcPr>
          <w:p w:rsidR="005E1E8B" w:rsidRPr="003D538D" w:rsidRDefault="005E1E8B" w:rsidP="003D538D">
            <w:pPr>
              <w:pStyle w:val="Tabletextleft"/>
            </w:pPr>
            <w:r w:rsidRPr="003D538D">
              <w:t>Return Period (</w:t>
            </w:r>
            <w:proofErr w:type="spellStart"/>
            <w:r w:rsidRPr="003D538D">
              <w:t>yr</w:t>
            </w:r>
            <w:proofErr w:type="spellEnd"/>
            <w:r w:rsidRPr="003D538D">
              <w:t>)</w:t>
            </w:r>
          </w:p>
        </w:tc>
        <w:tc>
          <w:tcPr>
            <w:tcW w:w="1334" w:type="dxa"/>
          </w:tcPr>
          <w:p w:rsidR="005E1E8B" w:rsidRPr="003D538D" w:rsidRDefault="005E1E8B" w:rsidP="003D538D">
            <w:pPr>
              <w:pStyle w:val="Tabletextleft"/>
            </w:pPr>
            <w:r w:rsidRPr="003D538D">
              <w:t>SA period (s)</w:t>
            </w:r>
          </w:p>
        </w:tc>
        <w:tc>
          <w:tcPr>
            <w:tcW w:w="1494" w:type="dxa"/>
          </w:tcPr>
          <w:p w:rsidR="005E1E8B" w:rsidRPr="003D538D" w:rsidRDefault="005E1E8B" w:rsidP="003D538D">
            <w:pPr>
              <w:pStyle w:val="Tabletextleft"/>
            </w:pPr>
            <w:r w:rsidRPr="003D538D">
              <w:t>GMPE distance (km)</w:t>
            </w:r>
          </w:p>
        </w:tc>
        <w:tc>
          <w:tcPr>
            <w:tcW w:w="1275" w:type="dxa"/>
          </w:tcPr>
          <w:p w:rsidR="005E1E8B" w:rsidRPr="003D538D" w:rsidRDefault="005E1E8B" w:rsidP="003D538D">
            <w:pPr>
              <w:pStyle w:val="Tabletextleft"/>
            </w:pPr>
            <w:r w:rsidRPr="003D538D">
              <w:t>Filter Width (km) regional</w:t>
            </w:r>
          </w:p>
        </w:tc>
        <w:tc>
          <w:tcPr>
            <w:tcW w:w="1418" w:type="dxa"/>
          </w:tcPr>
          <w:p w:rsidR="005E1E8B" w:rsidRPr="003D538D" w:rsidRDefault="005E1E8B" w:rsidP="003D538D">
            <w:pPr>
              <w:pStyle w:val="Tabletextleft"/>
            </w:pPr>
            <w:r w:rsidRPr="003D538D">
              <w:t>Filter Width (km) local</w:t>
            </w:r>
          </w:p>
        </w:tc>
        <w:tc>
          <w:tcPr>
            <w:tcW w:w="1473" w:type="dxa"/>
          </w:tcPr>
          <w:p w:rsidR="005E1E8B" w:rsidRPr="003D538D" w:rsidRDefault="005E1E8B" w:rsidP="003D538D">
            <w:pPr>
              <w:pStyle w:val="Tabletextleft"/>
            </w:pPr>
            <w:r w:rsidRPr="003D538D">
              <w:t>Filter Width (km) combined</w:t>
            </w:r>
          </w:p>
        </w:tc>
      </w:tr>
      <w:tr w:rsidR="003D538D" w:rsidRPr="00FA7038" w:rsidTr="00573851">
        <w:trPr>
          <w:cnfStyle w:val="000000100000" w:firstRow="0" w:lastRow="0" w:firstColumn="0" w:lastColumn="0" w:oddVBand="0" w:evenVBand="0" w:oddHBand="1" w:evenHBand="0" w:firstRowFirstColumn="0" w:firstRowLastColumn="0" w:lastRowFirstColumn="0" w:lastRowLastColumn="0"/>
        </w:trPr>
        <w:tc>
          <w:tcPr>
            <w:tcW w:w="999" w:type="dxa"/>
          </w:tcPr>
          <w:p w:rsidR="005E1E8B" w:rsidRPr="004934BE" w:rsidRDefault="00AC2D3E" w:rsidP="00952C11">
            <w:pPr>
              <w:pStyle w:val="Tabletextleft"/>
            </w:pPr>
            <w:r w:rsidRPr="004934BE">
              <w:t>5</w:t>
            </w:r>
          </w:p>
        </w:tc>
        <w:tc>
          <w:tcPr>
            <w:tcW w:w="1135" w:type="dxa"/>
          </w:tcPr>
          <w:p w:rsidR="005E1E8B" w:rsidRPr="004934BE" w:rsidRDefault="005E1E8B" w:rsidP="00952C11">
            <w:pPr>
              <w:pStyle w:val="Tabletextleft"/>
            </w:pPr>
            <w:r w:rsidRPr="004934BE">
              <w:t>500</w:t>
            </w:r>
          </w:p>
        </w:tc>
        <w:tc>
          <w:tcPr>
            <w:tcW w:w="1334" w:type="dxa"/>
          </w:tcPr>
          <w:p w:rsidR="005E1E8B" w:rsidRPr="004934BE" w:rsidRDefault="005E1E8B" w:rsidP="00952C11">
            <w:pPr>
              <w:pStyle w:val="Tabletextleft"/>
            </w:pPr>
            <w:r w:rsidRPr="004934BE">
              <w:t>0.0</w:t>
            </w:r>
          </w:p>
        </w:tc>
        <w:tc>
          <w:tcPr>
            <w:tcW w:w="1494" w:type="dxa"/>
          </w:tcPr>
          <w:p w:rsidR="005E1E8B" w:rsidRPr="004934BE" w:rsidRDefault="005E1E8B" w:rsidP="00952C11">
            <w:pPr>
              <w:pStyle w:val="Tabletextleft"/>
            </w:pPr>
            <w:r w:rsidRPr="004934BE">
              <w:t>100</w:t>
            </w:r>
          </w:p>
        </w:tc>
        <w:tc>
          <w:tcPr>
            <w:tcW w:w="1275" w:type="dxa"/>
          </w:tcPr>
          <w:p w:rsidR="005E1E8B" w:rsidRPr="004934BE" w:rsidRDefault="009A4A24" w:rsidP="00952C11">
            <w:pPr>
              <w:pStyle w:val="Tabletextleft"/>
            </w:pPr>
            <w:r w:rsidRPr="004934BE">
              <w:t>120</w:t>
            </w:r>
          </w:p>
        </w:tc>
        <w:tc>
          <w:tcPr>
            <w:tcW w:w="1418" w:type="dxa"/>
          </w:tcPr>
          <w:p w:rsidR="005E1E8B" w:rsidRPr="004934BE" w:rsidRDefault="009A4A24" w:rsidP="00952C11">
            <w:pPr>
              <w:pStyle w:val="Tabletextleft"/>
            </w:pPr>
            <w:r w:rsidRPr="004934BE">
              <w:t>60</w:t>
            </w:r>
          </w:p>
        </w:tc>
        <w:tc>
          <w:tcPr>
            <w:tcW w:w="1473" w:type="dxa"/>
          </w:tcPr>
          <w:p w:rsidR="005E1E8B" w:rsidRPr="004934BE" w:rsidRDefault="009A4A24" w:rsidP="00952C11">
            <w:pPr>
              <w:pStyle w:val="Tabletextleft"/>
            </w:pPr>
            <w:r w:rsidRPr="004934BE">
              <w:t>60</w:t>
            </w:r>
          </w:p>
        </w:tc>
      </w:tr>
      <w:tr w:rsidR="003D538D" w:rsidRPr="00FA7038" w:rsidTr="00573851">
        <w:trPr>
          <w:cnfStyle w:val="000000010000" w:firstRow="0" w:lastRow="0" w:firstColumn="0" w:lastColumn="0" w:oddVBand="0" w:evenVBand="0" w:oddHBand="0" w:evenHBand="1" w:firstRowFirstColumn="0" w:firstRowLastColumn="0" w:lastRowFirstColumn="0" w:lastRowLastColumn="0"/>
        </w:trPr>
        <w:tc>
          <w:tcPr>
            <w:tcW w:w="999" w:type="dxa"/>
          </w:tcPr>
          <w:p w:rsidR="005E1E8B" w:rsidRPr="004934BE" w:rsidRDefault="00AC2D3E" w:rsidP="00952C11">
            <w:pPr>
              <w:pStyle w:val="Tabletextleft"/>
            </w:pPr>
            <w:r w:rsidRPr="004934BE">
              <w:t>6</w:t>
            </w:r>
          </w:p>
        </w:tc>
        <w:tc>
          <w:tcPr>
            <w:tcW w:w="1135" w:type="dxa"/>
          </w:tcPr>
          <w:p w:rsidR="005E1E8B" w:rsidRPr="004934BE" w:rsidRDefault="005E1E8B" w:rsidP="00952C11">
            <w:pPr>
              <w:pStyle w:val="Tabletextleft"/>
            </w:pPr>
            <w:r w:rsidRPr="004934BE">
              <w:t>500</w:t>
            </w:r>
          </w:p>
        </w:tc>
        <w:tc>
          <w:tcPr>
            <w:tcW w:w="1334" w:type="dxa"/>
          </w:tcPr>
          <w:p w:rsidR="005E1E8B" w:rsidRPr="004934BE" w:rsidRDefault="005E1E8B" w:rsidP="00952C11">
            <w:pPr>
              <w:pStyle w:val="Tabletextleft"/>
            </w:pPr>
            <w:r w:rsidRPr="004934BE">
              <w:t>0.0</w:t>
            </w:r>
          </w:p>
        </w:tc>
        <w:tc>
          <w:tcPr>
            <w:tcW w:w="1494" w:type="dxa"/>
          </w:tcPr>
          <w:p w:rsidR="005E1E8B" w:rsidRPr="004934BE" w:rsidRDefault="005E1E8B" w:rsidP="00952C11">
            <w:pPr>
              <w:pStyle w:val="Tabletextleft"/>
            </w:pPr>
            <w:r w:rsidRPr="004934BE">
              <w:t>600</w:t>
            </w:r>
          </w:p>
        </w:tc>
        <w:tc>
          <w:tcPr>
            <w:tcW w:w="1275" w:type="dxa"/>
          </w:tcPr>
          <w:p w:rsidR="005E1E8B" w:rsidRPr="004934BE" w:rsidRDefault="009A4A24" w:rsidP="00952C11">
            <w:pPr>
              <w:pStyle w:val="Tabletextleft"/>
            </w:pPr>
            <w:r w:rsidRPr="004934BE">
              <w:t>180</w:t>
            </w:r>
          </w:p>
        </w:tc>
        <w:tc>
          <w:tcPr>
            <w:tcW w:w="1418" w:type="dxa"/>
          </w:tcPr>
          <w:p w:rsidR="005E1E8B" w:rsidRPr="004934BE" w:rsidRDefault="009A4A24" w:rsidP="00952C11">
            <w:pPr>
              <w:pStyle w:val="Tabletextleft"/>
            </w:pPr>
            <w:r w:rsidRPr="004934BE">
              <w:t>30</w:t>
            </w:r>
          </w:p>
        </w:tc>
        <w:tc>
          <w:tcPr>
            <w:tcW w:w="1473" w:type="dxa"/>
          </w:tcPr>
          <w:p w:rsidR="005E1E8B" w:rsidRPr="004934BE" w:rsidRDefault="009A4A24" w:rsidP="00952C11">
            <w:pPr>
              <w:pStyle w:val="Tabletextleft"/>
            </w:pPr>
            <w:r w:rsidRPr="004934BE">
              <w:t>60</w:t>
            </w:r>
          </w:p>
        </w:tc>
      </w:tr>
      <w:tr w:rsidR="003D538D" w:rsidRPr="00FA7038" w:rsidTr="00573851">
        <w:trPr>
          <w:cnfStyle w:val="000000100000" w:firstRow="0" w:lastRow="0" w:firstColumn="0" w:lastColumn="0" w:oddVBand="0" w:evenVBand="0" w:oddHBand="1" w:evenHBand="0" w:firstRowFirstColumn="0" w:firstRowLastColumn="0" w:lastRowFirstColumn="0" w:lastRowLastColumn="0"/>
        </w:trPr>
        <w:tc>
          <w:tcPr>
            <w:tcW w:w="999" w:type="dxa"/>
          </w:tcPr>
          <w:p w:rsidR="009A4A24" w:rsidRPr="004934BE" w:rsidRDefault="00AC2D3E" w:rsidP="00952C11">
            <w:pPr>
              <w:pStyle w:val="Tabletextleft"/>
            </w:pPr>
            <w:r w:rsidRPr="004934BE">
              <w:t>7</w:t>
            </w:r>
          </w:p>
        </w:tc>
        <w:tc>
          <w:tcPr>
            <w:tcW w:w="1135" w:type="dxa"/>
          </w:tcPr>
          <w:p w:rsidR="009A4A24" w:rsidRPr="004934BE" w:rsidRDefault="009A4A24" w:rsidP="00952C11">
            <w:pPr>
              <w:pStyle w:val="Tabletextleft"/>
            </w:pPr>
            <w:r w:rsidRPr="004934BE">
              <w:t>2500</w:t>
            </w:r>
          </w:p>
        </w:tc>
        <w:tc>
          <w:tcPr>
            <w:tcW w:w="1334" w:type="dxa"/>
          </w:tcPr>
          <w:p w:rsidR="009A4A24" w:rsidRPr="004934BE" w:rsidRDefault="009A4A24" w:rsidP="00952C11">
            <w:pPr>
              <w:pStyle w:val="Tabletextleft"/>
            </w:pPr>
            <w:r w:rsidRPr="004934BE">
              <w:t>0.0</w:t>
            </w:r>
          </w:p>
        </w:tc>
        <w:tc>
          <w:tcPr>
            <w:tcW w:w="1494" w:type="dxa"/>
          </w:tcPr>
          <w:p w:rsidR="009A4A24" w:rsidRPr="004934BE" w:rsidRDefault="009A4A24" w:rsidP="006B4DF8">
            <w:pPr>
              <w:pStyle w:val="Tabletextleft"/>
            </w:pPr>
            <w:r w:rsidRPr="004934BE">
              <w:t>600</w:t>
            </w:r>
          </w:p>
        </w:tc>
        <w:tc>
          <w:tcPr>
            <w:tcW w:w="1275" w:type="dxa"/>
          </w:tcPr>
          <w:p w:rsidR="009A4A24" w:rsidRPr="004934BE" w:rsidRDefault="009A4A24" w:rsidP="00207C1F">
            <w:pPr>
              <w:pStyle w:val="Tabletextleft"/>
            </w:pPr>
            <w:r w:rsidRPr="004934BE">
              <w:t>180</w:t>
            </w:r>
          </w:p>
        </w:tc>
        <w:tc>
          <w:tcPr>
            <w:tcW w:w="1418" w:type="dxa"/>
          </w:tcPr>
          <w:p w:rsidR="009A4A24" w:rsidRPr="004934BE" w:rsidRDefault="009A4A24" w:rsidP="00207C1F">
            <w:pPr>
              <w:pStyle w:val="Tabletextleft"/>
            </w:pPr>
            <w:r w:rsidRPr="004934BE">
              <w:t>30</w:t>
            </w:r>
          </w:p>
        </w:tc>
        <w:tc>
          <w:tcPr>
            <w:tcW w:w="1473" w:type="dxa"/>
          </w:tcPr>
          <w:p w:rsidR="009A4A24" w:rsidRPr="004934BE" w:rsidRDefault="009A4A24" w:rsidP="00207C1F">
            <w:pPr>
              <w:pStyle w:val="Tabletextleft"/>
            </w:pPr>
            <w:r w:rsidRPr="004934BE">
              <w:t>60</w:t>
            </w:r>
          </w:p>
        </w:tc>
      </w:tr>
      <w:tr w:rsidR="003D538D" w:rsidRPr="00FA7038" w:rsidTr="00573851">
        <w:trPr>
          <w:cnfStyle w:val="000000010000" w:firstRow="0" w:lastRow="0" w:firstColumn="0" w:lastColumn="0" w:oddVBand="0" w:evenVBand="0" w:oddHBand="0" w:evenHBand="1" w:firstRowFirstColumn="0" w:firstRowLastColumn="0" w:lastRowFirstColumn="0" w:lastRowLastColumn="0"/>
        </w:trPr>
        <w:tc>
          <w:tcPr>
            <w:tcW w:w="999" w:type="dxa"/>
          </w:tcPr>
          <w:p w:rsidR="009A4A24" w:rsidRPr="004934BE" w:rsidRDefault="00AC2D3E" w:rsidP="00952C11">
            <w:pPr>
              <w:pStyle w:val="Tabletextleft"/>
            </w:pPr>
            <w:r w:rsidRPr="004934BE">
              <w:t>8</w:t>
            </w:r>
          </w:p>
        </w:tc>
        <w:tc>
          <w:tcPr>
            <w:tcW w:w="1135" w:type="dxa"/>
          </w:tcPr>
          <w:p w:rsidR="009A4A24" w:rsidRPr="004934BE" w:rsidRDefault="009A4A24" w:rsidP="00952C11">
            <w:pPr>
              <w:pStyle w:val="Tabletextleft"/>
            </w:pPr>
            <w:r w:rsidRPr="004934BE">
              <w:t>2500</w:t>
            </w:r>
          </w:p>
        </w:tc>
        <w:tc>
          <w:tcPr>
            <w:tcW w:w="1334" w:type="dxa"/>
          </w:tcPr>
          <w:p w:rsidR="009A4A24" w:rsidRPr="004934BE" w:rsidRDefault="009A4A24" w:rsidP="00952C11">
            <w:pPr>
              <w:pStyle w:val="Tabletextleft"/>
            </w:pPr>
            <w:r w:rsidRPr="004934BE">
              <w:t>0.3</w:t>
            </w:r>
          </w:p>
        </w:tc>
        <w:tc>
          <w:tcPr>
            <w:tcW w:w="1494" w:type="dxa"/>
          </w:tcPr>
          <w:p w:rsidR="009A4A24" w:rsidRPr="004934BE" w:rsidRDefault="009A4A24" w:rsidP="00952C11">
            <w:pPr>
              <w:pStyle w:val="Tabletextleft"/>
            </w:pPr>
            <w:r w:rsidRPr="004934BE">
              <w:t>600</w:t>
            </w:r>
          </w:p>
        </w:tc>
        <w:tc>
          <w:tcPr>
            <w:tcW w:w="1275" w:type="dxa"/>
          </w:tcPr>
          <w:p w:rsidR="009A4A24" w:rsidRPr="004934BE" w:rsidRDefault="009A4A24" w:rsidP="00207C1F">
            <w:pPr>
              <w:pStyle w:val="Tabletextleft"/>
            </w:pPr>
            <w:r w:rsidRPr="004934BE">
              <w:t>180</w:t>
            </w:r>
          </w:p>
        </w:tc>
        <w:tc>
          <w:tcPr>
            <w:tcW w:w="1418" w:type="dxa"/>
          </w:tcPr>
          <w:p w:rsidR="009A4A24" w:rsidRPr="004934BE" w:rsidRDefault="009A4A24" w:rsidP="00207C1F">
            <w:pPr>
              <w:pStyle w:val="Tabletextleft"/>
            </w:pPr>
            <w:r w:rsidRPr="004934BE">
              <w:t>30</w:t>
            </w:r>
          </w:p>
        </w:tc>
        <w:tc>
          <w:tcPr>
            <w:tcW w:w="1473" w:type="dxa"/>
          </w:tcPr>
          <w:p w:rsidR="009A4A24" w:rsidRPr="004934BE" w:rsidRDefault="009A4A24" w:rsidP="00207C1F">
            <w:pPr>
              <w:pStyle w:val="Tabletextleft"/>
            </w:pPr>
            <w:r w:rsidRPr="004934BE">
              <w:t>60</w:t>
            </w:r>
          </w:p>
        </w:tc>
      </w:tr>
      <w:tr w:rsidR="003D538D" w:rsidRPr="00FA7038" w:rsidTr="00573851">
        <w:trPr>
          <w:cnfStyle w:val="000000100000" w:firstRow="0" w:lastRow="0" w:firstColumn="0" w:lastColumn="0" w:oddVBand="0" w:evenVBand="0" w:oddHBand="1" w:evenHBand="0" w:firstRowFirstColumn="0" w:firstRowLastColumn="0" w:lastRowFirstColumn="0" w:lastRowLastColumn="0"/>
        </w:trPr>
        <w:tc>
          <w:tcPr>
            <w:tcW w:w="999" w:type="dxa"/>
          </w:tcPr>
          <w:p w:rsidR="009A4A24" w:rsidRPr="004934BE" w:rsidRDefault="00AC2D3E" w:rsidP="00952C11">
            <w:pPr>
              <w:pStyle w:val="Tabletextleft"/>
            </w:pPr>
            <w:r w:rsidRPr="004934BE">
              <w:t>9</w:t>
            </w:r>
          </w:p>
        </w:tc>
        <w:tc>
          <w:tcPr>
            <w:tcW w:w="1135" w:type="dxa"/>
          </w:tcPr>
          <w:p w:rsidR="009A4A24" w:rsidRPr="004934BE" w:rsidRDefault="009A4A24" w:rsidP="00952C11">
            <w:pPr>
              <w:pStyle w:val="Tabletextleft"/>
            </w:pPr>
            <w:r w:rsidRPr="004934BE">
              <w:t>2500</w:t>
            </w:r>
          </w:p>
        </w:tc>
        <w:tc>
          <w:tcPr>
            <w:tcW w:w="1334" w:type="dxa"/>
          </w:tcPr>
          <w:p w:rsidR="009A4A24" w:rsidRPr="004934BE" w:rsidRDefault="00197E43" w:rsidP="00952C11">
            <w:pPr>
              <w:pStyle w:val="Tabletextleft"/>
            </w:pPr>
            <w:r w:rsidRPr="004934BE">
              <w:t>1</w:t>
            </w:r>
            <w:r w:rsidR="009A4A24" w:rsidRPr="004934BE">
              <w:t>.</w:t>
            </w:r>
            <w:r w:rsidRPr="004934BE">
              <w:t>0</w:t>
            </w:r>
          </w:p>
        </w:tc>
        <w:tc>
          <w:tcPr>
            <w:tcW w:w="1494" w:type="dxa"/>
          </w:tcPr>
          <w:p w:rsidR="009A4A24" w:rsidRPr="004934BE" w:rsidRDefault="009A4A24" w:rsidP="006B4DF8">
            <w:pPr>
              <w:pStyle w:val="Tabletextleft"/>
            </w:pPr>
            <w:r w:rsidRPr="004934BE">
              <w:t>600</w:t>
            </w:r>
          </w:p>
        </w:tc>
        <w:tc>
          <w:tcPr>
            <w:tcW w:w="1275" w:type="dxa"/>
          </w:tcPr>
          <w:p w:rsidR="009A4A24" w:rsidRPr="004934BE" w:rsidRDefault="009A4A24" w:rsidP="00207C1F">
            <w:pPr>
              <w:pStyle w:val="Tabletextleft"/>
            </w:pPr>
            <w:r w:rsidRPr="004934BE">
              <w:t>180</w:t>
            </w:r>
          </w:p>
        </w:tc>
        <w:tc>
          <w:tcPr>
            <w:tcW w:w="1418" w:type="dxa"/>
          </w:tcPr>
          <w:p w:rsidR="009A4A24" w:rsidRPr="004934BE" w:rsidRDefault="009A4A24" w:rsidP="00207C1F">
            <w:pPr>
              <w:pStyle w:val="Tabletextleft"/>
            </w:pPr>
            <w:r w:rsidRPr="004934BE">
              <w:t>30</w:t>
            </w:r>
          </w:p>
        </w:tc>
        <w:tc>
          <w:tcPr>
            <w:tcW w:w="1473" w:type="dxa"/>
          </w:tcPr>
          <w:p w:rsidR="009A4A24" w:rsidRPr="004934BE" w:rsidRDefault="009A4A24" w:rsidP="00207C1F">
            <w:pPr>
              <w:pStyle w:val="Tabletextleft"/>
            </w:pPr>
            <w:r w:rsidRPr="004934BE">
              <w:t>60</w:t>
            </w:r>
          </w:p>
        </w:tc>
      </w:tr>
      <w:tr w:rsidR="003D538D" w:rsidRPr="00FA7038" w:rsidTr="00573851">
        <w:trPr>
          <w:cnfStyle w:val="000000010000" w:firstRow="0" w:lastRow="0" w:firstColumn="0" w:lastColumn="0" w:oddVBand="0" w:evenVBand="0" w:oddHBand="0" w:evenHBand="1" w:firstRowFirstColumn="0" w:firstRowLastColumn="0" w:lastRowFirstColumn="0" w:lastRowLastColumn="0"/>
        </w:trPr>
        <w:tc>
          <w:tcPr>
            <w:tcW w:w="999" w:type="dxa"/>
          </w:tcPr>
          <w:p w:rsidR="009A4A24" w:rsidRPr="004934BE" w:rsidRDefault="00AC2D3E" w:rsidP="005168A9">
            <w:pPr>
              <w:pStyle w:val="Tabletextleft"/>
            </w:pPr>
            <w:r w:rsidRPr="004934BE">
              <w:t>10</w:t>
            </w:r>
          </w:p>
        </w:tc>
        <w:tc>
          <w:tcPr>
            <w:tcW w:w="1135" w:type="dxa"/>
          </w:tcPr>
          <w:p w:rsidR="009A4A24" w:rsidRPr="004934BE" w:rsidRDefault="009A4A24" w:rsidP="005168A9">
            <w:pPr>
              <w:pStyle w:val="Tabletextleft"/>
            </w:pPr>
            <w:r w:rsidRPr="004934BE">
              <w:t>1</w:t>
            </w:r>
            <w:r w:rsidR="00197E43" w:rsidRPr="004934BE">
              <w:t>0</w:t>
            </w:r>
            <w:r w:rsidRPr="004934BE">
              <w:t>000</w:t>
            </w:r>
          </w:p>
        </w:tc>
        <w:tc>
          <w:tcPr>
            <w:tcW w:w="1334" w:type="dxa"/>
          </w:tcPr>
          <w:p w:rsidR="009A4A24" w:rsidRPr="004934BE" w:rsidRDefault="009A4A24" w:rsidP="005168A9">
            <w:pPr>
              <w:pStyle w:val="Tabletextleft"/>
            </w:pPr>
            <w:r w:rsidRPr="004934BE">
              <w:t>1.0</w:t>
            </w:r>
          </w:p>
        </w:tc>
        <w:tc>
          <w:tcPr>
            <w:tcW w:w="1494" w:type="dxa"/>
          </w:tcPr>
          <w:p w:rsidR="009A4A24" w:rsidRPr="004934BE" w:rsidRDefault="009A4A24" w:rsidP="005168A9">
            <w:pPr>
              <w:pStyle w:val="Tabletextleft"/>
            </w:pPr>
            <w:r w:rsidRPr="004934BE">
              <w:t>600</w:t>
            </w:r>
          </w:p>
        </w:tc>
        <w:tc>
          <w:tcPr>
            <w:tcW w:w="1275" w:type="dxa"/>
          </w:tcPr>
          <w:p w:rsidR="009A4A24" w:rsidRPr="004934BE" w:rsidRDefault="009A4A24" w:rsidP="00207C1F">
            <w:pPr>
              <w:pStyle w:val="Tabletextleft"/>
            </w:pPr>
            <w:r w:rsidRPr="004934BE">
              <w:t>180</w:t>
            </w:r>
          </w:p>
        </w:tc>
        <w:tc>
          <w:tcPr>
            <w:tcW w:w="1418" w:type="dxa"/>
          </w:tcPr>
          <w:p w:rsidR="009A4A24" w:rsidRPr="004934BE" w:rsidRDefault="009A4A24" w:rsidP="00207C1F">
            <w:pPr>
              <w:pStyle w:val="Tabletextleft"/>
            </w:pPr>
            <w:r w:rsidRPr="004934BE">
              <w:t>30</w:t>
            </w:r>
          </w:p>
        </w:tc>
        <w:tc>
          <w:tcPr>
            <w:tcW w:w="1473" w:type="dxa"/>
          </w:tcPr>
          <w:p w:rsidR="009A4A24" w:rsidRPr="004934BE" w:rsidRDefault="009A4A24" w:rsidP="00207C1F">
            <w:pPr>
              <w:pStyle w:val="Tabletextleft"/>
            </w:pPr>
            <w:r w:rsidRPr="004934BE">
              <w:t>60</w:t>
            </w:r>
          </w:p>
        </w:tc>
      </w:tr>
    </w:tbl>
    <w:p w:rsidR="00B24C39" w:rsidRDefault="00B24C39" w:rsidP="00B24C39">
      <w:pPr>
        <w:pStyle w:val="Tablenotes"/>
      </w:pPr>
      <w:bookmarkStart w:id="19" w:name="_Toc335744239"/>
      <w:bookmarkStart w:id="20" w:name="_Toc345571250"/>
    </w:p>
    <w:p w:rsidR="000C2DCE" w:rsidRDefault="00AC2D3E" w:rsidP="00150B52">
      <w:pPr>
        <w:pStyle w:val="BodyText"/>
      </w:pPr>
      <w:r w:rsidRPr="005168A9">
        <w:t xml:space="preserve">This section shows the national hazard map for the six </w:t>
      </w:r>
      <w:r w:rsidR="002D2C09" w:rsidRPr="005168A9">
        <w:t>combinations</w:t>
      </w:r>
      <w:r w:rsidRPr="005168A9">
        <w:t xml:space="preserve"> of parameters shown in </w:t>
      </w:r>
      <w:r w:rsidR="00717638">
        <w:fldChar w:fldCharType="begin"/>
      </w:r>
      <w:r w:rsidR="00717638">
        <w:instrText xml:space="preserve"> REF _Ref372186980 \h </w:instrText>
      </w:r>
      <w:r w:rsidR="00717638">
        <w:fldChar w:fldCharType="separate"/>
      </w:r>
      <w:r w:rsidR="00717638">
        <w:t xml:space="preserve">Table </w:t>
      </w:r>
      <w:r w:rsidR="00717638">
        <w:rPr>
          <w:noProof/>
        </w:rPr>
        <w:t>1</w:t>
      </w:r>
      <w:r w:rsidR="00717638">
        <w:fldChar w:fldCharType="end"/>
      </w:r>
      <w:r w:rsidRPr="005168A9">
        <w:t xml:space="preserve">. They were chosen on the basis of </w:t>
      </w:r>
      <w:r w:rsidR="009159B2" w:rsidRPr="005168A9">
        <w:t>the r</w:t>
      </w:r>
      <w:r w:rsidRPr="005168A9">
        <w:t xml:space="preserve">equests received by GA for maps with these recurrence intervals or </w:t>
      </w:r>
      <w:r w:rsidR="00704F27" w:rsidRPr="005168A9">
        <w:t>SA</w:t>
      </w:r>
      <w:r w:rsidRPr="005168A9">
        <w:t xml:space="preserve"> periods and to </w:t>
      </w:r>
      <w:r w:rsidR="00EC5EC5">
        <w:t>ensure that this A</w:t>
      </w:r>
      <w:r w:rsidR="0006022D" w:rsidRPr="005168A9">
        <w:t xml:space="preserve">tlas </w:t>
      </w:r>
      <w:r w:rsidRPr="005168A9">
        <w:t>cover</w:t>
      </w:r>
      <w:r w:rsidR="0006022D" w:rsidRPr="005168A9">
        <w:t>s</w:t>
      </w:r>
      <w:r w:rsidRPr="005168A9">
        <w:t xml:space="preserve"> a reasonable range of values. </w:t>
      </w:r>
      <w:r w:rsidR="0018757A">
        <w:t>For a</w:t>
      </w:r>
      <w:r w:rsidR="00C21A0B" w:rsidRPr="005168A9">
        <w:t xml:space="preserve"> detailed explanation of </w:t>
      </w:r>
      <w:r w:rsidR="007E13D1" w:rsidRPr="005168A9">
        <w:t xml:space="preserve">the </w:t>
      </w:r>
      <w:r w:rsidR="0006022D" w:rsidRPr="005168A9">
        <w:t xml:space="preserve">meaning of </w:t>
      </w:r>
      <w:r w:rsidR="00C21A0B" w:rsidRPr="005168A9">
        <w:t>the filter</w:t>
      </w:r>
      <w:r w:rsidR="0006022D" w:rsidRPr="005168A9">
        <w:t xml:space="preserve"> wi</w:t>
      </w:r>
      <w:r w:rsidR="0029664D" w:rsidRPr="005168A9">
        <w:t>d</w:t>
      </w:r>
      <w:r w:rsidR="0006022D" w:rsidRPr="005168A9">
        <w:t>ths</w:t>
      </w:r>
      <w:r w:rsidR="00C21A0B" w:rsidRPr="005168A9">
        <w:t xml:space="preserve"> used</w:t>
      </w:r>
      <w:r w:rsidR="009159B2" w:rsidRPr="005168A9">
        <w:t xml:space="preserve"> (last three columns)</w:t>
      </w:r>
      <w:r w:rsidR="00C21A0B" w:rsidRPr="005168A9">
        <w:t xml:space="preserve"> see Burbidge et al</w:t>
      </w:r>
      <w:r w:rsidR="00C57F8B">
        <w:t>.</w:t>
      </w:r>
      <w:r w:rsidR="00C21A0B" w:rsidRPr="005168A9">
        <w:t xml:space="preserve"> (2012). </w:t>
      </w:r>
      <w:r w:rsidRPr="005168A9">
        <w:t xml:space="preserve">The maps are shown in </w:t>
      </w:r>
      <w:r w:rsidRPr="00717638">
        <w:rPr>
          <w:rStyle w:val="Hyperlink"/>
        </w:rPr>
        <w:t xml:space="preserve">Figures 5 </w:t>
      </w:r>
      <w:r w:rsidRPr="005168A9">
        <w:t xml:space="preserve">to </w:t>
      </w:r>
      <w:r w:rsidRPr="00717638">
        <w:rPr>
          <w:rStyle w:val="Hyperlink"/>
        </w:rPr>
        <w:t>10</w:t>
      </w:r>
      <w:r w:rsidRPr="005168A9">
        <w:t xml:space="preserve">. The main difference between </w:t>
      </w:r>
      <w:r w:rsidRPr="00717638">
        <w:rPr>
          <w:rStyle w:val="Hyperlink"/>
        </w:rPr>
        <w:t xml:space="preserve">Figure 5 </w:t>
      </w:r>
      <w:r w:rsidRPr="005168A9">
        <w:t xml:space="preserve">and </w:t>
      </w:r>
      <w:r w:rsidRPr="00717638">
        <w:rPr>
          <w:rStyle w:val="Hyperlink"/>
        </w:rPr>
        <w:t>6</w:t>
      </w:r>
      <w:r w:rsidRPr="005168A9">
        <w:t xml:space="preserve"> is the distance out to which the </w:t>
      </w:r>
      <w:r w:rsidR="00EC5EC5">
        <w:t>GMPEs</w:t>
      </w:r>
      <w:r w:rsidRPr="005168A9">
        <w:t xml:space="preserve"> are calculated for each event</w:t>
      </w:r>
      <w:r w:rsidR="0006022D" w:rsidRPr="005168A9">
        <w:t xml:space="preserve"> (100km and 600k</w:t>
      </w:r>
      <w:r w:rsidR="0029664D" w:rsidRPr="005168A9">
        <w:t>m</w:t>
      </w:r>
      <w:r w:rsidR="0006022D" w:rsidRPr="005168A9">
        <w:t xml:space="preserve"> respectively)</w:t>
      </w:r>
      <w:r w:rsidR="0018757A">
        <w:t xml:space="preserve">. </w:t>
      </w:r>
      <w:r w:rsidR="00DB4D7C">
        <w:t xml:space="preserve">Hence, </w:t>
      </w:r>
      <w:r w:rsidR="00DB4D7C" w:rsidRPr="00717638">
        <w:rPr>
          <w:rStyle w:val="Hyperlink"/>
        </w:rPr>
        <w:t>Figure 5</w:t>
      </w:r>
      <w:r w:rsidR="0006022D" w:rsidRPr="005168A9">
        <w:t xml:space="preserve"> </w:t>
      </w:r>
      <w:r w:rsidRPr="005168A9">
        <w:t xml:space="preserve">shows the </w:t>
      </w:r>
      <w:r w:rsidR="007157C8" w:rsidRPr="005168A9">
        <w:t xml:space="preserve">500 year return period </w:t>
      </w:r>
      <w:r w:rsidRPr="005168A9">
        <w:t>earthquake hazard purely f</w:t>
      </w:r>
      <w:r w:rsidR="0006022D" w:rsidRPr="005168A9">
        <w:t>rom local earthquakes</w:t>
      </w:r>
      <w:r w:rsidRPr="005168A9">
        <w:t>, while</w:t>
      </w:r>
      <w:r w:rsidRPr="00717638">
        <w:rPr>
          <w:rStyle w:val="Hyperlink"/>
        </w:rPr>
        <w:t xml:space="preserve"> Figure 6</w:t>
      </w:r>
      <w:r w:rsidRPr="005168A9">
        <w:t xml:space="preserve"> includes the hazard generated </w:t>
      </w:r>
      <w:r w:rsidR="0029664D" w:rsidRPr="005168A9">
        <w:t>by</w:t>
      </w:r>
      <w:r w:rsidR="0006022D" w:rsidRPr="005168A9">
        <w:t xml:space="preserve"> </w:t>
      </w:r>
      <w:r w:rsidR="00A47DD1" w:rsidRPr="005168A9">
        <w:t xml:space="preserve">earthquakes </w:t>
      </w:r>
      <w:r w:rsidR="006547D0" w:rsidRPr="005168A9">
        <w:t>at</w:t>
      </w:r>
      <w:r w:rsidR="00A47DD1" w:rsidRPr="005168A9">
        <w:t xml:space="preserve"> </w:t>
      </w:r>
      <w:r w:rsidR="0029664D" w:rsidRPr="005168A9">
        <w:t>regional distances</w:t>
      </w:r>
      <w:r w:rsidR="00A47DD1" w:rsidRPr="005168A9">
        <w:t xml:space="preserve"> as well</w:t>
      </w:r>
      <w:r w:rsidRPr="005168A9">
        <w:t xml:space="preserve">. </w:t>
      </w:r>
      <w:r w:rsidRPr="00717638">
        <w:rPr>
          <w:rStyle w:val="Hyperlink"/>
        </w:rPr>
        <w:t>Figures 7</w:t>
      </w:r>
      <w:r w:rsidRPr="005168A9">
        <w:t xml:space="preserve"> to </w:t>
      </w:r>
      <w:r w:rsidRPr="00717638">
        <w:rPr>
          <w:rStyle w:val="Hyperlink"/>
        </w:rPr>
        <w:t>9</w:t>
      </w:r>
      <w:r w:rsidRPr="005168A9">
        <w:t xml:space="preserve"> show the national hazard at a return interval of 2500 years for three different </w:t>
      </w:r>
      <w:r w:rsidR="00704F27" w:rsidRPr="005168A9">
        <w:t>SA</w:t>
      </w:r>
      <w:r w:rsidRPr="005168A9">
        <w:t xml:space="preserve"> periods</w:t>
      </w:r>
      <w:r w:rsidR="00E62258" w:rsidRPr="005168A9">
        <w:t xml:space="preserve"> (</w:t>
      </w:r>
      <w:r w:rsidR="007157C8" w:rsidRPr="005168A9">
        <w:t xml:space="preserve">all for </w:t>
      </w:r>
      <w:r w:rsidR="00E62258" w:rsidRPr="005168A9">
        <w:t>5% damping)</w:t>
      </w:r>
      <w:r w:rsidRPr="005168A9">
        <w:t>.</w:t>
      </w:r>
      <w:r w:rsidR="00CE05A1" w:rsidRPr="005168A9">
        <w:t xml:space="preserve"> All were calculated out to 600km.</w:t>
      </w:r>
      <w:r w:rsidRPr="005168A9">
        <w:t xml:space="preserve"> </w:t>
      </w:r>
      <w:r w:rsidRPr="00717638">
        <w:rPr>
          <w:rStyle w:val="Hyperlink"/>
        </w:rPr>
        <w:t>Figure 10</w:t>
      </w:r>
      <w:r w:rsidRPr="005168A9">
        <w:t xml:space="preserve"> shows the hazard at a very long recurrence interval (10,000 years) for </w:t>
      </w:r>
      <w:r w:rsidR="00CE05A1" w:rsidRPr="005168A9">
        <w:t xml:space="preserve">a </w:t>
      </w:r>
      <w:r w:rsidRPr="005168A9">
        <w:t xml:space="preserve">long period </w:t>
      </w:r>
      <w:r w:rsidR="0029664D" w:rsidRPr="005168A9">
        <w:t xml:space="preserve">of </w:t>
      </w:r>
      <w:r w:rsidRPr="005168A9">
        <w:t>ground motion (1.0s)</w:t>
      </w:r>
      <w:r w:rsidR="00E62258" w:rsidRPr="005168A9">
        <w:t>, also at 5% damping</w:t>
      </w:r>
      <w:r w:rsidRPr="005168A9">
        <w:t>.</w:t>
      </w:r>
    </w:p>
    <w:p w:rsidR="005E1E8B" w:rsidRDefault="005E1E8B" w:rsidP="000C2DCE">
      <w:pPr>
        <w:pStyle w:val="FiguresandImagescentred"/>
      </w:pPr>
      <w:r>
        <w:rPr>
          <w:noProof/>
        </w:rPr>
        <w:lastRenderedPageBreak/>
        <w:drawing>
          <wp:inline distT="0" distB="0" distL="0" distR="0" wp14:anchorId="44DC6F88" wp14:editId="57AF99EF">
            <wp:extent cx="5760085" cy="5243774"/>
            <wp:effectExtent l="0" t="0" r="0" b="0"/>
            <wp:docPr id="6" name="Picture 6"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z_filter_weight_60km_site.tiff"/>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760085" cy="5243774"/>
                    </a:xfrm>
                    <a:prstGeom prst="rect">
                      <a:avLst/>
                    </a:prstGeom>
                    <a:ln>
                      <a:noFill/>
                    </a:ln>
                    <a:extLst>
                      <a:ext uri="{53640926-AAD7-44D8-BBD7-CCE9431645EC}">
                        <a14:shadowObscured xmlns:a14="http://schemas.microsoft.com/office/drawing/2010/main"/>
                      </a:ext>
                    </a:extLst>
                  </pic:spPr>
                </pic:pic>
              </a:graphicData>
            </a:graphic>
          </wp:inline>
        </w:drawing>
      </w:r>
    </w:p>
    <w:p w:rsidR="00A16FFB" w:rsidRPr="00D64444" w:rsidRDefault="009A4A24" w:rsidP="00D64444">
      <w:pPr>
        <w:pStyle w:val="Caption"/>
      </w:pPr>
      <w:bookmarkStart w:id="21" w:name="_Toc371577667"/>
      <w:r>
        <w:t xml:space="preserve">Figure </w:t>
      </w:r>
      <w:r w:rsidR="006220B6">
        <w:fldChar w:fldCharType="begin"/>
      </w:r>
      <w:r w:rsidR="006220B6">
        <w:instrText xml:space="preserve"> SEQ Figure \* ARABIC </w:instrText>
      </w:r>
      <w:r w:rsidR="006220B6">
        <w:fldChar w:fldCharType="separate"/>
      </w:r>
      <w:r w:rsidR="00552102">
        <w:rPr>
          <w:noProof/>
        </w:rPr>
        <w:t>5</w:t>
      </w:r>
      <w:r w:rsidR="006220B6">
        <w:rPr>
          <w:noProof/>
        </w:rPr>
        <w:fldChar w:fldCharType="end"/>
      </w:r>
      <w:r>
        <w:rPr>
          <w:noProof/>
        </w:rPr>
        <w:t xml:space="preserve"> </w:t>
      </w:r>
      <w:r w:rsidR="00A33B3C">
        <w:rPr>
          <w:noProof/>
        </w:rPr>
        <w:t>The</w:t>
      </w:r>
      <w:r w:rsidR="00CF4585">
        <w:rPr>
          <w:noProof/>
        </w:rPr>
        <w:t xml:space="preserve"> national</w:t>
      </w:r>
      <w:r w:rsidR="00A33B3C">
        <w:rPr>
          <w:noProof/>
        </w:rPr>
        <w:t xml:space="preserve"> hazard map </w:t>
      </w:r>
      <w:r w:rsidR="000E04FD">
        <w:rPr>
          <w:noProof/>
        </w:rPr>
        <w:t xml:space="preserve">with an </w:t>
      </w:r>
      <w:r w:rsidR="000E04FD" w:rsidRPr="00FF0C92">
        <w:rPr>
          <w:noProof/>
        </w:rPr>
        <w:t>annual probability of exceedence of 1/500</w:t>
      </w:r>
      <w:r w:rsidR="000E04FD">
        <w:rPr>
          <w:noProof/>
        </w:rPr>
        <w:t xml:space="preserve"> at</w:t>
      </w:r>
      <w:r w:rsidR="00A33B3C">
        <w:rPr>
          <w:noProof/>
        </w:rPr>
        <w:t xml:space="preserve"> a RSA of 0.0s (PGA)</w:t>
      </w:r>
      <w:r w:rsidR="009159B2">
        <w:rPr>
          <w:noProof/>
        </w:rPr>
        <w:t>. Ground motions were</w:t>
      </w:r>
      <w:r w:rsidR="00A33B3C">
        <w:rPr>
          <w:noProof/>
        </w:rPr>
        <w:t xml:space="preserve"> calculated out to 1</w:t>
      </w:r>
      <w:r w:rsidR="00A33B3C" w:rsidRPr="00AE1C43">
        <w:rPr>
          <w:noProof/>
        </w:rPr>
        <w:t>00km</w:t>
      </w:r>
      <w:r w:rsidR="0006022D">
        <w:rPr>
          <w:noProof/>
        </w:rPr>
        <w:t xml:space="preserve"> only</w:t>
      </w:r>
      <w:r w:rsidR="00AC2D3E">
        <w:rPr>
          <w:noProof/>
        </w:rPr>
        <w:t>.</w:t>
      </w:r>
      <w:r w:rsidR="004934BE">
        <w:rPr>
          <w:noProof/>
        </w:rPr>
        <w:t xml:space="preserve"> Th</w:t>
      </w:r>
      <w:r w:rsidR="004C56A9">
        <w:rPr>
          <w:noProof/>
        </w:rPr>
        <w:t xml:space="preserve">is is the map released in </w:t>
      </w:r>
      <w:r w:rsidR="004934BE">
        <w:rPr>
          <w:noProof/>
        </w:rPr>
        <w:t xml:space="preserve">Burbidge </w:t>
      </w:r>
      <w:r w:rsidR="004C56A9">
        <w:rPr>
          <w:noProof/>
        </w:rPr>
        <w:t>(</w:t>
      </w:r>
      <w:r w:rsidR="004934BE">
        <w:rPr>
          <w:noProof/>
        </w:rPr>
        <w:t>ed. 2012).</w:t>
      </w:r>
      <w:bookmarkEnd w:id="21"/>
    </w:p>
    <w:p w:rsidR="00A912B5" w:rsidRDefault="00A912B5" w:rsidP="00573851">
      <w:pPr>
        <w:pStyle w:val="Figuresandimagesleft0"/>
      </w:pPr>
      <w:r w:rsidRPr="005168A9">
        <w:rPr>
          <w:noProof/>
        </w:rPr>
        <w:lastRenderedPageBreak/>
        <w:drawing>
          <wp:inline distT="0" distB="0" distL="0" distR="0" wp14:anchorId="06B14463" wp14:editId="59994648">
            <wp:extent cx="5745026" cy="5142461"/>
            <wp:effectExtent l="0" t="0" r="8255" b="1270"/>
            <wp:docPr id="3" name="Picture 3"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g_hs_0.0s_500yr_180_30_60km.tiff"/>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745026" cy="5142461"/>
                    </a:xfrm>
                    <a:prstGeom prst="rect">
                      <a:avLst/>
                    </a:prstGeom>
                    <a:ln>
                      <a:noFill/>
                    </a:ln>
                    <a:extLst>
                      <a:ext uri="{53640926-AAD7-44D8-BBD7-CCE9431645EC}">
                        <a14:shadowObscured xmlns:a14="http://schemas.microsoft.com/office/drawing/2010/main"/>
                      </a:ext>
                    </a:extLst>
                  </pic:spPr>
                </pic:pic>
              </a:graphicData>
            </a:graphic>
          </wp:inline>
        </w:drawing>
      </w:r>
    </w:p>
    <w:p w:rsidR="009A4A24" w:rsidRPr="00D64444" w:rsidRDefault="009A4A24" w:rsidP="003D538D">
      <w:pPr>
        <w:pStyle w:val="Caption"/>
      </w:pPr>
      <w:bookmarkStart w:id="22" w:name="_Toc371577668"/>
      <w:r>
        <w:t xml:space="preserve">Figure </w:t>
      </w:r>
      <w:r w:rsidR="006220B6">
        <w:fldChar w:fldCharType="begin"/>
      </w:r>
      <w:r w:rsidR="006220B6">
        <w:instrText xml:space="preserve"> SEQ Figure \* ARABIC </w:instrText>
      </w:r>
      <w:r w:rsidR="006220B6">
        <w:fldChar w:fldCharType="separate"/>
      </w:r>
      <w:r w:rsidR="00552102">
        <w:rPr>
          <w:noProof/>
        </w:rPr>
        <w:t>6</w:t>
      </w:r>
      <w:r w:rsidR="006220B6">
        <w:rPr>
          <w:noProof/>
        </w:rPr>
        <w:fldChar w:fldCharType="end"/>
      </w:r>
      <w:r w:rsidRPr="00227D8F">
        <w:t xml:space="preserve"> </w:t>
      </w:r>
      <w:r w:rsidR="000E04FD">
        <w:rPr>
          <w:noProof/>
        </w:rPr>
        <w:t xml:space="preserve">The national hazard map with an </w:t>
      </w:r>
      <w:r w:rsidR="000E04FD" w:rsidRPr="00FF0C92">
        <w:rPr>
          <w:noProof/>
        </w:rPr>
        <w:t>annual probability of exceedence of 1/500</w:t>
      </w:r>
      <w:r w:rsidR="000E04FD">
        <w:rPr>
          <w:noProof/>
        </w:rPr>
        <w:t xml:space="preserve"> at a </w:t>
      </w:r>
      <w:r w:rsidR="008C45AC">
        <w:rPr>
          <w:noProof/>
        </w:rPr>
        <w:t>SA</w:t>
      </w:r>
      <w:r w:rsidR="000E04FD">
        <w:rPr>
          <w:noProof/>
        </w:rPr>
        <w:t xml:space="preserve"> of 0.0s (PGA)</w:t>
      </w:r>
      <w:r w:rsidR="009159B2">
        <w:rPr>
          <w:noProof/>
        </w:rPr>
        <w:t>. Ground motions were</w:t>
      </w:r>
      <w:r w:rsidR="000E04FD">
        <w:rPr>
          <w:noProof/>
        </w:rPr>
        <w:t xml:space="preserve"> calculated out to 6</w:t>
      </w:r>
      <w:r w:rsidR="000E04FD" w:rsidRPr="00AE1C43">
        <w:rPr>
          <w:noProof/>
        </w:rPr>
        <w:t>00km</w:t>
      </w:r>
      <w:r w:rsidR="000E04FD">
        <w:rPr>
          <w:noProof/>
        </w:rPr>
        <w:t>.</w:t>
      </w:r>
      <w:bookmarkEnd w:id="22"/>
    </w:p>
    <w:p w:rsidR="009A4A24" w:rsidRDefault="00A912B5" w:rsidP="00573851">
      <w:pPr>
        <w:pStyle w:val="Figuresandimagesleft0"/>
      </w:pPr>
      <w:r>
        <w:rPr>
          <w:noProof/>
        </w:rPr>
        <w:lastRenderedPageBreak/>
        <w:drawing>
          <wp:inline distT="0" distB="0" distL="0" distR="0" wp14:anchorId="682A1A76" wp14:editId="324606B2">
            <wp:extent cx="5760085" cy="5156200"/>
            <wp:effectExtent l="0" t="0" r="0" b="6350"/>
            <wp:docPr id="7" name="Picture 7"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g_hs_0.0s_2500yr_180_30_60km.tif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5156200"/>
                    </a:xfrm>
                    <a:prstGeom prst="rect">
                      <a:avLst/>
                    </a:prstGeom>
                  </pic:spPr>
                </pic:pic>
              </a:graphicData>
            </a:graphic>
          </wp:inline>
        </w:drawing>
      </w:r>
    </w:p>
    <w:p w:rsidR="009A4A24" w:rsidRDefault="009A4A24" w:rsidP="009A4A24">
      <w:pPr>
        <w:pStyle w:val="Caption"/>
        <w:rPr>
          <w:noProof/>
        </w:rPr>
      </w:pPr>
      <w:bookmarkStart w:id="23" w:name="_Toc371577669"/>
      <w:r>
        <w:t xml:space="preserve">Figure </w:t>
      </w:r>
      <w:r w:rsidR="006220B6">
        <w:fldChar w:fldCharType="begin"/>
      </w:r>
      <w:r w:rsidR="006220B6">
        <w:instrText xml:space="preserve"> SEQ Figure \* ARABIC </w:instrText>
      </w:r>
      <w:r w:rsidR="006220B6">
        <w:fldChar w:fldCharType="separate"/>
      </w:r>
      <w:r w:rsidR="00552102">
        <w:rPr>
          <w:noProof/>
        </w:rPr>
        <w:t>7</w:t>
      </w:r>
      <w:r w:rsidR="006220B6">
        <w:rPr>
          <w:noProof/>
        </w:rPr>
        <w:fldChar w:fldCharType="end"/>
      </w:r>
      <w:r>
        <w:t xml:space="preserve"> </w:t>
      </w:r>
      <w:r w:rsidR="000E04FD">
        <w:rPr>
          <w:noProof/>
        </w:rPr>
        <w:t xml:space="preserve">The national hazard map with an </w:t>
      </w:r>
      <w:r w:rsidR="000E04FD" w:rsidRPr="00FF0C92">
        <w:rPr>
          <w:noProof/>
        </w:rPr>
        <w:t>annual probability of exceedence of 1/2500</w:t>
      </w:r>
      <w:r w:rsidR="000E04FD">
        <w:rPr>
          <w:noProof/>
        </w:rPr>
        <w:t xml:space="preserve"> at a </w:t>
      </w:r>
      <w:r w:rsidR="008C45AC">
        <w:rPr>
          <w:noProof/>
        </w:rPr>
        <w:t>SA</w:t>
      </w:r>
      <w:r w:rsidR="000E04FD">
        <w:rPr>
          <w:noProof/>
        </w:rPr>
        <w:t xml:space="preserve"> of 0.0s</w:t>
      </w:r>
      <w:r w:rsidR="00094956">
        <w:rPr>
          <w:noProof/>
        </w:rPr>
        <w:t xml:space="preserve"> (PGA)</w:t>
      </w:r>
      <w:r w:rsidR="000E04FD">
        <w:rPr>
          <w:noProof/>
        </w:rPr>
        <w:t>.</w:t>
      </w:r>
      <w:bookmarkEnd w:id="23"/>
    </w:p>
    <w:p w:rsidR="00A912B5" w:rsidRPr="00A912B5" w:rsidRDefault="00A912B5" w:rsidP="00F53C13">
      <w:pPr>
        <w:pStyle w:val="Figuresandimagesleft0"/>
      </w:pPr>
      <w:r>
        <w:rPr>
          <w:noProof/>
        </w:rPr>
        <w:lastRenderedPageBreak/>
        <w:drawing>
          <wp:inline distT="0" distB="0" distL="0" distR="0" wp14:anchorId="437BAEBC" wp14:editId="7AEB347D">
            <wp:extent cx="5760085" cy="5156200"/>
            <wp:effectExtent l="0" t="0" r="0" b="6350"/>
            <wp:docPr id="10" name="Picture 10"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g_hs_0.3s_2500yr_180_30_60km.tif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5156200"/>
                    </a:xfrm>
                    <a:prstGeom prst="rect">
                      <a:avLst/>
                    </a:prstGeom>
                  </pic:spPr>
                </pic:pic>
              </a:graphicData>
            </a:graphic>
          </wp:inline>
        </w:drawing>
      </w:r>
    </w:p>
    <w:p w:rsidR="00A912B5" w:rsidRDefault="00A912B5" w:rsidP="00A33B3C">
      <w:pPr>
        <w:pStyle w:val="Caption"/>
        <w:rPr>
          <w:noProof/>
        </w:rPr>
      </w:pPr>
      <w:bookmarkStart w:id="24" w:name="_Toc371577670"/>
      <w:r>
        <w:t xml:space="preserve">Figure </w:t>
      </w:r>
      <w:r w:rsidR="006220B6">
        <w:fldChar w:fldCharType="begin"/>
      </w:r>
      <w:r w:rsidR="006220B6">
        <w:instrText xml:space="preserve"> SEQ Figure \* ARABIC </w:instrText>
      </w:r>
      <w:r w:rsidR="006220B6">
        <w:fldChar w:fldCharType="separate"/>
      </w:r>
      <w:r w:rsidR="00552102">
        <w:rPr>
          <w:noProof/>
        </w:rPr>
        <w:t>8</w:t>
      </w:r>
      <w:r w:rsidR="006220B6">
        <w:rPr>
          <w:noProof/>
        </w:rPr>
        <w:fldChar w:fldCharType="end"/>
      </w:r>
      <w:r>
        <w:t xml:space="preserve"> </w:t>
      </w:r>
      <w:r w:rsidR="000E04FD">
        <w:rPr>
          <w:noProof/>
        </w:rPr>
        <w:t xml:space="preserve">The national hazard map with an </w:t>
      </w:r>
      <w:r w:rsidR="000E04FD" w:rsidRPr="00FF0C92">
        <w:rPr>
          <w:noProof/>
        </w:rPr>
        <w:t>annual probability of exceedence of 1/2500</w:t>
      </w:r>
      <w:r w:rsidR="000E04FD">
        <w:rPr>
          <w:noProof/>
        </w:rPr>
        <w:t xml:space="preserve"> at a </w:t>
      </w:r>
      <w:r w:rsidR="008C45AC">
        <w:rPr>
          <w:noProof/>
        </w:rPr>
        <w:t>SA</w:t>
      </w:r>
      <w:r w:rsidR="000E04FD">
        <w:rPr>
          <w:noProof/>
        </w:rPr>
        <w:t xml:space="preserve"> of 0.3s.</w:t>
      </w:r>
      <w:bookmarkEnd w:id="24"/>
    </w:p>
    <w:p w:rsidR="00A912B5" w:rsidRPr="00A912B5" w:rsidRDefault="00A912B5" w:rsidP="00F53C13">
      <w:pPr>
        <w:pStyle w:val="Figuresandimagesleft0"/>
      </w:pPr>
      <w:r>
        <w:rPr>
          <w:noProof/>
        </w:rPr>
        <w:lastRenderedPageBreak/>
        <w:drawing>
          <wp:inline distT="0" distB="0" distL="0" distR="0" wp14:anchorId="2C49A994" wp14:editId="20FB6A82">
            <wp:extent cx="5760085" cy="5156200"/>
            <wp:effectExtent l="0" t="0" r="0" b="6350"/>
            <wp:docPr id="11" name="Picture 11"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g_hr_1.0s_2500yr_180_30_60km.tif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5156200"/>
                    </a:xfrm>
                    <a:prstGeom prst="rect">
                      <a:avLst/>
                    </a:prstGeom>
                  </pic:spPr>
                </pic:pic>
              </a:graphicData>
            </a:graphic>
          </wp:inline>
        </w:drawing>
      </w:r>
    </w:p>
    <w:p w:rsidR="00A912B5" w:rsidRDefault="00A912B5" w:rsidP="003D538D">
      <w:pPr>
        <w:pStyle w:val="Caption"/>
        <w:rPr>
          <w:noProof/>
        </w:rPr>
      </w:pPr>
      <w:bookmarkStart w:id="25" w:name="_Toc371577671"/>
      <w:r>
        <w:t xml:space="preserve">Figure </w:t>
      </w:r>
      <w:r w:rsidR="006220B6">
        <w:fldChar w:fldCharType="begin"/>
      </w:r>
      <w:r w:rsidR="006220B6">
        <w:instrText xml:space="preserve"> SEQ Figure \* ARABIC </w:instrText>
      </w:r>
      <w:r w:rsidR="006220B6">
        <w:fldChar w:fldCharType="separate"/>
      </w:r>
      <w:r w:rsidR="00552102">
        <w:rPr>
          <w:noProof/>
        </w:rPr>
        <w:t>9</w:t>
      </w:r>
      <w:r w:rsidR="006220B6">
        <w:rPr>
          <w:noProof/>
        </w:rPr>
        <w:fldChar w:fldCharType="end"/>
      </w:r>
      <w:r>
        <w:t xml:space="preserve"> </w:t>
      </w:r>
      <w:r w:rsidR="000E04FD">
        <w:rPr>
          <w:noProof/>
        </w:rPr>
        <w:t xml:space="preserve">The national hazard map with an </w:t>
      </w:r>
      <w:r w:rsidR="000E04FD" w:rsidRPr="00FF0C92">
        <w:rPr>
          <w:noProof/>
        </w:rPr>
        <w:t>annual probability of exceedence of 1/2500</w:t>
      </w:r>
      <w:r w:rsidR="000E04FD">
        <w:rPr>
          <w:noProof/>
        </w:rPr>
        <w:t xml:space="preserve"> at a </w:t>
      </w:r>
      <w:r w:rsidR="008C45AC">
        <w:rPr>
          <w:noProof/>
        </w:rPr>
        <w:t>SA</w:t>
      </w:r>
      <w:r w:rsidR="000E04FD">
        <w:rPr>
          <w:noProof/>
        </w:rPr>
        <w:t xml:space="preserve"> of 1.0s.</w:t>
      </w:r>
      <w:bookmarkEnd w:id="25"/>
    </w:p>
    <w:p w:rsidR="00A912B5" w:rsidRPr="00A912B5" w:rsidRDefault="00A912B5" w:rsidP="00F53C13">
      <w:pPr>
        <w:pStyle w:val="Figuresandimagesleft0"/>
      </w:pPr>
      <w:r>
        <w:rPr>
          <w:noProof/>
        </w:rPr>
        <w:lastRenderedPageBreak/>
        <w:drawing>
          <wp:inline distT="0" distB="0" distL="0" distR="0" wp14:anchorId="6831CB99" wp14:editId="595CACA2">
            <wp:extent cx="5760085" cy="5156200"/>
            <wp:effectExtent l="0" t="0" r="0" b="6350"/>
            <wp:docPr id="12" name="Picture 12"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g_hr_1.0s_10000yr_180_30_60km.tif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5156200"/>
                    </a:xfrm>
                    <a:prstGeom prst="rect">
                      <a:avLst/>
                    </a:prstGeom>
                  </pic:spPr>
                </pic:pic>
              </a:graphicData>
            </a:graphic>
          </wp:inline>
        </w:drawing>
      </w:r>
    </w:p>
    <w:p w:rsidR="00A912B5" w:rsidRDefault="00A912B5" w:rsidP="00A912B5">
      <w:pPr>
        <w:pStyle w:val="Caption"/>
        <w:rPr>
          <w:noProof/>
        </w:rPr>
      </w:pPr>
      <w:bookmarkStart w:id="26" w:name="_Toc371577672"/>
      <w:r>
        <w:t xml:space="preserve">Figure </w:t>
      </w:r>
      <w:r w:rsidR="006220B6">
        <w:fldChar w:fldCharType="begin"/>
      </w:r>
      <w:r w:rsidR="006220B6">
        <w:instrText xml:space="preserve"> SEQ Figure \* ARABIC </w:instrText>
      </w:r>
      <w:r w:rsidR="006220B6">
        <w:fldChar w:fldCharType="separate"/>
      </w:r>
      <w:r w:rsidR="00552102">
        <w:rPr>
          <w:noProof/>
        </w:rPr>
        <w:t>10</w:t>
      </w:r>
      <w:r w:rsidR="006220B6">
        <w:rPr>
          <w:noProof/>
        </w:rPr>
        <w:fldChar w:fldCharType="end"/>
      </w:r>
      <w:r w:rsidR="00A33B3C">
        <w:rPr>
          <w:noProof/>
        </w:rPr>
        <w:t xml:space="preserve"> </w:t>
      </w:r>
      <w:r w:rsidR="000E04FD">
        <w:rPr>
          <w:noProof/>
        </w:rPr>
        <w:t xml:space="preserve">The national hazard map with an </w:t>
      </w:r>
      <w:r w:rsidR="000E04FD" w:rsidRPr="00FF0C92">
        <w:rPr>
          <w:noProof/>
        </w:rPr>
        <w:t>annual probability of exceedence of 1/10000</w:t>
      </w:r>
      <w:r w:rsidR="000E04FD">
        <w:rPr>
          <w:noProof/>
        </w:rPr>
        <w:t xml:space="preserve"> at a </w:t>
      </w:r>
      <w:r w:rsidR="008C45AC">
        <w:rPr>
          <w:noProof/>
        </w:rPr>
        <w:t>SA</w:t>
      </w:r>
      <w:r w:rsidR="000E04FD">
        <w:rPr>
          <w:noProof/>
        </w:rPr>
        <w:t xml:space="preserve"> of 1.0s.</w:t>
      </w:r>
      <w:bookmarkEnd w:id="26"/>
    </w:p>
    <w:p w:rsidR="00A912B5" w:rsidRDefault="00A912B5" w:rsidP="00A912B5">
      <w:pPr>
        <w:pStyle w:val="Heading1"/>
      </w:pPr>
      <w:bookmarkStart w:id="27" w:name="_Toc371577702"/>
      <w:r>
        <w:lastRenderedPageBreak/>
        <w:t xml:space="preserve">Regional </w:t>
      </w:r>
      <w:r w:rsidR="00F474CB">
        <w:t xml:space="preserve">Seismic Hazard </w:t>
      </w:r>
      <w:r>
        <w:t>Maps</w:t>
      </w:r>
      <w:bookmarkEnd w:id="27"/>
    </w:p>
    <w:p w:rsidR="008872C4" w:rsidRDefault="00C32F92" w:rsidP="008872C4">
      <w:pPr>
        <w:pStyle w:val="BodyText"/>
      </w:pPr>
      <w:r w:rsidRPr="00717638">
        <w:rPr>
          <w:rStyle w:val="Hyperlink"/>
        </w:rPr>
        <w:t>Figures 11</w:t>
      </w:r>
      <w:r>
        <w:t xml:space="preserve"> to </w:t>
      </w:r>
      <w:r w:rsidRPr="00717638">
        <w:rPr>
          <w:rStyle w:val="Hyperlink"/>
        </w:rPr>
        <w:t>2</w:t>
      </w:r>
      <w:r w:rsidR="00C948D7" w:rsidRPr="00717638">
        <w:rPr>
          <w:rStyle w:val="Hyperlink"/>
        </w:rPr>
        <w:t>0</w:t>
      </w:r>
      <w:r w:rsidR="00C948D7">
        <w:t xml:space="preserve"> show the PGA hazard maps for</w:t>
      </w:r>
      <w:r>
        <w:t xml:space="preserve"> recurrence </w:t>
      </w:r>
      <w:r w:rsidR="00810867">
        <w:t>interval</w:t>
      </w:r>
      <w:r w:rsidR="004934BE">
        <w:t>s</w:t>
      </w:r>
      <w:r w:rsidR="00C948D7">
        <w:t xml:space="preserve"> of 500 and 2500 years on a region by region</w:t>
      </w:r>
      <w:r>
        <w:t xml:space="preserve"> basis. Also shown on each map are the cities and towns listed in Table </w:t>
      </w:r>
      <w:r w:rsidR="004C56A9">
        <w:t>3.2</w:t>
      </w:r>
      <w:r w:rsidR="0006022D">
        <w:t xml:space="preserve"> of AS</w:t>
      </w:r>
      <w:r>
        <w:t>1170.4.</w:t>
      </w:r>
    </w:p>
    <w:p w:rsidR="00C32F92" w:rsidRPr="00C32F92" w:rsidRDefault="00D92106" w:rsidP="000C2DCE">
      <w:pPr>
        <w:pStyle w:val="FiguresandImagescentred"/>
      </w:pPr>
      <w:r>
        <w:rPr>
          <w:noProof/>
        </w:rPr>
        <w:drawing>
          <wp:inline distT="0" distB="0" distL="0" distR="0" wp14:anchorId="5357ACF3" wp14:editId="6592C7E8">
            <wp:extent cx="5449824" cy="5590032"/>
            <wp:effectExtent l="0" t="0" r="0" b="0"/>
            <wp:docPr id="1" name="Picture 1"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LD_avg_hs_0.0s_500yr_180_30_60km.tif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49824" cy="5590032"/>
                    </a:xfrm>
                    <a:prstGeom prst="rect">
                      <a:avLst/>
                    </a:prstGeom>
                  </pic:spPr>
                </pic:pic>
              </a:graphicData>
            </a:graphic>
          </wp:inline>
        </w:drawing>
      </w:r>
    </w:p>
    <w:p w:rsidR="00A912B5" w:rsidRPr="00FF0C92" w:rsidRDefault="00BC06C4" w:rsidP="00BC06C4">
      <w:pPr>
        <w:pStyle w:val="Caption"/>
      </w:pPr>
      <w:bookmarkStart w:id="28" w:name="_Toc371577673"/>
      <w:r>
        <w:t xml:space="preserve">Figure </w:t>
      </w:r>
      <w:r w:rsidR="006220B6">
        <w:fldChar w:fldCharType="begin"/>
      </w:r>
      <w:r w:rsidR="006220B6">
        <w:instrText xml:space="preserve"> SEQ Figure \* ARABIC </w:instrText>
      </w:r>
      <w:r w:rsidR="006220B6">
        <w:fldChar w:fldCharType="separate"/>
      </w:r>
      <w:r w:rsidR="00552102">
        <w:rPr>
          <w:noProof/>
        </w:rPr>
        <w:t>11</w:t>
      </w:r>
      <w:r w:rsidR="006220B6">
        <w:rPr>
          <w:noProof/>
        </w:rPr>
        <w:fldChar w:fldCharType="end"/>
      </w:r>
      <w:r w:rsidRPr="00FF0C92">
        <w:t xml:space="preserve"> The hazard map of Queensland </w:t>
      </w:r>
      <w:r w:rsidR="00FF0C92" w:rsidRPr="00FF0C92">
        <w:t xml:space="preserve">with an annual probability of </w:t>
      </w:r>
      <w:proofErr w:type="spellStart"/>
      <w:r w:rsidR="00FF0C92" w:rsidRPr="00FF0C92">
        <w:t>exceedence</w:t>
      </w:r>
      <w:proofErr w:type="spellEnd"/>
      <w:r w:rsidR="00FF0C92" w:rsidRPr="00FF0C92">
        <w:t xml:space="preserve"> of 1/500 at </w:t>
      </w:r>
      <w:r w:rsidRPr="00FF0C92">
        <w:t xml:space="preserve">a </w:t>
      </w:r>
      <w:r w:rsidR="008C45AC">
        <w:t>SA</w:t>
      </w:r>
      <w:r w:rsidRPr="00FF0C92">
        <w:t xml:space="preserve"> </w:t>
      </w:r>
      <w:r w:rsidR="00FF0C92" w:rsidRPr="00FF0C92">
        <w:t xml:space="preserve">period </w:t>
      </w:r>
      <w:r w:rsidRPr="00FF0C92">
        <w:t>of 0.0s (PGA)</w:t>
      </w:r>
      <w:r w:rsidR="00C948D7">
        <w:t>.</w:t>
      </w:r>
      <w:bookmarkEnd w:id="28"/>
    </w:p>
    <w:p w:rsidR="00A912B5" w:rsidRDefault="00D92106" w:rsidP="00573851">
      <w:pPr>
        <w:pStyle w:val="FiguresandImagescentred"/>
      </w:pPr>
      <w:r>
        <w:rPr>
          <w:noProof/>
        </w:rPr>
        <w:lastRenderedPageBreak/>
        <w:drawing>
          <wp:inline distT="0" distB="0" distL="0" distR="0" wp14:anchorId="4B0C031F" wp14:editId="26E08F0F">
            <wp:extent cx="5449824" cy="5590032"/>
            <wp:effectExtent l="0" t="0" r="0" b="0"/>
            <wp:docPr id="713741" name="Picture 713741"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LD_avg_hs_0.0s_2500yr_180_30_60km.tif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49824" cy="5590032"/>
                    </a:xfrm>
                    <a:prstGeom prst="rect">
                      <a:avLst/>
                    </a:prstGeom>
                  </pic:spPr>
                </pic:pic>
              </a:graphicData>
            </a:graphic>
          </wp:inline>
        </w:drawing>
      </w:r>
    </w:p>
    <w:p w:rsidR="00D92106" w:rsidRDefault="00BC06C4" w:rsidP="003D538D">
      <w:pPr>
        <w:pStyle w:val="Caption"/>
      </w:pPr>
      <w:bookmarkStart w:id="29" w:name="_Toc371577674"/>
      <w:r>
        <w:t xml:space="preserve">Figure </w:t>
      </w:r>
      <w:r w:rsidR="006220B6">
        <w:fldChar w:fldCharType="begin"/>
      </w:r>
      <w:r w:rsidR="006220B6">
        <w:instrText xml:space="preserve"> SEQ Figure \* ARABIC </w:instrText>
      </w:r>
      <w:r w:rsidR="006220B6">
        <w:fldChar w:fldCharType="separate"/>
      </w:r>
      <w:r w:rsidR="00552102">
        <w:rPr>
          <w:noProof/>
        </w:rPr>
        <w:t>12</w:t>
      </w:r>
      <w:r w:rsidR="006220B6">
        <w:rPr>
          <w:noProof/>
        </w:rPr>
        <w:fldChar w:fldCharType="end"/>
      </w:r>
      <w:r w:rsidR="00BF596F">
        <w:rPr>
          <w:noProof/>
        </w:rPr>
        <w:t xml:space="preserve"> </w:t>
      </w:r>
      <w:r w:rsidRPr="00FA58F5">
        <w:t xml:space="preserve">The hazard map of Queensland </w:t>
      </w:r>
      <w:r w:rsidR="00FF0C92">
        <w:t xml:space="preserve">with an </w:t>
      </w:r>
      <w:r w:rsidR="00FF0C92" w:rsidRPr="00FF0C92">
        <w:t xml:space="preserve">annual probability of </w:t>
      </w:r>
      <w:proofErr w:type="spellStart"/>
      <w:r w:rsidR="00FF0C92" w:rsidRPr="00FF0C92">
        <w:t>exceedence</w:t>
      </w:r>
      <w:proofErr w:type="spellEnd"/>
      <w:r w:rsidR="00FF0C92" w:rsidRPr="00FF0C92">
        <w:t xml:space="preserve"> of 1/2500</w:t>
      </w:r>
      <w:r w:rsidR="00FF0C92">
        <w:t xml:space="preserve"> at </w:t>
      </w:r>
      <w:r w:rsidR="00FF0C92" w:rsidRPr="009720EB">
        <w:t xml:space="preserve">a </w:t>
      </w:r>
      <w:r w:rsidR="008C45AC">
        <w:t>SA</w:t>
      </w:r>
      <w:r w:rsidR="00FF0C92" w:rsidRPr="009720EB">
        <w:t xml:space="preserve"> </w:t>
      </w:r>
      <w:r w:rsidR="00FF0C92">
        <w:t>period</w:t>
      </w:r>
      <w:r w:rsidRPr="00FA58F5">
        <w:t xml:space="preserve"> of 0.0s (PGA)</w:t>
      </w:r>
      <w:r w:rsidR="00C948D7">
        <w:t>.</w:t>
      </w:r>
      <w:bookmarkEnd w:id="29"/>
    </w:p>
    <w:p w:rsidR="00A912B5" w:rsidRDefault="00D92106" w:rsidP="00573851">
      <w:pPr>
        <w:pStyle w:val="Figuresandimagesleft0"/>
      </w:pPr>
      <w:r>
        <w:rPr>
          <w:noProof/>
        </w:rPr>
        <w:lastRenderedPageBreak/>
        <w:drawing>
          <wp:inline distT="0" distB="0" distL="0" distR="0" wp14:anchorId="0FDD0147" wp14:editId="2C86B791">
            <wp:extent cx="5449824" cy="6129528"/>
            <wp:effectExtent l="0" t="0" r="0" b="5080"/>
            <wp:docPr id="713751" name="Picture 713751"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_avg_hs_0.0s_500yr_180_30_60km.tif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49824" cy="6129528"/>
                    </a:xfrm>
                    <a:prstGeom prst="rect">
                      <a:avLst/>
                    </a:prstGeom>
                  </pic:spPr>
                </pic:pic>
              </a:graphicData>
            </a:graphic>
          </wp:inline>
        </w:drawing>
      </w:r>
    </w:p>
    <w:p w:rsidR="000C2DCE" w:rsidRDefault="00BC06C4" w:rsidP="003D538D">
      <w:pPr>
        <w:pStyle w:val="Caption"/>
      </w:pPr>
      <w:bookmarkStart w:id="30" w:name="_Toc371577675"/>
      <w:r>
        <w:t xml:space="preserve">Figure </w:t>
      </w:r>
      <w:r w:rsidR="006220B6">
        <w:fldChar w:fldCharType="begin"/>
      </w:r>
      <w:r w:rsidR="006220B6">
        <w:instrText xml:space="preserve"> SEQ Figure \* ARABIC </w:instrText>
      </w:r>
      <w:r w:rsidR="006220B6">
        <w:fldChar w:fldCharType="separate"/>
      </w:r>
      <w:r w:rsidR="00552102">
        <w:rPr>
          <w:noProof/>
        </w:rPr>
        <w:t>13</w:t>
      </w:r>
      <w:r w:rsidR="006220B6">
        <w:rPr>
          <w:noProof/>
        </w:rPr>
        <w:fldChar w:fldCharType="end"/>
      </w:r>
      <w:r>
        <w:t xml:space="preserve"> The hazard map of NSW, Victoria and Tasmania</w:t>
      </w:r>
      <w:r w:rsidRPr="00AC6569">
        <w:t xml:space="preserve"> </w:t>
      </w:r>
      <w:r w:rsidR="00FF0C92">
        <w:t xml:space="preserve">with an </w:t>
      </w:r>
      <w:r w:rsidR="00FF0C92" w:rsidRPr="00FF0C92">
        <w:t xml:space="preserve">annual probability of </w:t>
      </w:r>
      <w:proofErr w:type="spellStart"/>
      <w:r w:rsidR="00FF0C92" w:rsidRPr="00FF0C92">
        <w:t>exceedence</w:t>
      </w:r>
      <w:proofErr w:type="spellEnd"/>
      <w:r w:rsidR="00FF0C92" w:rsidRPr="00FF0C92">
        <w:t xml:space="preserve"> of 1/500</w:t>
      </w:r>
      <w:r w:rsidR="00FF0C92">
        <w:t xml:space="preserve"> at </w:t>
      </w:r>
      <w:r w:rsidR="00FF0C92" w:rsidRPr="009720EB">
        <w:t xml:space="preserve">a </w:t>
      </w:r>
      <w:r w:rsidR="008C45AC">
        <w:t>SA</w:t>
      </w:r>
      <w:r w:rsidR="00FF0C92" w:rsidRPr="009720EB">
        <w:t xml:space="preserve"> </w:t>
      </w:r>
      <w:r w:rsidR="00FF0C92">
        <w:t xml:space="preserve">period </w:t>
      </w:r>
      <w:r w:rsidR="00FF0C92" w:rsidRPr="009720EB">
        <w:t>of</w:t>
      </w:r>
      <w:r w:rsidR="00FF0C92" w:rsidRPr="00AC6569">
        <w:t xml:space="preserve"> </w:t>
      </w:r>
      <w:r w:rsidRPr="00AC6569">
        <w:t>0.0s (PGA)</w:t>
      </w:r>
      <w:r w:rsidR="00C948D7">
        <w:t>.</w:t>
      </w:r>
      <w:bookmarkEnd w:id="30"/>
    </w:p>
    <w:p w:rsidR="00D92106" w:rsidRDefault="00D92106" w:rsidP="00573851">
      <w:pPr>
        <w:pStyle w:val="Figuresandimagesleft0"/>
      </w:pPr>
      <w:r>
        <w:rPr>
          <w:noProof/>
        </w:rPr>
        <w:lastRenderedPageBreak/>
        <w:drawing>
          <wp:inline distT="0" distB="0" distL="0" distR="0" wp14:anchorId="473D070C" wp14:editId="0B443B3E">
            <wp:extent cx="5449824" cy="6129528"/>
            <wp:effectExtent l="0" t="0" r="0" b="5080"/>
            <wp:docPr id="713753" name="Picture 713753"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_avg_hs_0.0s_2500yr_180_30_60km.tif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49824" cy="6129528"/>
                    </a:xfrm>
                    <a:prstGeom prst="rect">
                      <a:avLst/>
                    </a:prstGeom>
                  </pic:spPr>
                </pic:pic>
              </a:graphicData>
            </a:graphic>
          </wp:inline>
        </w:drawing>
      </w:r>
    </w:p>
    <w:p w:rsidR="000C2DCE" w:rsidRDefault="00BC06C4" w:rsidP="00BC06C4">
      <w:pPr>
        <w:pStyle w:val="Caption"/>
      </w:pPr>
      <w:bookmarkStart w:id="31" w:name="_Toc371577676"/>
      <w:r>
        <w:t xml:space="preserve">Figure </w:t>
      </w:r>
      <w:r w:rsidR="006220B6">
        <w:fldChar w:fldCharType="begin"/>
      </w:r>
      <w:r w:rsidR="006220B6">
        <w:instrText xml:space="preserve"> SEQ Figure \* ARABIC </w:instrText>
      </w:r>
      <w:r w:rsidR="006220B6">
        <w:fldChar w:fldCharType="separate"/>
      </w:r>
      <w:r w:rsidR="00552102">
        <w:rPr>
          <w:noProof/>
        </w:rPr>
        <w:t>14</w:t>
      </w:r>
      <w:r w:rsidR="006220B6">
        <w:rPr>
          <w:noProof/>
        </w:rPr>
        <w:fldChar w:fldCharType="end"/>
      </w:r>
      <w:r>
        <w:t xml:space="preserve"> </w:t>
      </w:r>
      <w:r w:rsidRPr="00654841">
        <w:t xml:space="preserve">The hazard map of NSW, Victoria and Tasmania </w:t>
      </w:r>
      <w:r w:rsidR="00FF0C92">
        <w:t xml:space="preserve">with an </w:t>
      </w:r>
      <w:r w:rsidR="00FF0C92" w:rsidRPr="00FF0C92">
        <w:t xml:space="preserve">annual probability of </w:t>
      </w:r>
      <w:proofErr w:type="spellStart"/>
      <w:r w:rsidR="00FF0C92" w:rsidRPr="00FF0C92">
        <w:t>exceedence</w:t>
      </w:r>
      <w:proofErr w:type="spellEnd"/>
      <w:r w:rsidR="00FF0C92" w:rsidRPr="00FF0C92">
        <w:t xml:space="preserve"> of 1/2500</w:t>
      </w:r>
      <w:r w:rsidR="00FF0C92">
        <w:t xml:space="preserve"> at </w:t>
      </w:r>
      <w:r w:rsidR="00FF0C92" w:rsidRPr="009720EB">
        <w:t xml:space="preserve">a </w:t>
      </w:r>
      <w:r w:rsidR="008C45AC">
        <w:t>SA</w:t>
      </w:r>
      <w:r w:rsidR="00FF0C92" w:rsidRPr="009720EB">
        <w:t xml:space="preserve"> </w:t>
      </w:r>
      <w:r w:rsidR="00FF0C92">
        <w:t xml:space="preserve">period </w:t>
      </w:r>
      <w:r w:rsidR="00FF0C92" w:rsidRPr="009720EB">
        <w:t>of</w:t>
      </w:r>
      <w:r w:rsidR="00FF0C92" w:rsidRPr="00654841">
        <w:t xml:space="preserve"> </w:t>
      </w:r>
      <w:r w:rsidRPr="00654841">
        <w:t>0.0s (PGA)</w:t>
      </w:r>
      <w:r w:rsidR="00C948D7">
        <w:t>.</w:t>
      </w:r>
      <w:bookmarkEnd w:id="31"/>
    </w:p>
    <w:p w:rsidR="00A912B5" w:rsidRDefault="00A912B5" w:rsidP="00573851">
      <w:pPr>
        <w:pStyle w:val="Figuresandimagesleft0"/>
      </w:pPr>
      <w:r>
        <w:rPr>
          <w:noProof/>
        </w:rPr>
        <w:lastRenderedPageBreak/>
        <w:drawing>
          <wp:inline distT="0" distB="0" distL="0" distR="0" wp14:anchorId="53A171DE" wp14:editId="739A4243">
            <wp:extent cx="5760085" cy="5394960"/>
            <wp:effectExtent l="0" t="0" r="0" b="0"/>
            <wp:docPr id="17" name="Picture 17"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avg_hs_0.0s_500yr_180_30_60km.tif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085" cy="5394960"/>
                    </a:xfrm>
                    <a:prstGeom prst="rect">
                      <a:avLst/>
                    </a:prstGeom>
                  </pic:spPr>
                </pic:pic>
              </a:graphicData>
            </a:graphic>
          </wp:inline>
        </w:drawing>
      </w:r>
    </w:p>
    <w:p w:rsidR="000C2DCE" w:rsidRDefault="00BC06C4" w:rsidP="00BC06C4">
      <w:pPr>
        <w:pStyle w:val="Caption"/>
      </w:pPr>
      <w:bookmarkStart w:id="32" w:name="_Toc371577677"/>
      <w:r>
        <w:t xml:space="preserve">Figure </w:t>
      </w:r>
      <w:r w:rsidR="006220B6">
        <w:fldChar w:fldCharType="begin"/>
      </w:r>
      <w:r w:rsidR="006220B6">
        <w:instrText xml:space="preserve"> SEQ Figure \* ARABIC </w:instrText>
      </w:r>
      <w:r w:rsidR="006220B6">
        <w:fldChar w:fldCharType="separate"/>
      </w:r>
      <w:r w:rsidR="00552102">
        <w:rPr>
          <w:noProof/>
        </w:rPr>
        <w:t>15</w:t>
      </w:r>
      <w:r w:rsidR="006220B6">
        <w:rPr>
          <w:noProof/>
        </w:rPr>
        <w:fldChar w:fldCharType="end"/>
      </w:r>
      <w:r>
        <w:t xml:space="preserve"> </w:t>
      </w:r>
      <w:r w:rsidRPr="00B213E9">
        <w:t>The hazard m</w:t>
      </w:r>
      <w:r>
        <w:t xml:space="preserve">ap of South Australia </w:t>
      </w:r>
      <w:r w:rsidR="00FF0C92">
        <w:t xml:space="preserve">with an </w:t>
      </w:r>
      <w:r w:rsidR="00FF0C92" w:rsidRPr="00FF0C92">
        <w:t xml:space="preserve">annual probability of </w:t>
      </w:r>
      <w:proofErr w:type="spellStart"/>
      <w:r w:rsidR="00FF0C92" w:rsidRPr="00FF0C92">
        <w:t>exceedence</w:t>
      </w:r>
      <w:proofErr w:type="spellEnd"/>
      <w:r w:rsidR="00FF0C92" w:rsidRPr="00FF0C92">
        <w:t xml:space="preserve"> of 1/500</w:t>
      </w:r>
      <w:r w:rsidR="00FF0C92">
        <w:t xml:space="preserve"> at </w:t>
      </w:r>
      <w:r w:rsidR="00FF0C92" w:rsidRPr="009720EB">
        <w:t xml:space="preserve">a </w:t>
      </w:r>
      <w:r w:rsidR="008C45AC">
        <w:t>SA</w:t>
      </w:r>
      <w:r w:rsidR="00FF0C92" w:rsidRPr="009720EB">
        <w:t xml:space="preserve"> </w:t>
      </w:r>
      <w:r w:rsidR="00FF0C92">
        <w:t xml:space="preserve">period </w:t>
      </w:r>
      <w:r w:rsidR="00FF0C92" w:rsidRPr="009720EB">
        <w:t>of</w:t>
      </w:r>
      <w:r w:rsidR="00FF0C92" w:rsidRPr="00B213E9">
        <w:t xml:space="preserve"> </w:t>
      </w:r>
      <w:r w:rsidRPr="00B213E9">
        <w:t>0.0s (PGA)</w:t>
      </w:r>
      <w:r w:rsidR="00C948D7">
        <w:t>.</w:t>
      </w:r>
      <w:bookmarkEnd w:id="32"/>
    </w:p>
    <w:p w:rsidR="00A912B5" w:rsidRDefault="00A912B5" w:rsidP="00573851">
      <w:pPr>
        <w:pStyle w:val="Figuresandimagesleft0"/>
      </w:pPr>
      <w:r>
        <w:rPr>
          <w:noProof/>
        </w:rPr>
        <w:lastRenderedPageBreak/>
        <w:drawing>
          <wp:inline distT="0" distB="0" distL="0" distR="0" wp14:anchorId="7FED04C3" wp14:editId="42DCB9C8">
            <wp:extent cx="5760085" cy="5394960"/>
            <wp:effectExtent l="0" t="0" r="0" b="0"/>
            <wp:docPr id="18" name="Picture 18"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avg_hs_0.0s_2500yr_180_30_60km.tif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085" cy="5394960"/>
                    </a:xfrm>
                    <a:prstGeom prst="rect">
                      <a:avLst/>
                    </a:prstGeom>
                  </pic:spPr>
                </pic:pic>
              </a:graphicData>
            </a:graphic>
          </wp:inline>
        </w:drawing>
      </w:r>
    </w:p>
    <w:p w:rsidR="000C2DCE" w:rsidRDefault="00BC06C4" w:rsidP="00BC06C4">
      <w:pPr>
        <w:pStyle w:val="Caption"/>
      </w:pPr>
      <w:bookmarkStart w:id="33" w:name="_Toc371577678"/>
      <w:r>
        <w:t xml:space="preserve">Figure </w:t>
      </w:r>
      <w:r w:rsidR="006220B6">
        <w:fldChar w:fldCharType="begin"/>
      </w:r>
      <w:r w:rsidR="006220B6">
        <w:instrText xml:space="preserve"> SEQ Figure \* ARABIC </w:instrText>
      </w:r>
      <w:r w:rsidR="006220B6">
        <w:fldChar w:fldCharType="separate"/>
      </w:r>
      <w:r w:rsidR="00552102">
        <w:rPr>
          <w:noProof/>
        </w:rPr>
        <w:t>16</w:t>
      </w:r>
      <w:r w:rsidR="006220B6">
        <w:rPr>
          <w:noProof/>
        </w:rPr>
        <w:fldChar w:fldCharType="end"/>
      </w:r>
      <w:r>
        <w:t xml:space="preserve"> </w:t>
      </w:r>
      <w:r w:rsidRPr="00D12125">
        <w:t xml:space="preserve">The hazard map of South Australia </w:t>
      </w:r>
      <w:r w:rsidR="00FF0C92">
        <w:t xml:space="preserve">with an </w:t>
      </w:r>
      <w:r w:rsidR="00FF0C92" w:rsidRPr="00FF0C92">
        <w:t xml:space="preserve">annual probability of </w:t>
      </w:r>
      <w:proofErr w:type="spellStart"/>
      <w:r w:rsidR="00FF0C92" w:rsidRPr="00FF0C92">
        <w:t>exceedence</w:t>
      </w:r>
      <w:proofErr w:type="spellEnd"/>
      <w:r w:rsidR="00FF0C92" w:rsidRPr="00FF0C92">
        <w:t xml:space="preserve"> of 1/2500</w:t>
      </w:r>
      <w:r w:rsidR="00FF0C92">
        <w:t xml:space="preserve"> at </w:t>
      </w:r>
      <w:r w:rsidR="00FF0C92" w:rsidRPr="009720EB">
        <w:t xml:space="preserve">a </w:t>
      </w:r>
      <w:r w:rsidR="008C45AC">
        <w:t>SA</w:t>
      </w:r>
      <w:r w:rsidR="00FF0C92" w:rsidRPr="009720EB">
        <w:t xml:space="preserve"> </w:t>
      </w:r>
      <w:r w:rsidR="00FF0C92">
        <w:t xml:space="preserve">period </w:t>
      </w:r>
      <w:r w:rsidR="00FF0C92" w:rsidRPr="009720EB">
        <w:t>of</w:t>
      </w:r>
      <w:r w:rsidR="00FF0C92" w:rsidRPr="00D12125">
        <w:t xml:space="preserve"> </w:t>
      </w:r>
      <w:r w:rsidRPr="00D12125">
        <w:t>0.0s (PGA)</w:t>
      </w:r>
      <w:r w:rsidR="00C948D7">
        <w:t>.</w:t>
      </w:r>
      <w:bookmarkEnd w:id="33"/>
    </w:p>
    <w:p w:rsidR="00A912B5" w:rsidRDefault="00E4468F" w:rsidP="00573851">
      <w:pPr>
        <w:pStyle w:val="Figuresandimagesleft0"/>
      </w:pPr>
      <w:r>
        <w:rPr>
          <w:noProof/>
        </w:rPr>
        <w:lastRenderedPageBreak/>
        <w:drawing>
          <wp:inline distT="0" distB="0" distL="0" distR="0" wp14:anchorId="28CFFAC2" wp14:editId="4DD3BACB">
            <wp:extent cx="5269992" cy="6327648"/>
            <wp:effectExtent l="0" t="0" r="6985" b="0"/>
            <wp:docPr id="713772" name="Picture 713772"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_avg_hs_0.0s_500yr_180_30_60km.tif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69992" cy="6327648"/>
                    </a:xfrm>
                    <a:prstGeom prst="rect">
                      <a:avLst/>
                    </a:prstGeom>
                  </pic:spPr>
                </pic:pic>
              </a:graphicData>
            </a:graphic>
          </wp:inline>
        </w:drawing>
      </w:r>
    </w:p>
    <w:p w:rsidR="000C2DCE" w:rsidRDefault="00BC06C4" w:rsidP="00BC06C4">
      <w:pPr>
        <w:pStyle w:val="Caption"/>
      </w:pPr>
      <w:bookmarkStart w:id="34" w:name="_Toc371577679"/>
      <w:r>
        <w:t xml:space="preserve">Figure </w:t>
      </w:r>
      <w:r w:rsidR="006220B6">
        <w:fldChar w:fldCharType="begin"/>
      </w:r>
      <w:r w:rsidR="006220B6">
        <w:instrText xml:space="preserve"> SEQ Figure \* ARABIC </w:instrText>
      </w:r>
      <w:r w:rsidR="006220B6">
        <w:fldChar w:fldCharType="separate"/>
      </w:r>
      <w:r w:rsidR="00552102">
        <w:rPr>
          <w:noProof/>
        </w:rPr>
        <w:t>17</w:t>
      </w:r>
      <w:r w:rsidR="006220B6">
        <w:rPr>
          <w:noProof/>
        </w:rPr>
        <w:fldChar w:fldCharType="end"/>
      </w:r>
      <w:r>
        <w:t xml:space="preserve"> The hazard map of Western</w:t>
      </w:r>
      <w:r w:rsidRPr="00FF4D4F">
        <w:t xml:space="preserve"> Au</w:t>
      </w:r>
      <w:r>
        <w:t xml:space="preserve">stralia </w:t>
      </w:r>
      <w:r w:rsidR="00FF0C92">
        <w:t xml:space="preserve">with an </w:t>
      </w:r>
      <w:r w:rsidR="00FF0C92" w:rsidRPr="00FF0C92">
        <w:t xml:space="preserve">annual probability of </w:t>
      </w:r>
      <w:proofErr w:type="spellStart"/>
      <w:r w:rsidR="00FF0C92" w:rsidRPr="00FF0C92">
        <w:t>exceedence</w:t>
      </w:r>
      <w:proofErr w:type="spellEnd"/>
      <w:r w:rsidR="00FF0C92" w:rsidRPr="00FF0C92">
        <w:t xml:space="preserve"> of 1/500</w:t>
      </w:r>
      <w:r w:rsidR="00FF0C92">
        <w:t xml:space="preserve"> at </w:t>
      </w:r>
      <w:r w:rsidR="00FF0C92" w:rsidRPr="009720EB">
        <w:t xml:space="preserve">a </w:t>
      </w:r>
      <w:r w:rsidR="008C45AC">
        <w:t>SA</w:t>
      </w:r>
      <w:r w:rsidR="00FF0C92" w:rsidRPr="009720EB">
        <w:t xml:space="preserve"> </w:t>
      </w:r>
      <w:r w:rsidR="00FF0C92">
        <w:t xml:space="preserve">period </w:t>
      </w:r>
      <w:r w:rsidR="00FF0C92" w:rsidRPr="009720EB">
        <w:t>of</w:t>
      </w:r>
      <w:r w:rsidR="00FF0C92" w:rsidRPr="00FF4D4F">
        <w:t xml:space="preserve"> </w:t>
      </w:r>
      <w:r w:rsidRPr="00FF4D4F">
        <w:t>0.0s (PGA)</w:t>
      </w:r>
      <w:r w:rsidR="00C948D7">
        <w:t>.</w:t>
      </w:r>
      <w:bookmarkEnd w:id="34"/>
    </w:p>
    <w:p w:rsidR="00A912B5" w:rsidRDefault="00A912B5" w:rsidP="00573851">
      <w:pPr>
        <w:pStyle w:val="Figuresandimagesleft0"/>
      </w:pPr>
      <w:r>
        <w:rPr>
          <w:noProof/>
        </w:rPr>
        <w:lastRenderedPageBreak/>
        <w:drawing>
          <wp:inline distT="0" distB="0" distL="0" distR="0" wp14:anchorId="4EB1E12D" wp14:editId="1918569D">
            <wp:extent cx="5269992" cy="6327648"/>
            <wp:effectExtent l="0" t="0" r="6985" b="0"/>
            <wp:docPr id="20" name="Picture 20"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_avg_hs_0.0s_2500yr_180_30_60km.tif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69992" cy="6327648"/>
                    </a:xfrm>
                    <a:prstGeom prst="rect">
                      <a:avLst/>
                    </a:prstGeom>
                  </pic:spPr>
                </pic:pic>
              </a:graphicData>
            </a:graphic>
          </wp:inline>
        </w:drawing>
      </w:r>
    </w:p>
    <w:p w:rsidR="00BC06C4" w:rsidRDefault="00BC06C4" w:rsidP="00BC06C4">
      <w:pPr>
        <w:pStyle w:val="Caption"/>
      </w:pPr>
      <w:bookmarkStart w:id="35" w:name="_Toc371577680"/>
      <w:r>
        <w:t xml:space="preserve">Figure </w:t>
      </w:r>
      <w:r w:rsidR="006220B6">
        <w:fldChar w:fldCharType="begin"/>
      </w:r>
      <w:r w:rsidR="006220B6">
        <w:instrText xml:space="preserve"> SEQ Figure \* ARABIC </w:instrText>
      </w:r>
      <w:r w:rsidR="006220B6">
        <w:fldChar w:fldCharType="separate"/>
      </w:r>
      <w:r w:rsidR="00552102">
        <w:rPr>
          <w:noProof/>
        </w:rPr>
        <w:t>18</w:t>
      </w:r>
      <w:r w:rsidR="006220B6">
        <w:rPr>
          <w:noProof/>
        </w:rPr>
        <w:fldChar w:fldCharType="end"/>
      </w:r>
      <w:r w:rsidRPr="00505564">
        <w:t xml:space="preserve"> The hazard map of Western Australia </w:t>
      </w:r>
      <w:r w:rsidR="00FF0C92">
        <w:t xml:space="preserve">with an </w:t>
      </w:r>
      <w:r w:rsidR="00FF0C92" w:rsidRPr="00FF0C92">
        <w:t xml:space="preserve">annual probability of </w:t>
      </w:r>
      <w:proofErr w:type="spellStart"/>
      <w:r w:rsidR="00FF0C92" w:rsidRPr="00FF0C92">
        <w:t>exceedence</w:t>
      </w:r>
      <w:proofErr w:type="spellEnd"/>
      <w:r w:rsidR="00FF0C92" w:rsidRPr="00FF0C92">
        <w:t xml:space="preserve"> of 1/2500</w:t>
      </w:r>
      <w:r w:rsidR="00FF0C92">
        <w:t xml:space="preserve"> at </w:t>
      </w:r>
      <w:r w:rsidR="00FF0C92" w:rsidRPr="009720EB">
        <w:t xml:space="preserve">a SA </w:t>
      </w:r>
      <w:r w:rsidR="00FF0C92">
        <w:t xml:space="preserve">period </w:t>
      </w:r>
      <w:r w:rsidR="00FF0C92" w:rsidRPr="009720EB">
        <w:t>of</w:t>
      </w:r>
      <w:r w:rsidR="00FF0C92" w:rsidRPr="00505564">
        <w:t xml:space="preserve"> </w:t>
      </w:r>
      <w:r w:rsidRPr="00505564">
        <w:t>0.0s (PGA)</w:t>
      </w:r>
      <w:r w:rsidR="00C948D7">
        <w:t>.</w:t>
      </w:r>
      <w:bookmarkEnd w:id="35"/>
    </w:p>
    <w:p w:rsidR="000C2DCE" w:rsidRDefault="00E4468F" w:rsidP="00573851">
      <w:pPr>
        <w:pStyle w:val="Figuresandimagesleft0"/>
      </w:pPr>
      <w:r>
        <w:rPr>
          <w:noProof/>
        </w:rPr>
        <w:lastRenderedPageBreak/>
        <w:drawing>
          <wp:inline distT="0" distB="0" distL="0" distR="0" wp14:anchorId="55BF81A7" wp14:editId="2EDDBB7C">
            <wp:extent cx="5629656" cy="6784848"/>
            <wp:effectExtent l="0" t="0" r="0" b="0"/>
            <wp:docPr id="713769" name="Picture 713769"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avg_hs_0.0s_500yr_180_30_60km.tif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29656" cy="6784848"/>
                    </a:xfrm>
                    <a:prstGeom prst="rect">
                      <a:avLst/>
                    </a:prstGeom>
                  </pic:spPr>
                </pic:pic>
              </a:graphicData>
            </a:graphic>
          </wp:inline>
        </w:drawing>
      </w:r>
    </w:p>
    <w:p w:rsidR="00BC06C4" w:rsidRDefault="00BC06C4" w:rsidP="00BC06C4">
      <w:pPr>
        <w:pStyle w:val="Caption"/>
      </w:pPr>
      <w:bookmarkStart w:id="36" w:name="_Toc371577681"/>
      <w:r>
        <w:t xml:space="preserve">Figure </w:t>
      </w:r>
      <w:r w:rsidR="006220B6">
        <w:fldChar w:fldCharType="begin"/>
      </w:r>
      <w:r w:rsidR="006220B6">
        <w:instrText xml:space="preserve"> SEQ Figure \* ARABIC </w:instrText>
      </w:r>
      <w:r w:rsidR="006220B6">
        <w:fldChar w:fldCharType="separate"/>
      </w:r>
      <w:r w:rsidR="00552102">
        <w:rPr>
          <w:noProof/>
        </w:rPr>
        <w:t>19</w:t>
      </w:r>
      <w:r w:rsidR="006220B6">
        <w:rPr>
          <w:noProof/>
        </w:rPr>
        <w:fldChar w:fldCharType="end"/>
      </w:r>
      <w:r>
        <w:t xml:space="preserve"> </w:t>
      </w:r>
      <w:r w:rsidRPr="00B60048">
        <w:t>The hazard map of the Northern Te</w:t>
      </w:r>
      <w:r>
        <w:t xml:space="preserve">rritory </w:t>
      </w:r>
      <w:r w:rsidR="00FF0C92">
        <w:t xml:space="preserve">with an </w:t>
      </w:r>
      <w:r w:rsidR="00FF0C92" w:rsidRPr="00FF0C92">
        <w:t xml:space="preserve">annual probability of </w:t>
      </w:r>
      <w:proofErr w:type="spellStart"/>
      <w:r w:rsidR="00FF0C92" w:rsidRPr="00FF0C92">
        <w:t>exceedence</w:t>
      </w:r>
      <w:proofErr w:type="spellEnd"/>
      <w:r w:rsidR="00FF0C92" w:rsidRPr="00FF0C92">
        <w:t xml:space="preserve"> of 1/500</w:t>
      </w:r>
      <w:r w:rsidR="00FF0C92">
        <w:t xml:space="preserve"> at </w:t>
      </w:r>
      <w:r w:rsidR="00FF0C92" w:rsidRPr="009720EB">
        <w:t xml:space="preserve">a SA </w:t>
      </w:r>
      <w:r w:rsidR="00FF0C92">
        <w:t xml:space="preserve">period </w:t>
      </w:r>
      <w:r w:rsidR="00FF0C92" w:rsidRPr="009720EB">
        <w:t>of</w:t>
      </w:r>
      <w:r w:rsidR="00FF0C92" w:rsidRPr="00B60048">
        <w:t xml:space="preserve"> </w:t>
      </w:r>
      <w:r w:rsidRPr="00B60048">
        <w:t>0.0s (PGA)</w:t>
      </w:r>
      <w:r w:rsidR="00C948D7">
        <w:t>.</w:t>
      </w:r>
      <w:bookmarkEnd w:id="36"/>
    </w:p>
    <w:p w:rsidR="000C2DCE" w:rsidRDefault="00E4468F" w:rsidP="00573851">
      <w:pPr>
        <w:pStyle w:val="Figuresandimagesleft0"/>
      </w:pPr>
      <w:r>
        <w:rPr>
          <w:noProof/>
        </w:rPr>
        <w:lastRenderedPageBreak/>
        <w:drawing>
          <wp:inline distT="0" distB="0" distL="0" distR="0" wp14:anchorId="0B6E5965" wp14:editId="236826E6">
            <wp:extent cx="5629656" cy="6784848"/>
            <wp:effectExtent l="0" t="0" r="0" b="0"/>
            <wp:docPr id="713770" name="Picture 713770"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T_avg_hs_0.0s_2500yr_180_30_60km.tiff"/>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29656" cy="6784848"/>
                    </a:xfrm>
                    <a:prstGeom prst="rect">
                      <a:avLst/>
                    </a:prstGeom>
                  </pic:spPr>
                </pic:pic>
              </a:graphicData>
            </a:graphic>
          </wp:inline>
        </w:drawing>
      </w:r>
    </w:p>
    <w:p w:rsidR="00BC06C4" w:rsidRDefault="00BC06C4" w:rsidP="00BC06C4">
      <w:pPr>
        <w:pStyle w:val="Caption"/>
      </w:pPr>
      <w:bookmarkStart w:id="37" w:name="_Toc371577682"/>
      <w:r>
        <w:t xml:space="preserve">Figure </w:t>
      </w:r>
      <w:r w:rsidR="006220B6">
        <w:fldChar w:fldCharType="begin"/>
      </w:r>
      <w:r w:rsidR="006220B6">
        <w:instrText xml:space="preserve"> SEQ Figure \* ARABIC </w:instrText>
      </w:r>
      <w:r w:rsidR="006220B6">
        <w:fldChar w:fldCharType="separate"/>
      </w:r>
      <w:r w:rsidR="00552102">
        <w:rPr>
          <w:noProof/>
        </w:rPr>
        <w:t>20</w:t>
      </w:r>
      <w:r w:rsidR="006220B6">
        <w:rPr>
          <w:noProof/>
        </w:rPr>
        <w:fldChar w:fldCharType="end"/>
      </w:r>
      <w:r>
        <w:t xml:space="preserve"> </w:t>
      </w:r>
      <w:r w:rsidRPr="00FC11A4">
        <w:t>The</w:t>
      </w:r>
      <w:r>
        <w:t xml:space="preserve"> hazard map of the Northern Territory</w:t>
      </w:r>
      <w:r w:rsidRPr="00FC11A4">
        <w:t xml:space="preserve"> </w:t>
      </w:r>
      <w:r w:rsidR="00FF0C92">
        <w:t xml:space="preserve">with an </w:t>
      </w:r>
      <w:r w:rsidR="00FF0C92" w:rsidRPr="00FF0C92">
        <w:t xml:space="preserve">annual probability of </w:t>
      </w:r>
      <w:proofErr w:type="spellStart"/>
      <w:r w:rsidR="00FF0C92" w:rsidRPr="00FF0C92">
        <w:t>exceedence</w:t>
      </w:r>
      <w:proofErr w:type="spellEnd"/>
      <w:r w:rsidR="00FF0C92" w:rsidRPr="00FF0C92">
        <w:t xml:space="preserve"> of 1/2500</w:t>
      </w:r>
      <w:r w:rsidR="00FF0C92">
        <w:t xml:space="preserve"> at </w:t>
      </w:r>
      <w:r w:rsidR="00FF0C92" w:rsidRPr="009720EB">
        <w:t xml:space="preserve">a SA </w:t>
      </w:r>
      <w:r w:rsidR="00FF0C92">
        <w:t xml:space="preserve">period </w:t>
      </w:r>
      <w:r w:rsidR="00FF0C92" w:rsidRPr="009720EB">
        <w:t>of</w:t>
      </w:r>
      <w:r w:rsidR="00FF0C92" w:rsidRPr="00FC11A4">
        <w:t xml:space="preserve"> </w:t>
      </w:r>
      <w:r w:rsidRPr="00FC11A4">
        <w:t>0.0s (PGA)</w:t>
      </w:r>
      <w:r w:rsidR="00C948D7">
        <w:t>.</w:t>
      </w:r>
      <w:bookmarkEnd w:id="37"/>
    </w:p>
    <w:p w:rsidR="00A912B5" w:rsidRDefault="003B3B37" w:rsidP="00A912B5">
      <w:pPr>
        <w:pStyle w:val="Heading1"/>
      </w:pPr>
      <w:bookmarkStart w:id="38" w:name="_Toc371577703"/>
      <w:r>
        <w:lastRenderedPageBreak/>
        <w:t>Hazard Curves</w:t>
      </w:r>
      <w:bookmarkEnd w:id="38"/>
    </w:p>
    <w:p w:rsidR="000C2DCE" w:rsidRDefault="00DB4D7C" w:rsidP="00150B52">
      <w:pPr>
        <w:pStyle w:val="BodyText"/>
        <w:rPr>
          <w:noProof/>
          <w:lang w:val="en-US" w:eastAsia="en-US"/>
        </w:rPr>
      </w:pPr>
      <w:r>
        <w:t>This section presents</w:t>
      </w:r>
      <w:r w:rsidR="00810867">
        <w:t xml:space="preserve"> the</w:t>
      </w:r>
      <w:r w:rsidR="000079F8">
        <w:t xml:space="preserve"> hazard curves </w:t>
      </w:r>
      <w:r w:rsidR="00A73163">
        <w:t xml:space="preserve">for </w:t>
      </w:r>
      <w:r w:rsidR="002234C0">
        <w:t xml:space="preserve">the eight capital cities and for </w:t>
      </w:r>
      <w:r w:rsidR="00AF30DF">
        <w:t xml:space="preserve">26 </w:t>
      </w:r>
      <w:r w:rsidR="00A73163">
        <w:t xml:space="preserve">characteristic </w:t>
      </w:r>
      <w:r w:rsidR="002234C0">
        <w:t>sites</w:t>
      </w:r>
      <w:r w:rsidR="00AF30DF">
        <w:t>. T</w:t>
      </w:r>
      <w:r w:rsidR="000079F8">
        <w:t>hese 34 locations</w:t>
      </w:r>
      <w:r w:rsidR="00AF30DF">
        <w:t xml:space="preserve"> encompass the range of hazard levels</w:t>
      </w:r>
      <w:r w:rsidR="006D4695">
        <w:t xml:space="preserve"> typically </w:t>
      </w:r>
      <w:r w:rsidR="00AF30DF">
        <w:t>observed across Australia.</w:t>
      </w:r>
      <w:r w:rsidR="000C2DCE">
        <w:t xml:space="preserve"> </w:t>
      </w:r>
      <w:r w:rsidR="00AF30DF">
        <w:t>The location</w:t>
      </w:r>
      <w:r w:rsidR="00C40454">
        <w:t>s</w:t>
      </w:r>
      <w:r w:rsidR="005A0B1F">
        <w:t xml:space="preserve"> of these points</w:t>
      </w:r>
      <w:r w:rsidR="00AF30DF">
        <w:t xml:space="preserve"> </w:t>
      </w:r>
      <w:r w:rsidR="005A0B1F">
        <w:t xml:space="preserve">are shown </w:t>
      </w:r>
      <w:r w:rsidR="00AF30DF">
        <w:t xml:space="preserve">with </w:t>
      </w:r>
      <w:r w:rsidR="0006022D">
        <w:t xml:space="preserve">respect to </w:t>
      </w:r>
      <w:r w:rsidR="00AF30DF">
        <w:t xml:space="preserve">the source zones and </w:t>
      </w:r>
      <w:r w:rsidR="00C40454">
        <w:t xml:space="preserve">the </w:t>
      </w:r>
      <w:r w:rsidR="00AF30DF">
        <w:t>hazard map in</w:t>
      </w:r>
      <w:r w:rsidR="00C32F92">
        <w:t xml:space="preserve"> </w:t>
      </w:r>
      <w:r w:rsidR="00C32F92" w:rsidRPr="00717638">
        <w:rPr>
          <w:rStyle w:val="Hyperlink"/>
        </w:rPr>
        <w:t>Figure</w:t>
      </w:r>
      <w:r w:rsidR="00AF30DF" w:rsidRPr="00717638">
        <w:rPr>
          <w:rStyle w:val="Hyperlink"/>
        </w:rPr>
        <w:t xml:space="preserve"> </w:t>
      </w:r>
      <w:r w:rsidR="006D4695" w:rsidRPr="00717638">
        <w:rPr>
          <w:rStyle w:val="Hyperlink"/>
        </w:rPr>
        <w:t>21</w:t>
      </w:r>
      <w:r w:rsidR="00AF30DF">
        <w:t xml:space="preserve"> and </w:t>
      </w:r>
      <w:r w:rsidR="00552102" w:rsidRPr="00717638">
        <w:rPr>
          <w:rStyle w:val="Hyperlink"/>
        </w:rPr>
        <w:t>Figure 22</w:t>
      </w:r>
      <w:r w:rsidR="00AF30DF">
        <w:t xml:space="preserve"> respectively</w:t>
      </w:r>
      <w:r w:rsidR="00C5319B">
        <w:t>.</w:t>
      </w:r>
      <w:r w:rsidR="0098362D" w:rsidRPr="0098362D">
        <w:rPr>
          <w:noProof/>
          <w:lang w:val="en-US" w:eastAsia="en-US"/>
        </w:rPr>
        <w:t xml:space="preserve"> </w:t>
      </w:r>
      <w:r w:rsidR="002234C0">
        <w:rPr>
          <w:noProof/>
          <w:lang w:val="en-US" w:eastAsia="en-US"/>
        </w:rPr>
        <w:t xml:space="preserve">The hazard for the </w:t>
      </w:r>
      <w:r w:rsidR="002234C0">
        <w:t xml:space="preserve">eight capital cities are shown in </w:t>
      </w:r>
      <w:r w:rsidR="002234C0" w:rsidRPr="001932F2">
        <w:rPr>
          <w:rStyle w:val="Hyperlink"/>
        </w:rPr>
        <w:t>Figure 23</w:t>
      </w:r>
      <w:r w:rsidR="002234C0">
        <w:t xml:space="preserve"> and for the 26 characteristic sites in </w:t>
      </w:r>
      <w:r w:rsidR="002234C0" w:rsidRPr="00717638">
        <w:rPr>
          <w:rStyle w:val="Hyperlink"/>
        </w:rPr>
        <w:t>Figure 24</w:t>
      </w:r>
      <w:r w:rsidR="002234C0">
        <w:t>.</w:t>
      </w:r>
    </w:p>
    <w:p w:rsidR="002D07AB" w:rsidRDefault="002D07AB" w:rsidP="00573851">
      <w:pPr>
        <w:pStyle w:val="Figuresandimagesleft0"/>
        <w:rPr>
          <w:noProof/>
          <w:lang w:val="en-US" w:eastAsia="en-US"/>
        </w:rPr>
      </w:pPr>
      <w:r>
        <w:rPr>
          <w:noProof/>
        </w:rPr>
        <w:drawing>
          <wp:inline distT="0" distB="0" distL="0" distR="0" wp14:anchorId="6DA909A9" wp14:editId="08E49CDF">
            <wp:extent cx="5760085" cy="4947285"/>
            <wp:effectExtent l="0" t="0" r="0" b="5715"/>
            <wp:docPr id="14" name="Picture 14"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_seis_haz_znms.tif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085" cy="4947285"/>
                    </a:xfrm>
                    <a:prstGeom prst="rect">
                      <a:avLst/>
                    </a:prstGeom>
                  </pic:spPr>
                </pic:pic>
              </a:graphicData>
            </a:graphic>
          </wp:inline>
        </w:drawing>
      </w:r>
    </w:p>
    <w:p w:rsidR="0098362D" w:rsidRDefault="0098362D" w:rsidP="0098362D">
      <w:pPr>
        <w:pStyle w:val="Caption"/>
      </w:pPr>
      <w:bookmarkStart w:id="39" w:name="_Ref358377525"/>
      <w:bookmarkStart w:id="40" w:name="_Toc371577683"/>
      <w:r>
        <w:t xml:space="preserve">Figure </w:t>
      </w:r>
      <w:r w:rsidR="006220B6">
        <w:fldChar w:fldCharType="begin"/>
      </w:r>
      <w:r w:rsidR="006220B6">
        <w:instrText xml:space="preserve"> SEQ Figure \* ARABIC </w:instrText>
      </w:r>
      <w:r w:rsidR="006220B6">
        <w:fldChar w:fldCharType="separate"/>
      </w:r>
      <w:r w:rsidR="00552102">
        <w:rPr>
          <w:noProof/>
        </w:rPr>
        <w:t>21</w:t>
      </w:r>
      <w:r w:rsidR="006220B6">
        <w:rPr>
          <w:noProof/>
        </w:rPr>
        <w:fldChar w:fldCharType="end"/>
      </w:r>
      <w:bookmarkEnd w:id="39"/>
      <w:r>
        <w:t xml:space="preserve"> The source zones with the 26 locations and eight capital cities for which hazard curves and spectra</w:t>
      </w:r>
      <w:r w:rsidR="00472DE2">
        <w:t xml:space="preserve"> shown</w:t>
      </w:r>
      <w:r>
        <w:t xml:space="preserve"> in </w:t>
      </w:r>
      <w:r w:rsidRPr="001932F2">
        <w:rPr>
          <w:rStyle w:val="Hyperlink"/>
        </w:rPr>
        <w:t>Figures 23</w:t>
      </w:r>
      <w:r>
        <w:t xml:space="preserve"> and </w:t>
      </w:r>
      <w:r w:rsidRPr="001932F2">
        <w:rPr>
          <w:rStyle w:val="Hyperlink"/>
        </w:rPr>
        <w:t xml:space="preserve">24 </w:t>
      </w:r>
      <w:r>
        <w:t>are calculated.</w:t>
      </w:r>
      <w:bookmarkEnd w:id="40"/>
    </w:p>
    <w:p w:rsidR="003B3B37" w:rsidRDefault="003678D1" w:rsidP="00150B52">
      <w:pPr>
        <w:pStyle w:val="BodyText"/>
      </w:pPr>
      <w:r>
        <w:t xml:space="preserve">Where there is a strong gradient of the hazard, such as the boundaries of the source zones </w:t>
      </w:r>
      <w:r w:rsidR="00C40454">
        <w:t>centred</w:t>
      </w:r>
      <w:r>
        <w:t xml:space="preserve"> on locations Q, R and T, it is difficult to take a hazard curve from one location and </w:t>
      </w:r>
      <w:r w:rsidR="002234C0">
        <w:t>apply it to another. Elsewhere</w:t>
      </w:r>
      <w:r w:rsidR="00DB4D7C">
        <w:t xml:space="preserve"> for</w:t>
      </w:r>
      <w:r w:rsidR="008E467D">
        <w:t xml:space="preserve"> locations</w:t>
      </w:r>
      <w:r w:rsidR="002234C0">
        <w:t>,</w:t>
      </w:r>
      <w:r>
        <w:t xml:space="preserve"> </w:t>
      </w:r>
      <w:r w:rsidR="002234C0">
        <w:t>with low gradient of the hazard,</w:t>
      </w:r>
      <w:r w:rsidR="00DB4D7C">
        <w:t xml:space="preserve"> </w:t>
      </w:r>
      <w:r w:rsidR="005A0B1F">
        <w:t>which have a</w:t>
      </w:r>
      <w:r>
        <w:t xml:space="preserve"> sim</w:t>
      </w:r>
      <w:r w:rsidR="00DB4D7C">
        <w:t xml:space="preserve">ilar 2500 year PGA hazard value, </w:t>
      </w:r>
      <w:r>
        <w:t>the hazard curves tend to be very similar</w:t>
      </w:r>
      <w:r w:rsidR="005A0B1F">
        <w:t xml:space="preserve"> for all other recu</w:t>
      </w:r>
      <w:r w:rsidR="00BA13A5">
        <w:t>rrence intervals.</w:t>
      </w:r>
      <w:r w:rsidR="000C2DCE">
        <w:t xml:space="preserve"> </w:t>
      </w:r>
      <w:r w:rsidR="00BA13A5">
        <w:t>For example,</w:t>
      </w:r>
      <w:r w:rsidR="00BC4437">
        <w:t xml:space="preserve"> </w:t>
      </w:r>
      <w:r w:rsidR="00BC4437">
        <w:lastRenderedPageBreak/>
        <w:t xml:space="preserve">Canberra and Melbourne </w:t>
      </w:r>
      <w:r w:rsidR="00810867">
        <w:t>are both within the same, non-</w:t>
      </w:r>
      <w:proofErr w:type="spellStart"/>
      <w:r w:rsidR="00810867">
        <w:t>C</w:t>
      </w:r>
      <w:r w:rsidR="00BA13A5">
        <w:t>ratonic</w:t>
      </w:r>
      <w:proofErr w:type="spellEnd"/>
      <w:r w:rsidR="00BA13A5">
        <w:t xml:space="preserve">, background zone, </w:t>
      </w:r>
      <w:r w:rsidR="00810867">
        <w:t xml:space="preserve">they both </w:t>
      </w:r>
      <w:r w:rsidR="00BC4437">
        <w:t xml:space="preserve">have a 2500 PGA hazard of 0.016-0.17g and all their curves are very similar. </w:t>
      </w:r>
      <w:r w:rsidR="00BA13A5">
        <w:t>The same applies to other locations in the same background zone like F and H.</w:t>
      </w:r>
      <w:r w:rsidR="000C2DCE">
        <w:t xml:space="preserve"> </w:t>
      </w:r>
      <w:r w:rsidR="00BC4437">
        <w:t>Similarly</w:t>
      </w:r>
      <w:r w:rsidR="00C40454">
        <w:t>,</w:t>
      </w:r>
      <w:r w:rsidR="00BC4437">
        <w:t xml:space="preserve"> </w:t>
      </w:r>
      <w:r w:rsidR="00C40454">
        <w:t xml:space="preserve">locations which are all with the </w:t>
      </w:r>
      <w:proofErr w:type="spellStart"/>
      <w:r w:rsidR="00C40454">
        <w:t>Cratonic</w:t>
      </w:r>
      <w:proofErr w:type="spellEnd"/>
      <w:r w:rsidR="00C40454">
        <w:t xml:space="preserve"> crust, like </w:t>
      </w:r>
      <w:r w:rsidR="00BC4437">
        <w:t>locations P</w:t>
      </w:r>
      <w:r w:rsidR="00A47DD1">
        <w:t>,</w:t>
      </w:r>
      <w:r w:rsidR="00BC4437">
        <w:t xml:space="preserve"> V and S</w:t>
      </w:r>
      <w:r w:rsidR="00BA13A5">
        <w:t>,</w:t>
      </w:r>
      <w:r w:rsidR="00BC4437">
        <w:t xml:space="preserve"> </w:t>
      </w:r>
      <w:r w:rsidR="00C40454">
        <w:t>all</w:t>
      </w:r>
      <w:r w:rsidR="00BA13A5">
        <w:t xml:space="preserve"> have similar curves</w:t>
      </w:r>
      <w:r w:rsidR="00BC4437">
        <w:t xml:space="preserve">. However Brisbane and location X, which are in different background zones, have a similar 2500 year PGA hazard but </w:t>
      </w:r>
      <w:r w:rsidR="005A0B1F">
        <w:t xml:space="preserve">are quite </w:t>
      </w:r>
      <w:r w:rsidR="00BC4437">
        <w:t xml:space="preserve">different </w:t>
      </w:r>
      <w:r w:rsidR="005A0B1F">
        <w:t>at other recurrence intervals</w:t>
      </w:r>
      <w:r w:rsidR="00BC4437">
        <w:t>.</w:t>
      </w:r>
    </w:p>
    <w:p w:rsidR="00A73163" w:rsidRDefault="00A73163" w:rsidP="00573851">
      <w:pPr>
        <w:pStyle w:val="Figuresandimagesleft0"/>
      </w:pPr>
      <w:r>
        <w:rPr>
          <w:noProof/>
        </w:rPr>
        <w:drawing>
          <wp:inline distT="0" distB="0" distL="0" distR="0" wp14:anchorId="4562CFE2" wp14:editId="7ACDE5C4">
            <wp:extent cx="5144494" cy="4418559"/>
            <wp:effectExtent l="0" t="0" r="0" b="1270"/>
            <wp:docPr id="713810" name="Picture 713810"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_seis_haz_znms.tif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147479" cy="4421123"/>
                    </a:xfrm>
                    <a:prstGeom prst="rect">
                      <a:avLst/>
                    </a:prstGeom>
                  </pic:spPr>
                </pic:pic>
              </a:graphicData>
            </a:graphic>
          </wp:inline>
        </w:drawing>
      </w:r>
    </w:p>
    <w:p w:rsidR="003D538D" w:rsidRDefault="001E0914" w:rsidP="003D538D">
      <w:pPr>
        <w:pStyle w:val="Caption"/>
      </w:pPr>
      <w:bookmarkStart w:id="41" w:name="_Ref358377540"/>
      <w:bookmarkStart w:id="42" w:name="_Toc371577684"/>
      <w:r>
        <w:t xml:space="preserve">Figure </w:t>
      </w:r>
      <w:r w:rsidR="006220B6">
        <w:fldChar w:fldCharType="begin"/>
      </w:r>
      <w:r w:rsidR="006220B6">
        <w:instrText xml:space="preserve"> SEQ Figure \* ARABIC </w:instrText>
      </w:r>
      <w:r w:rsidR="006220B6">
        <w:fldChar w:fldCharType="separate"/>
      </w:r>
      <w:r w:rsidR="00552102">
        <w:rPr>
          <w:noProof/>
        </w:rPr>
        <w:t>22</w:t>
      </w:r>
      <w:r w:rsidR="006220B6">
        <w:rPr>
          <w:noProof/>
        </w:rPr>
        <w:fldChar w:fldCharType="end"/>
      </w:r>
      <w:bookmarkEnd w:id="41"/>
      <w:r>
        <w:t xml:space="preserve"> The hazard map</w:t>
      </w:r>
      <w:r w:rsidR="006D4695">
        <w:t>,</w:t>
      </w:r>
      <w:r w:rsidRPr="004E18D6">
        <w:t xml:space="preserve"> </w:t>
      </w:r>
      <w:r w:rsidR="006D4695">
        <w:t xml:space="preserve">with an </w:t>
      </w:r>
      <w:r w:rsidR="006D4695" w:rsidRPr="00FF0C92">
        <w:rPr>
          <w:noProof/>
        </w:rPr>
        <w:t>annual probability of exceedence of 1/2500</w:t>
      </w:r>
      <w:r w:rsidR="006D4695">
        <w:rPr>
          <w:noProof/>
        </w:rPr>
        <w:t xml:space="preserve">, </w:t>
      </w:r>
      <w:r w:rsidRPr="004E18D6">
        <w:t>with the 26 locations and eight capital cities for</w:t>
      </w:r>
      <w:r w:rsidR="006D4695">
        <w:t xml:space="preserve"> which hazard curves</w:t>
      </w:r>
      <w:r w:rsidR="00C40454">
        <w:t xml:space="preserve"> in </w:t>
      </w:r>
      <w:r w:rsidR="00C40454" w:rsidRPr="001932F2">
        <w:rPr>
          <w:rStyle w:val="Hyperlink"/>
        </w:rPr>
        <w:t>Figure</w:t>
      </w:r>
      <w:r w:rsidR="00C6620C" w:rsidRPr="001932F2">
        <w:rPr>
          <w:rStyle w:val="Hyperlink"/>
        </w:rPr>
        <w:t>s</w:t>
      </w:r>
      <w:r w:rsidR="00C40454" w:rsidRPr="001932F2">
        <w:rPr>
          <w:rStyle w:val="Hyperlink"/>
        </w:rPr>
        <w:t xml:space="preserve"> </w:t>
      </w:r>
      <w:r w:rsidR="00C6620C" w:rsidRPr="001932F2">
        <w:rPr>
          <w:rStyle w:val="Hyperlink"/>
        </w:rPr>
        <w:t>23</w:t>
      </w:r>
      <w:r w:rsidR="00C6620C">
        <w:t xml:space="preserve"> and </w:t>
      </w:r>
      <w:r w:rsidR="00C40454" w:rsidRPr="001932F2">
        <w:rPr>
          <w:rStyle w:val="Hyperlink"/>
        </w:rPr>
        <w:t>24</w:t>
      </w:r>
      <w:r w:rsidRPr="004E18D6">
        <w:t xml:space="preserve"> are calculated.</w:t>
      </w:r>
      <w:bookmarkEnd w:id="42"/>
    </w:p>
    <w:p w:rsidR="00BC4437" w:rsidRPr="00D81519" w:rsidRDefault="003D538D" w:rsidP="00E84C85">
      <w:pPr>
        <w:pStyle w:val="BodyText"/>
      </w:pPr>
      <w:r>
        <w:br w:type="page"/>
      </w:r>
      <w:r w:rsidR="004C56A9">
        <w:lastRenderedPageBreak/>
        <w:t>(a)</w:t>
      </w:r>
      <w:r w:rsidR="004C56A9">
        <w:tab/>
      </w:r>
      <w:r w:rsidR="00D81519" w:rsidRPr="00D81519">
        <w:tab/>
      </w:r>
      <w:r w:rsidR="00BC4437" w:rsidRPr="00D81519">
        <w:t>(b)</w:t>
      </w:r>
    </w:p>
    <w:p w:rsidR="000C2DCE" w:rsidRDefault="00564BB4" w:rsidP="00573851">
      <w:pPr>
        <w:pStyle w:val="BodyText"/>
      </w:pPr>
      <w:r>
        <w:rPr>
          <w:noProof/>
        </w:rPr>
        <w:drawing>
          <wp:inline distT="0" distB="0" distL="0" distR="0" wp14:anchorId="47F49A25" wp14:editId="0DCA66B8">
            <wp:extent cx="2703576" cy="2261616"/>
            <wp:effectExtent l="0" t="0" r="1905" b="5715"/>
            <wp:docPr id="4" name="Picture 4"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bourne_max_1_1.tif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28D35C30" wp14:editId="4F8471E2">
            <wp:extent cx="2703576" cy="2261616"/>
            <wp:effectExtent l="0" t="0" r="1905" b="5715"/>
            <wp:docPr id="8" name="Picture 8"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dney_max_1_1.tiff"/>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BC4437" w:rsidRPr="003D538D" w:rsidRDefault="003F6EE7" w:rsidP="000C2DCE">
      <w:pPr>
        <w:pStyle w:val="BodyText"/>
      </w:pPr>
      <w:r>
        <w:t>(c )</w:t>
      </w:r>
      <w:r w:rsidR="004C56A9">
        <w:tab/>
      </w:r>
      <w:r>
        <w:tab/>
        <w:t>(d)</w:t>
      </w:r>
    </w:p>
    <w:p w:rsidR="000C2DCE" w:rsidRDefault="00564BB4" w:rsidP="00573851">
      <w:pPr>
        <w:pStyle w:val="BodyText"/>
      </w:pPr>
      <w:r>
        <w:rPr>
          <w:noProof/>
        </w:rPr>
        <w:drawing>
          <wp:inline distT="0" distB="0" distL="0" distR="0" wp14:anchorId="2711B9C7" wp14:editId="6E10D67D">
            <wp:extent cx="2703576" cy="2261616"/>
            <wp:effectExtent l="0" t="0" r="1905" b="5715"/>
            <wp:docPr id="9" name="Picture 9"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elaide_max_1_1.tif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17017964" wp14:editId="2E9AAE19">
            <wp:extent cx="2703576" cy="2261616"/>
            <wp:effectExtent l="0" t="0" r="1905" b="5715"/>
            <wp:docPr id="19" name="Picture 19"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berra_1_1.tif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BC4437" w:rsidRPr="00150B52" w:rsidRDefault="00BC4437" w:rsidP="000C2DCE">
      <w:pPr>
        <w:pStyle w:val="BodyText"/>
      </w:pPr>
      <w:r w:rsidRPr="00150B52">
        <w:t>(e)</w:t>
      </w:r>
      <w:r w:rsidR="004C56A9">
        <w:tab/>
      </w:r>
      <w:r w:rsidR="003F6EE7">
        <w:tab/>
        <w:t>(f)</w:t>
      </w:r>
    </w:p>
    <w:p w:rsidR="00BC4437" w:rsidRDefault="00564BB4" w:rsidP="00150B52">
      <w:pPr>
        <w:pStyle w:val="BodyText"/>
      </w:pPr>
      <w:r>
        <w:rPr>
          <w:noProof/>
        </w:rPr>
        <w:drawing>
          <wp:inline distT="0" distB="0" distL="0" distR="0" wp14:anchorId="7F15B478" wp14:editId="7EB9530E">
            <wp:extent cx="2703576" cy="2261616"/>
            <wp:effectExtent l="0" t="0" r="1905" b="5715"/>
            <wp:docPr id="21" name="Picture 21"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th_max_1_1.tif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26B43CD8" wp14:editId="6B8EEE94">
            <wp:extent cx="2703576" cy="2261616"/>
            <wp:effectExtent l="0" t="0" r="1905" b="5715"/>
            <wp:docPr id="22" name="Picture 22"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sbane_max_1_1.tif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sidR="00697613">
        <w:br w:type="page"/>
      </w:r>
      <w:r w:rsidR="003F6EE7">
        <w:lastRenderedPageBreak/>
        <w:t>(g)</w:t>
      </w:r>
      <w:r w:rsidR="00E84C85">
        <w:tab/>
      </w:r>
      <w:r w:rsidR="003F6EE7">
        <w:tab/>
      </w:r>
      <w:r w:rsidR="00BC4437">
        <w:t>(h)</w:t>
      </w:r>
    </w:p>
    <w:p w:rsidR="006A77FB" w:rsidRDefault="00455EE0" w:rsidP="00697613">
      <w:pPr>
        <w:pStyle w:val="BodyText"/>
      </w:pPr>
      <w:r>
        <w:rPr>
          <w:noProof/>
        </w:rPr>
        <w:drawing>
          <wp:inline distT="0" distB="0" distL="0" distR="0" wp14:anchorId="656381E0" wp14:editId="357A4D9C">
            <wp:extent cx="2703576" cy="2261616"/>
            <wp:effectExtent l="0" t="0" r="1905" b="5715"/>
            <wp:docPr id="24" name="Picture 24"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win_1_1.tif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30002E58" wp14:editId="11FEA330">
            <wp:extent cx="2703576" cy="2261616"/>
            <wp:effectExtent l="0" t="0" r="1905" b="5715"/>
            <wp:docPr id="23" name="Picture 23"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art_1_1.tif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C01347" w:rsidRDefault="00BC4437" w:rsidP="00BC4437">
      <w:pPr>
        <w:pStyle w:val="Caption"/>
      </w:pPr>
      <w:bookmarkStart w:id="43" w:name="_Toc371577685"/>
      <w:r>
        <w:t xml:space="preserve">Figure </w:t>
      </w:r>
      <w:r w:rsidR="006220B6">
        <w:fldChar w:fldCharType="begin"/>
      </w:r>
      <w:r w:rsidR="006220B6">
        <w:instrText xml:space="preserve"> SEQ Figure \* ARABIC </w:instrText>
      </w:r>
      <w:r w:rsidR="006220B6">
        <w:fldChar w:fldCharType="separate"/>
      </w:r>
      <w:r w:rsidR="00552102">
        <w:rPr>
          <w:noProof/>
        </w:rPr>
        <w:t>23</w:t>
      </w:r>
      <w:r w:rsidR="006220B6">
        <w:rPr>
          <w:noProof/>
        </w:rPr>
        <w:fldChar w:fldCharType="end"/>
      </w:r>
      <w:r>
        <w:t xml:space="preserve"> The </w:t>
      </w:r>
      <w:r w:rsidR="0006022D">
        <w:t>h</w:t>
      </w:r>
      <w:r>
        <w:t xml:space="preserve">azard </w:t>
      </w:r>
      <w:r w:rsidR="0006022D">
        <w:t>c</w:t>
      </w:r>
      <w:r>
        <w:t>urves for the eight capital cities.</w:t>
      </w:r>
      <w:r w:rsidR="00A153AF">
        <w:t xml:space="preserve"> All the SA curves were calculated at 5% damping</w:t>
      </w:r>
      <w:bookmarkEnd w:id="43"/>
    </w:p>
    <w:p w:rsidR="00E84C85" w:rsidRDefault="00455EE0" w:rsidP="00573851">
      <w:pPr>
        <w:pStyle w:val="BodyText"/>
      </w:pPr>
      <w:r>
        <w:rPr>
          <w:noProof/>
        </w:rPr>
        <w:drawing>
          <wp:inline distT="0" distB="0" distL="0" distR="0" wp14:anchorId="70C72B45" wp14:editId="23D3F72B">
            <wp:extent cx="2703576" cy="2261616"/>
            <wp:effectExtent l="0" t="0" r="1905" b="5715"/>
            <wp:docPr id="25" name="Picture 25"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A_1_1.tif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15BE0544" wp14:editId="35DCB09C">
            <wp:extent cx="2703576" cy="2261616"/>
            <wp:effectExtent l="0" t="0" r="1905" b="5715"/>
            <wp:docPr id="26" name="Picture 26"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B_1_1.tif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E84C85" w:rsidRDefault="00455EE0" w:rsidP="00573851">
      <w:pPr>
        <w:pStyle w:val="BodyText"/>
      </w:pPr>
      <w:r>
        <w:rPr>
          <w:noProof/>
        </w:rPr>
        <w:drawing>
          <wp:inline distT="0" distB="0" distL="0" distR="0" wp14:anchorId="6E701F45" wp14:editId="5E6C88A9">
            <wp:extent cx="2703600" cy="2260800"/>
            <wp:effectExtent l="0" t="0" r="1905" b="6350"/>
            <wp:docPr id="27" name="Picture 27"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C_1_1.tif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03600" cy="2260800"/>
                    </a:xfrm>
                    <a:prstGeom prst="rect">
                      <a:avLst/>
                    </a:prstGeom>
                  </pic:spPr>
                </pic:pic>
              </a:graphicData>
            </a:graphic>
          </wp:inline>
        </w:drawing>
      </w:r>
      <w:r>
        <w:rPr>
          <w:noProof/>
        </w:rPr>
        <w:drawing>
          <wp:inline distT="0" distB="0" distL="0" distR="0" wp14:anchorId="04C39922" wp14:editId="5ED669BE">
            <wp:extent cx="2703576" cy="2261616"/>
            <wp:effectExtent l="0" t="0" r="1905" b="5715"/>
            <wp:docPr id="28" name="Picture 28"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D_1_1.tiff"/>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E84C85" w:rsidRDefault="00455EE0" w:rsidP="00573851">
      <w:pPr>
        <w:pStyle w:val="BodyText"/>
      </w:pPr>
      <w:r>
        <w:rPr>
          <w:noProof/>
        </w:rPr>
        <w:lastRenderedPageBreak/>
        <w:drawing>
          <wp:inline distT="0" distB="0" distL="0" distR="0" wp14:anchorId="62A3874C" wp14:editId="368A5051">
            <wp:extent cx="2703576" cy="2261616"/>
            <wp:effectExtent l="0" t="0" r="1905" b="5715"/>
            <wp:docPr id="29" name="Picture 29"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E_1_1.tiff"/>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733807DE" wp14:editId="4792C4B0">
            <wp:extent cx="2703576" cy="2261616"/>
            <wp:effectExtent l="0" t="0" r="1905" b="5715"/>
            <wp:docPr id="30" name="Picture 30"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F_1_1.tif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455EE0" w:rsidRDefault="00455EE0" w:rsidP="00573851">
      <w:pPr>
        <w:pStyle w:val="BodyText"/>
      </w:pPr>
      <w:r>
        <w:rPr>
          <w:noProof/>
        </w:rPr>
        <w:drawing>
          <wp:inline distT="0" distB="0" distL="0" distR="0" wp14:anchorId="64906323" wp14:editId="12380F55">
            <wp:extent cx="2703576" cy="2261616"/>
            <wp:effectExtent l="0" t="0" r="1905" b="5715"/>
            <wp:docPr id="31" name="Picture 31"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G_1_1.tif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0BB0ECA6" wp14:editId="1D735BB2">
            <wp:extent cx="2703576" cy="2261616"/>
            <wp:effectExtent l="0" t="0" r="1905" b="5715"/>
            <wp:docPr id="713728" name="Picture 713728"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H_1_1.tiff"/>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455EE0" w:rsidRDefault="00455EE0" w:rsidP="00573851">
      <w:pPr>
        <w:pStyle w:val="BodyText"/>
      </w:pPr>
      <w:r>
        <w:rPr>
          <w:noProof/>
        </w:rPr>
        <w:drawing>
          <wp:inline distT="0" distB="0" distL="0" distR="0" wp14:anchorId="6D9188C3" wp14:editId="03389D86">
            <wp:extent cx="2703576" cy="2261616"/>
            <wp:effectExtent l="0" t="0" r="1905" b="5715"/>
            <wp:docPr id="713729" name="Picture 713729"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I_1_1.tiff"/>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2DFFDABF" wp14:editId="4B77ACA7">
            <wp:extent cx="2703576" cy="2261616"/>
            <wp:effectExtent l="0" t="0" r="1905" b="5715"/>
            <wp:docPr id="713730" name="Picture 713730"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J_1_1.tiff"/>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E84C85" w:rsidRDefault="00455EE0" w:rsidP="00573851">
      <w:pPr>
        <w:pStyle w:val="BodyText"/>
      </w:pPr>
      <w:r>
        <w:rPr>
          <w:noProof/>
        </w:rPr>
        <w:lastRenderedPageBreak/>
        <w:drawing>
          <wp:inline distT="0" distB="0" distL="0" distR="0" wp14:anchorId="4927564A" wp14:editId="052623A3">
            <wp:extent cx="2703576" cy="2261616"/>
            <wp:effectExtent l="0" t="0" r="1905" b="5715"/>
            <wp:docPr id="713731" name="Picture 713731"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K_1_1.tiff"/>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2331D405" wp14:editId="499F994F">
            <wp:extent cx="2703576" cy="2261616"/>
            <wp:effectExtent l="0" t="0" r="1905" b="5715"/>
            <wp:docPr id="713733" name="Picture 713733"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L_1_1.tiff"/>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E84C85" w:rsidRDefault="00455EE0" w:rsidP="00573851">
      <w:pPr>
        <w:pStyle w:val="BodyText"/>
      </w:pPr>
      <w:r>
        <w:rPr>
          <w:noProof/>
        </w:rPr>
        <w:drawing>
          <wp:inline distT="0" distB="0" distL="0" distR="0" wp14:anchorId="0AC94F35" wp14:editId="67F0601F">
            <wp:extent cx="2703576" cy="2261616"/>
            <wp:effectExtent l="0" t="0" r="1905" b="5715"/>
            <wp:docPr id="713734" name="Picture 713734"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M_1_1.tif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0BA46420" wp14:editId="3CA1D174">
            <wp:extent cx="2703576" cy="2261616"/>
            <wp:effectExtent l="0" t="0" r="1905" b="5715"/>
            <wp:docPr id="713735" name="Picture 713735"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N_1_1.tif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E84C85" w:rsidRDefault="00455EE0" w:rsidP="00573851">
      <w:pPr>
        <w:pStyle w:val="BodyText"/>
      </w:pPr>
      <w:r>
        <w:rPr>
          <w:noProof/>
        </w:rPr>
        <w:drawing>
          <wp:inline distT="0" distB="0" distL="0" distR="0" wp14:anchorId="26ED20F7" wp14:editId="721664B1">
            <wp:extent cx="2703576" cy="2261616"/>
            <wp:effectExtent l="0" t="0" r="1905" b="5715"/>
            <wp:docPr id="713736" name="Picture 713736"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O_1_1.tif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6021C6A5" wp14:editId="0ACE9ACF">
            <wp:extent cx="2703576" cy="2261616"/>
            <wp:effectExtent l="0" t="0" r="1905" b="5715"/>
            <wp:docPr id="713737" name="Picture 713737"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P_1_1.tif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E84C85" w:rsidRDefault="00455EE0" w:rsidP="00573851">
      <w:pPr>
        <w:pStyle w:val="BodyText"/>
      </w:pPr>
      <w:r>
        <w:rPr>
          <w:noProof/>
        </w:rPr>
        <w:lastRenderedPageBreak/>
        <w:drawing>
          <wp:inline distT="0" distB="0" distL="0" distR="0" wp14:anchorId="3315BC22" wp14:editId="63DF4262">
            <wp:extent cx="2703576" cy="2261616"/>
            <wp:effectExtent l="0" t="0" r="1905" b="5715"/>
            <wp:docPr id="713738" name="Picture 713738"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Q_1_1.tiff"/>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0702A83C" wp14:editId="0BFCB83A">
            <wp:extent cx="2703576" cy="2261616"/>
            <wp:effectExtent l="0" t="0" r="1905" b="5715"/>
            <wp:docPr id="713739" name="Picture 713739"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R_1_1.tiff"/>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E84C85" w:rsidRDefault="00455EE0" w:rsidP="00573851">
      <w:pPr>
        <w:pStyle w:val="BodyText"/>
      </w:pPr>
      <w:r>
        <w:rPr>
          <w:noProof/>
        </w:rPr>
        <w:drawing>
          <wp:inline distT="0" distB="0" distL="0" distR="0" wp14:anchorId="793445E9" wp14:editId="656AE85D">
            <wp:extent cx="2703576" cy="2261616"/>
            <wp:effectExtent l="0" t="0" r="1905" b="5715"/>
            <wp:docPr id="713740" name="Picture 713740"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S_1_1.tif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51612734" wp14:editId="1729D38E">
            <wp:extent cx="2703576" cy="2261616"/>
            <wp:effectExtent l="0" t="0" r="1905" b="5715"/>
            <wp:docPr id="713748" name="Picture 713748"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T_1_1.tiff"/>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E84C85" w:rsidRDefault="00455EE0" w:rsidP="00573851">
      <w:pPr>
        <w:pStyle w:val="BodyText"/>
      </w:pPr>
      <w:r>
        <w:rPr>
          <w:noProof/>
        </w:rPr>
        <w:drawing>
          <wp:inline distT="0" distB="0" distL="0" distR="0" wp14:anchorId="3AA5A403" wp14:editId="7F91CE1E">
            <wp:extent cx="2703576" cy="2261616"/>
            <wp:effectExtent l="0" t="0" r="1905" b="5715"/>
            <wp:docPr id="713742" name="Picture 713742"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U_1_1.tiff"/>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179D5C99" wp14:editId="0AF60B43">
            <wp:extent cx="2703576" cy="2261616"/>
            <wp:effectExtent l="0" t="0" r="1905" b="5715"/>
            <wp:docPr id="713743" name="Picture 713743"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V_1_1.tiff"/>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E84C85" w:rsidRDefault="00455EE0" w:rsidP="00573851">
      <w:pPr>
        <w:pStyle w:val="BodyText"/>
      </w:pPr>
      <w:r>
        <w:rPr>
          <w:noProof/>
        </w:rPr>
        <w:lastRenderedPageBreak/>
        <w:drawing>
          <wp:inline distT="0" distB="0" distL="0" distR="0" wp14:anchorId="1C1ACD3A" wp14:editId="4B3FF346">
            <wp:extent cx="2703576" cy="2261616"/>
            <wp:effectExtent l="0" t="0" r="1905" b="5715"/>
            <wp:docPr id="713744" name="Picture 713744"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W_1_1.tif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6F64B006" wp14:editId="04C1D018">
            <wp:extent cx="2703576" cy="2261616"/>
            <wp:effectExtent l="0" t="0" r="1905" b="5715"/>
            <wp:docPr id="713745" name="Picture 713745"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X_1_1.tiff"/>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C01347" w:rsidRDefault="00455EE0" w:rsidP="00573851">
      <w:pPr>
        <w:pStyle w:val="BodyText"/>
      </w:pPr>
      <w:r>
        <w:rPr>
          <w:noProof/>
        </w:rPr>
        <w:drawing>
          <wp:inline distT="0" distB="0" distL="0" distR="0" wp14:anchorId="1A58CA37" wp14:editId="5B525ADF">
            <wp:extent cx="2703576" cy="2261616"/>
            <wp:effectExtent l="0" t="0" r="1905" b="5715"/>
            <wp:docPr id="713746" name="Picture 713746"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Y_1_1.tiff"/>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r>
        <w:rPr>
          <w:noProof/>
        </w:rPr>
        <w:drawing>
          <wp:inline distT="0" distB="0" distL="0" distR="0" wp14:anchorId="01751460" wp14:editId="039B67EB">
            <wp:extent cx="2703576" cy="2261616"/>
            <wp:effectExtent l="0" t="0" r="1905" b="5715"/>
            <wp:docPr id="713747" name="Picture 713747"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Z_1_1.tiff"/>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03576" cy="2261616"/>
                    </a:xfrm>
                    <a:prstGeom prst="rect">
                      <a:avLst/>
                    </a:prstGeom>
                  </pic:spPr>
                </pic:pic>
              </a:graphicData>
            </a:graphic>
          </wp:inline>
        </w:drawing>
      </w:r>
    </w:p>
    <w:p w:rsidR="00BC4437" w:rsidRDefault="00BC4437" w:rsidP="00BC4437">
      <w:pPr>
        <w:pStyle w:val="Caption"/>
      </w:pPr>
      <w:bookmarkStart w:id="44" w:name="_Toc371577686"/>
      <w:r>
        <w:t xml:space="preserve">Figure </w:t>
      </w:r>
      <w:r w:rsidR="006220B6">
        <w:fldChar w:fldCharType="begin"/>
      </w:r>
      <w:r w:rsidR="006220B6">
        <w:instrText xml:space="preserve"> SEQ Figure \* ARABIC </w:instrText>
      </w:r>
      <w:r w:rsidR="006220B6">
        <w:fldChar w:fldCharType="separate"/>
      </w:r>
      <w:r w:rsidR="00552102">
        <w:rPr>
          <w:noProof/>
        </w:rPr>
        <w:t>24</w:t>
      </w:r>
      <w:r w:rsidR="006220B6">
        <w:rPr>
          <w:noProof/>
        </w:rPr>
        <w:fldChar w:fldCharType="end"/>
      </w:r>
      <w:r>
        <w:t xml:space="preserve"> The </w:t>
      </w:r>
      <w:r w:rsidR="0006022D">
        <w:t>h</w:t>
      </w:r>
      <w:r>
        <w:t xml:space="preserve">azard curves for the 26 locations A </w:t>
      </w:r>
      <w:r w:rsidR="0006022D">
        <w:t>–</w:t>
      </w:r>
      <w:r>
        <w:t xml:space="preserve"> Z</w:t>
      </w:r>
      <w:r w:rsidR="0006022D">
        <w:t xml:space="preserve"> shown in </w:t>
      </w:r>
      <w:r w:rsidR="0006022D" w:rsidRPr="001932F2">
        <w:rPr>
          <w:rStyle w:val="Hyperlink"/>
        </w:rPr>
        <w:t>Figures 21</w:t>
      </w:r>
      <w:r w:rsidR="0006022D">
        <w:t xml:space="preserve"> and </w:t>
      </w:r>
      <w:r w:rsidR="0006022D" w:rsidRPr="001932F2">
        <w:rPr>
          <w:rStyle w:val="Hyperlink"/>
        </w:rPr>
        <w:t>22</w:t>
      </w:r>
      <w:r>
        <w:t>.</w:t>
      </w:r>
      <w:r w:rsidR="00E62258">
        <w:t xml:space="preserve"> All the </w:t>
      </w:r>
      <w:r w:rsidR="00704F27">
        <w:t>SA</w:t>
      </w:r>
      <w:r w:rsidR="00E62258">
        <w:t xml:space="preserve"> curves were calculated </w:t>
      </w:r>
      <w:r w:rsidR="00C40454">
        <w:t xml:space="preserve">at </w:t>
      </w:r>
      <w:r w:rsidR="00E62258">
        <w:t>5% damping.</w:t>
      </w:r>
      <w:bookmarkEnd w:id="44"/>
    </w:p>
    <w:p w:rsidR="00395352" w:rsidRDefault="00395352" w:rsidP="005E5041">
      <w:pPr>
        <w:pStyle w:val="Heading1"/>
      </w:pPr>
      <w:bookmarkStart w:id="45" w:name="_Toc363824437"/>
      <w:bookmarkStart w:id="46" w:name="_Toc363824438"/>
      <w:bookmarkStart w:id="47" w:name="_Toc363824439"/>
      <w:bookmarkStart w:id="48" w:name="_Toc371577704"/>
      <w:bookmarkEnd w:id="45"/>
      <w:bookmarkEnd w:id="46"/>
      <w:bookmarkEnd w:id="47"/>
      <w:r>
        <w:lastRenderedPageBreak/>
        <w:t>Hazard Spectra</w:t>
      </w:r>
      <w:bookmarkEnd w:id="48"/>
    </w:p>
    <w:p w:rsidR="00BE30C8" w:rsidRDefault="002234C0" w:rsidP="00150B52">
      <w:pPr>
        <w:pStyle w:val="BodyText"/>
      </w:pPr>
      <w:r>
        <w:t xml:space="preserve">This section presents </w:t>
      </w:r>
      <w:r w:rsidR="00F001E1">
        <w:t>t</w:t>
      </w:r>
      <w:r w:rsidR="00CA06CB" w:rsidRPr="00CA06CB">
        <w:t>he hazard spectra for the eight capital cities (</w:t>
      </w:r>
      <w:r w:rsidR="00CA06CB" w:rsidRPr="00717638">
        <w:rPr>
          <w:rStyle w:val="Hyperlink"/>
        </w:rPr>
        <w:t>Figures 25</w:t>
      </w:r>
      <w:r w:rsidR="00CA06CB" w:rsidRPr="00CA06CB">
        <w:t xml:space="preserve"> and</w:t>
      </w:r>
      <w:r w:rsidR="00CA06CB" w:rsidRPr="00717638">
        <w:rPr>
          <w:rStyle w:val="Hyperlink"/>
        </w:rPr>
        <w:t xml:space="preserve"> 26</w:t>
      </w:r>
      <w:r w:rsidR="00CA06CB" w:rsidRPr="00CA06CB">
        <w:t>) locat</w:t>
      </w:r>
      <w:r w:rsidR="00F2777B">
        <w:t>ions D, K, T, V, Y and Tennant C</w:t>
      </w:r>
      <w:r w:rsidR="00CA06CB" w:rsidRPr="00CA06CB">
        <w:t>reek</w:t>
      </w:r>
      <w:r w:rsidR="00CA06CB">
        <w:t xml:space="preserve"> (</w:t>
      </w:r>
      <w:r w:rsidR="00CA06CB" w:rsidRPr="00717638">
        <w:rPr>
          <w:rStyle w:val="Hyperlink"/>
        </w:rPr>
        <w:t>Figure 27</w:t>
      </w:r>
      <w:r w:rsidR="00CA06CB">
        <w:t>).</w:t>
      </w:r>
      <w:r w:rsidR="00E62258">
        <w:t xml:space="preserve"> Again, </w:t>
      </w:r>
      <w:r w:rsidR="00F001E1">
        <w:t xml:space="preserve">all </w:t>
      </w:r>
      <w:r w:rsidR="00E62258">
        <w:t xml:space="preserve">the </w:t>
      </w:r>
      <w:r w:rsidR="00704F27">
        <w:t>SA</w:t>
      </w:r>
      <w:r w:rsidR="00E62258">
        <w:t xml:space="preserve"> curves </w:t>
      </w:r>
      <w:r w:rsidR="00301085">
        <w:t>are for</w:t>
      </w:r>
      <w:r w:rsidR="00E62258">
        <w:t xml:space="preserve"> 5% damping.</w:t>
      </w:r>
      <w:r w:rsidR="00CA06CB">
        <w:t xml:space="preserve"> The shape of the hazard spectra falls into two classes. Those located in the </w:t>
      </w:r>
      <w:proofErr w:type="spellStart"/>
      <w:r w:rsidR="00CA06CB">
        <w:t>Cratonic</w:t>
      </w:r>
      <w:proofErr w:type="spellEnd"/>
      <w:r w:rsidR="00CA06CB">
        <w:t xml:space="preserve"> crust of Australia all ha</w:t>
      </w:r>
      <w:r w:rsidR="00F2777B">
        <w:t>ve a peak at 0.1s (e.g. Perth, l</w:t>
      </w:r>
      <w:r w:rsidR="00CA06CB">
        <w:t xml:space="preserve">ocations T, V, </w:t>
      </w:r>
      <w:proofErr w:type="gramStart"/>
      <w:r w:rsidR="00CA06CB">
        <w:t>Y</w:t>
      </w:r>
      <w:proofErr w:type="gramEnd"/>
      <w:r w:rsidR="00CA06CB">
        <w:t xml:space="preserve"> &amp; Tennant Creek). Those in the non- </w:t>
      </w:r>
      <w:proofErr w:type="spellStart"/>
      <w:r w:rsidR="00CA06CB">
        <w:t>Cratonic</w:t>
      </w:r>
      <w:proofErr w:type="spellEnd"/>
      <w:r w:rsidR="00CA06CB">
        <w:t xml:space="preserve"> crust of Australia have </w:t>
      </w:r>
      <w:r w:rsidR="001F1449">
        <w:t>a peak at 0.2s (e.g.</w:t>
      </w:r>
      <w:r w:rsidR="00CA06CB">
        <w:t xml:space="preserve"> Canberra, Melbourne, Sydney</w:t>
      </w:r>
      <w:r w:rsidR="001F1449">
        <w:t xml:space="preserve">, locations D and K). This is likely </w:t>
      </w:r>
      <w:r w:rsidR="00F001E1">
        <w:t xml:space="preserve">to be mostly </w:t>
      </w:r>
      <w:r w:rsidR="001F1449">
        <w:t xml:space="preserve">due to the different GMPEs used in </w:t>
      </w:r>
      <w:proofErr w:type="spellStart"/>
      <w:r w:rsidR="001F1449">
        <w:t>Cratonic</w:t>
      </w:r>
      <w:proofErr w:type="spellEnd"/>
      <w:r w:rsidR="001F1449">
        <w:t xml:space="preserve"> and non-</w:t>
      </w:r>
      <w:proofErr w:type="spellStart"/>
      <w:r w:rsidR="001F1449">
        <w:t>Cratonic</w:t>
      </w:r>
      <w:proofErr w:type="spellEnd"/>
      <w:r w:rsidR="001F1449">
        <w:t xml:space="preserve"> crust</w:t>
      </w:r>
      <w:r w:rsidR="00F001E1">
        <w:t xml:space="preserve"> zones</w:t>
      </w:r>
      <w:r w:rsidR="001F1449">
        <w:t>. Adelaide, despite being located in non-</w:t>
      </w:r>
      <w:proofErr w:type="spellStart"/>
      <w:r w:rsidR="001F1449">
        <w:t>Cratonic</w:t>
      </w:r>
      <w:proofErr w:type="spellEnd"/>
      <w:r w:rsidR="001F1449">
        <w:t xml:space="preserve"> crust</w:t>
      </w:r>
      <w:r w:rsidR="00A47DD1">
        <w:t>,</w:t>
      </w:r>
      <w:r w:rsidR="001F1449">
        <w:t xml:space="preserve"> has a hazard spectra similar to the</w:t>
      </w:r>
      <w:r w:rsidR="00C6620C">
        <w:t xml:space="preserve"> locations in</w:t>
      </w:r>
      <w:r w:rsidR="001F1449">
        <w:t xml:space="preserve"> </w:t>
      </w:r>
      <w:proofErr w:type="spellStart"/>
      <w:r w:rsidR="001F1449">
        <w:t>Cratonic</w:t>
      </w:r>
      <w:proofErr w:type="spellEnd"/>
      <w:r w:rsidR="001F1449">
        <w:t xml:space="preserve"> </w:t>
      </w:r>
      <w:r w:rsidR="00C6620C">
        <w:t>zones</w:t>
      </w:r>
      <w:r w:rsidR="001F1449">
        <w:t>. Th</w:t>
      </w:r>
      <w:r w:rsidR="009A2605">
        <w:t>is is probably because</w:t>
      </w:r>
      <w:r w:rsidR="001F1449">
        <w:t xml:space="preserve"> Adelaide is surrounded by </w:t>
      </w:r>
      <w:proofErr w:type="spellStart"/>
      <w:r w:rsidR="001F1449">
        <w:t>Cratonic</w:t>
      </w:r>
      <w:proofErr w:type="spellEnd"/>
      <w:r w:rsidR="001F1449">
        <w:t xml:space="preserve"> crust</w:t>
      </w:r>
      <w:r w:rsidR="009A2605">
        <w:t xml:space="preserve"> zones</w:t>
      </w:r>
      <w:r w:rsidR="007157C8">
        <w:t xml:space="preserve"> and </w:t>
      </w:r>
      <w:r w:rsidR="00C6620C">
        <w:t>the hazard in the city is</w:t>
      </w:r>
      <w:r w:rsidR="007157C8">
        <w:t xml:space="preserve"> therefore </w:t>
      </w:r>
      <w:r w:rsidR="00C6620C">
        <w:t xml:space="preserve">driven by </w:t>
      </w:r>
      <w:r w:rsidR="007157C8">
        <w:t>earthquakes in those zones.</w:t>
      </w:r>
      <w:r w:rsidR="00253446">
        <w:t xml:space="preserve"> The </w:t>
      </w:r>
      <w:r w:rsidR="00C32F92">
        <w:t>s</w:t>
      </w:r>
      <w:r w:rsidR="00253446">
        <w:t>pectr</w:t>
      </w:r>
      <w:r w:rsidR="000148B9">
        <w:t>um</w:t>
      </w:r>
      <w:r w:rsidR="00253446">
        <w:t xml:space="preserve"> for Darwin is different</w:t>
      </w:r>
      <w:r w:rsidR="00C6620C">
        <w:t xml:space="preserve">. It </w:t>
      </w:r>
      <w:r w:rsidR="00253446">
        <w:t>contain</w:t>
      </w:r>
      <w:r w:rsidR="00C6620C">
        <w:t>s</w:t>
      </w:r>
      <w:r w:rsidR="00253446">
        <w:t xml:space="preserve"> relatively more long period energy </w:t>
      </w:r>
      <w:r w:rsidR="00C6620C">
        <w:t>than the other cities</w:t>
      </w:r>
      <w:r w:rsidR="00253446">
        <w:t xml:space="preserve"> due to the large </w:t>
      </w:r>
      <w:r w:rsidR="00253446" w:rsidRPr="00253446">
        <w:t>M</w:t>
      </w:r>
      <w:r w:rsidR="00253446" w:rsidRPr="00150B52">
        <w:rPr>
          <w:rStyle w:val="Subscript"/>
        </w:rPr>
        <w:t>MAX</w:t>
      </w:r>
      <w:r w:rsidR="00253446">
        <w:t xml:space="preserve"> </w:t>
      </w:r>
      <w:r w:rsidR="009A2605">
        <w:t>in</w:t>
      </w:r>
      <w:r w:rsidR="00253446">
        <w:t xml:space="preserve"> the </w:t>
      </w:r>
      <w:r w:rsidR="005A0B1F">
        <w:t xml:space="preserve">very active </w:t>
      </w:r>
      <w:r w:rsidR="00253446">
        <w:t>off shore source zones to the north</w:t>
      </w:r>
      <w:r w:rsidR="00F001E1">
        <w:t xml:space="preserve"> of Australia</w:t>
      </w:r>
      <w:r w:rsidR="00253446">
        <w:t>.</w:t>
      </w:r>
    </w:p>
    <w:p w:rsidR="000C2DCE" w:rsidRDefault="00253446" w:rsidP="00150B52">
      <w:pPr>
        <w:pStyle w:val="BodyText"/>
      </w:pPr>
      <w:r>
        <w:t xml:space="preserve">The difference between the </w:t>
      </w:r>
      <w:proofErr w:type="spellStart"/>
      <w:r>
        <w:t>Cratonic</w:t>
      </w:r>
      <w:proofErr w:type="spellEnd"/>
      <w:r>
        <w:t xml:space="preserve"> and non-</w:t>
      </w:r>
      <w:proofErr w:type="spellStart"/>
      <w:r>
        <w:t>Cratonic</w:t>
      </w:r>
      <w:proofErr w:type="spellEnd"/>
      <w:r>
        <w:t xml:space="preserve"> spectra is minor and small relative to the uncertainties in the spectra. This is typified by comparing locations D and V and locations K and Y in </w:t>
      </w:r>
      <w:r w:rsidRPr="00717638">
        <w:rPr>
          <w:rStyle w:val="Hyperlink"/>
        </w:rPr>
        <w:t>Figure 27</w:t>
      </w:r>
      <w:r>
        <w:t>.</w:t>
      </w:r>
      <w:r w:rsidR="000C2DCE">
        <w:t xml:space="preserve"> </w:t>
      </w:r>
      <w:r>
        <w:t>Given the overall similarity</w:t>
      </w:r>
      <w:r w:rsidR="009A2605">
        <w:t>,</w:t>
      </w:r>
      <w:r>
        <w:t xml:space="preserve"> the spectral shape of </w:t>
      </w:r>
      <w:r w:rsidR="006D4695">
        <w:t>Sydney, which</w:t>
      </w:r>
      <w:r>
        <w:t xml:space="preserve"> is almost identical </w:t>
      </w:r>
      <w:r w:rsidR="00301085">
        <w:t xml:space="preserve">to </w:t>
      </w:r>
      <w:r>
        <w:t>Melbourne</w:t>
      </w:r>
      <w:r w:rsidR="00F001E1">
        <w:t>,</w:t>
      </w:r>
      <w:r>
        <w:t xml:space="preserve"> could be used for </w:t>
      </w:r>
      <w:r w:rsidR="00C613D9">
        <w:t xml:space="preserve">almost all of Australia. The </w:t>
      </w:r>
      <w:r w:rsidR="005A0B1F">
        <w:t xml:space="preserve">main </w:t>
      </w:r>
      <w:r w:rsidR="00C613D9">
        <w:t xml:space="preserve">exceptions </w:t>
      </w:r>
      <w:r w:rsidR="005A0B1F">
        <w:t xml:space="preserve">to this </w:t>
      </w:r>
      <w:r w:rsidR="00C613D9">
        <w:t>being Darwin and the Timor Sea</w:t>
      </w:r>
      <w:r w:rsidR="009A2605">
        <w:t xml:space="preserve"> which have a much higher hazard</w:t>
      </w:r>
      <w:r w:rsidR="00A47DD1">
        <w:t xml:space="preserve"> spectra</w:t>
      </w:r>
      <w:r w:rsidR="009A2605">
        <w:t xml:space="preserve"> </w:t>
      </w:r>
      <w:r w:rsidR="00BA13A5">
        <w:t>at</w:t>
      </w:r>
      <w:r w:rsidR="009A2605">
        <w:t xml:space="preserve"> the longer </w:t>
      </w:r>
      <w:r w:rsidR="00704F27">
        <w:t>SA</w:t>
      </w:r>
      <w:r w:rsidR="009A2605">
        <w:t xml:space="preserve"> periods.</w:t>
      </w:r>
    </w:p>
    <w:p w:rsidR="00434FBD" w:rsidRDefault="00434FBD" w:rsidP="00573851">
      <w:pPr>
        <w:pStyle w:val="Figuresandimagesleft0"/>
      </w:pPr>
      <w:r>
        <w:rPr>
          <w:noProof/>
        </w:rPr>
        <w:drawing>
          <wp:inline distT="0" distB="0" distL="0" distR="0" wp14:anchorId="7BEE48F5" wp14:editId="7F71D93F">
            <wp:extent cx="2606040" cy="2563368"/>
            <wp:effectExtent l="0" t="0" r="3810" b="8890"/>
            <wp:docPr id="713764" name="Picture 713764"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500_spectra_1.tif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06040" cy="2563368"/>
                    </a:xfrm>
                    <a:prstGeom prst="rect">
                      <a:avLst/>
                    </a:prstGeom>
                  </pic:spPr>
                </pic:pic>
              </a:graphicData>
            </a:graphic>
          </wp:inline>
        </w:drawing>
      </w:r>
      <w:r>
        <w:rPr>
          <w:noProof/>
        </w:rPr>
        <w:drawing>
          <wp:inline distT="0" distB="0" distL="0" distR="0" wp14:anchorId="4DA8403E" wp14:editId="4AB57C30">
            <wp:extent cx="2606040" cy="2563368"/>
            <wp:effectExtent l="0" t="0" r="3810" b="8890"/>
            <wp:docPr id="713763" name="Picture 713763"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500_spectra_2.tif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6040" cy="2563368"/>
                    </a:xfrm>
                    <a:prstGeom prst="rect">
                      <a:avLst/>
                    </a:prstGeom>
                  </pic:spPr>
                </pic:pic>
              </a:graphicData>
            </a:graphic>
          </wp:inline>
        </w:drawing>
      </w:r>
    </w:p>
    <w:p w:rsidR="000C2DCE" w:rsidRDefault="00BE30C8" w:rsidP="00BE30C8">
      <w:pPr>
        <w:pStyle w:val="Caption"/>
      </w:pPr>
      <w:bookmarkStart w:id="49" w:name="_Toc371577687"/>
      <w:r>
        <w:t xml:space="preserve">Figure </w:t>
      </w:r>
      <w:r w:rsidR="006220B6">
        <w:fldChar w:fldCharType="begin"/>
      </w:r>
      <w:r w:rsidR="006220B6">
        <w:instrText xml:space="preserve"> SEQ Figure \* ARABIC </w:instrText>
      </w:r>
      <w:r w:rsidR="006220B6">
        <w:fldChar w:fldCharType="separate"/>
      </w:r>
      <w:r w:rsidR="00552102">
        <w:rPr>
          <w:noProof/>
        </w:rPr>
        <w:t>25</w:t>
      </w:r>
      <w:r w:rsidR="006220B6">
        <w:rPr>
          <w:noProof/>
        </w:rPr>
        <w:fldChar w:fldCharType="end"/>
      </w:r>
      <w:r>
        <w:t xml:space="preserve"> The 500 year</w:t>
      </w:r>
      <w:r w:rsidR="00F2777B">
        <w:t xml:space="preserve"> (</w:t>
      </w:r>
      <w:r w:rsidR="00434FBD">
        <w:t>thick solid lines</w:t>
      </w:r>
      <w:r w:rsidR="00472DE2">
        <w:t>)</w:t>
      </w:r>
      <w:r w:rsidR="00434FBD">
        <w:t xml:space="preserve">, 2500 year </w:t>
      </w:r>
      <w:r w:rsidR="00F2777B">
        <w:t>(</w:t>
      </w:r>
      <w:r w:rsidR="00434FBD">
        <w:t>thin solid lines</w:t>
      </w:r>
      <w:r w:rsidR="00472DE2">
        <w:t>)</w:t>
      </w:r>
      <w:r w:rsidR="00434FBD">
        <w:t>, and AS1170.4 500 year</w:t>
      </w:r>
      <w:r w:rsidR="00F2777B">
        <w:t xml:space="preserve"> </w:t>
      </w:r>
      <w:r w:rsidR="00472DE2">
        <w:t>(</w:t>
      </w:r>
      <w:r w:rsidR="00434FBD">
        <w:t>dotted line</w:t>
      </w:r>
      <w:r w:rsidR="00580856">
        <w:t>s</w:t>
      </w:r>
      <w:r w:rsidR="00472DE2">
        <w:t>)</w:t>
      </w:r>
      <w:r w:rsidR="00434FBD">
        <w:t>,</w:t>
      </w:r>
      <w:r>
        <w:t xml:space="preserve"> return period hazard spectra for the capital cities, out to 1.0s.</w:t>
      </w:r>
      <w:bookmarkEnd w:id="49"/>
    </w:p>
    <w:p w:rsidR="00434FBD" w:rsidRPr="00434FBD" w:rsidRDefault="00434FBD" w:rsidP="00F53C13">
      <w:pPr>
        <w:pStyle w:val="Figuresandimagesleft0"/>
      </w:pPr>
      <w:r>
        <w:rPr>
          <w:noProof/>
        </w:rPr>
        <w:lastRenderedPageBreak/>
        <w:drawing>
          <wp:inline distT="0" distB="0" distL="0" distR="0" wp14:anchorId="2F6A2C55" wp14:editId="17338C21">
            <wp:extent cx="2606040" cy="2563368"/>
            <wp:effectExtent l="0" t="0" r="3810" b="8890"/>
            <wp:docPr id="713765" name="Picture 713765"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500_spectra_1_3.tif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06040" cy="2563368"/>
                    </a:xfrm>
                    <a:prstGeom prst="rect">
                      <a:avLst/>
                    </a:prstGeom>
                  </pic:spPr>
                </pic:pic>
              </a:graphicData>
            </a:graphic>
          </wp:inline>
        </w:drawing>
      </w:r>
      <w:r>
        <w:rPr>
          <w:noProof/>
        </w:rPr>
        <w:drawing>
          <wp:inline distT="0" distB="0" distL="0" distR="0" wp14:anchorId="2F9379E6" wp14:editId="47B830F7">
            <wp:extent cx="2606040" cy="2563368"/>
            <wp:effectExtent l="0" t="0" r="3810" b="8890"/>
            <wp:docPr id="713766" name="Picture 713766"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500_spectra_2_3.tiff"/>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06040" cy="2563368"/>
                    </a:xfrm>
                    <a:prstGeom prst="rect">
                      <a:avLst/>
                    </a:prstGeom>
                  </pic:spPr>
                </pic:pic>
              </a:graphicData>
            </a:graphic>
          </wp:inline>
        </w:drawing>
      </w:r>
    </w:p>
    <w:p w:rsidR="000C2DCE" w:rsidRDefault="00BE30C8" w:rsidP="00BE30C8">
      <w:pPr>
        <w:pStyle w:val="Caption"/>
      </w:pPr>
      <w:bookmarkStart w:id="50" w:name="_Toc371577688"/>
      <w:r>
        <w:t xml:space="preserve">Figure </w:t>
      </w:r>
      <w:r w:rsidR="006220B6">
        <w:fldChar w:fldCharType="begin"/>
      </w:r>
      <w:r w:rsidR="006220B6">
        <w:instrText xml:space="preserve"> SEQ Figure \* ARABIC </w:instrText>
      </w:r>
      <w:r w:rsidR="006220B6">
        <w:fldChar w:fldCharType="separate"/>
      </w:r>
      <w:r w:rsidR="00552102">
        <w:rPr>
          <w:noProof/>
        </w:rPr>
        <w:t>26</w:t>
      </w:r>
      <w:r w:rsidR="006220B6">
        <w:rPr>
          <w:noProof/>
        </w:rPr>
        <w:fldChar w:fldCharType="end"/>
      </w:r>
      <w:r>
        <w:t xml:space="preserve"> </w:t>
      </w:r>
      <w:r w:rsidRPr="000F23F2">
        <w:t xml:space="preserve">The 500 year return period hazard spectra </w:t>
      </w:r>
      <w:r w:rsidR="00434FBD">
        <w:t>for the capital cities, out to 3</w:t>
      </w:r>
      <w:r w:rsidRPr="000F23F2">
        <w:t>.0s</w:t>
      </w:r>
      <w:r w:rsidR="00434FBD">
        <w:t>. The dotted line</w:t>
      </w:r>
      <w:r w:rsidR="00F2777B">
        <w:t>s are</w:t>
      </w:r>
      <w:r w:rsidR="00434FBD">
        <w:t xml:space="preserve"> the AS1170.4 500 year return period hazard spectra.</w:t>
      </w:r>
      <w:bookmarkEnd w:id="50"/>
    </w:p>
    <w:p w:rsidR="005E5041" w:rsidRDefault="00A40425" w:rsidP="00F53C13">
      <w:pPr>
        <w:pStyle w:val="Figuresandimagesleft0"/>
      </w:pPr>
      <w:r>
        <w:rPr>
          <w:noProof/>
        </w:rPr>
        <w:drawing>
          <wp:inline distT="0" distB="0" distL="0" distR="0" wp14:anchorId="003B475B" wp14:editId="7D2D1671">
            <wp:extent cx="2606040" cy="2563368"/>
            <wp:effectExtent l="0" t="0" r="3810" b="8890"/>
            <wp:docPr id="713750" name="Picture 713750"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nant_Creek_500_spectra_1.tiff"/>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06040" cy="2563368"/>
                    </a:xfrm>
                    <a:prstGeom prst="rect">
                      <a:avLst/>
                    </a:prstGeom>
                  </pic:spPr>
                </pic:pic>
              </a:graphicData>
            </a:graphic>
          </wp:inline>
        </w:drawing>
      </w:r>
      <w:r>
        <w:rPr>
          <w:noProof/>
        </w:rPr>
        <w:drawing>
          <wp:inline distT="0" distB="0" distL="0" distR="0" wp14:anchorId="45C2E995" wp14:editId="6187DD02">
            <wp:extent cx="2606040" cy="2563368"/>
            <wp:effectExtent l="0" t="0" r="3810" b="8890"/>
            <wp:docPr id="713749" name="Picture 713749" descr="Due to the complexity of this figure no alternative description has been provided. Please email Geoscience Australia at clientservices@ga.gov.au for an alternat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nnant_Creek_500_spectra_3.tiff"/>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06040" cy="2563368"/>
                    </a:xfrm>
                    <a:prstGeom prst="rect">
                      <a:avLst/>
                    </a:prstGeom>
                  </pic:spPr>
                </pic:pic>
              </a:graphicData>
            </a:graphic>
          </wp:inline>
        </w:drawing>
      </w:r>
    </w:p>
    <w:p w:rsidR="000C2DCE" w:rsidRDefault="00BE30C8" w:rsidP="00CF36EF">
      <w:pPr>
        <w:pStyle w:val="Caption"/>
      </w:pPr>
      <w:bookmarkStart w:id="51" w:name="_Toc371577689"/>
      <w:r>
        <w:t xml:space="preserve">Figure </w:t>
      </w:r>
      <w:r w:rsidR="006220B6">
        <w:fldChar w:fldCharType="begin"/>
      </w:r>
      <w:r w:rsidR="006220B6">
        <w:instrText xml:space="preserve"> SEQ Figure \* ARABIC </w:instrText>
      </w:r>
      <w:r w:rsidR="006220B6">
        <w:fldChar w:fldCharType="separate"/>
      </w:r>
      <w:r w:rsidR="00552102">
        <w:rPr>
          <w:noProof/>
        </w:rPr>
        <w:t>27</w:t>
      </w:r>
      <w:r w:rsidR="006220B6">
        <w:rPr>
          <w:noProof/>
        </w:rPr>
        <w:fldChar w:fldCharType="end"/>
      </w:r>
      <w:r w:rsidR="00CA06CB">
        <w:t xml:space="preserve"> </w:t>
      </w:r>
      <w:r w:rsidRPr="003B625E">
        <w:t>The 500 year return period hazar</w:t>
      </w:r>
      <w:r>
        <w:t>d spectra for the locat</w:t>
      </w:r>
      <w:r w:rsidR="00F2777B">
        <w:t>ions D, K, T, V, Y and Tennant C</w:t>
      </w:r>
      <w:r>
        <w:t>reek</w:t>
      </w:r>
      <w:r w:rsidRPr="003B625E">
        <w:t>, out to 1.0s</w:t>
      </w:r>
      <w:r w:rsidR="00F2777B">
        <w:t xml:space="preserve"> and 5.0s</w:t>
      </w:r>
      <w:r>
        <w:t>.</w:t>
      </w:r>
      <w:r w:rsidR="00580856">
        <w:t xml:space="preserve"> The location</w:t>
      </w:r>
      <w:r w:rsidR="00E4468F">
        <w:t xml:space="preserve"> D </w:t>
      </w:r>
      <w:r w:rsidR="00F2777B">
        <w:t>spectrum is</w:t>
      </w:r>
      <w:r w:rsidR="00E4468F">
        <w:t xml:space="preserve"> very similar to </w:t>
      </w:r>
      <w:r w:rsidR="00F2777B">
        <w:t xml:space="preserve">that of </w:t>
      </w:r>
      <w:r w:rsidR="00E4468F">
        <w:t>Melbourne’s.</w:t>
      </w:r>
      <w:bookmarkEnd w:id="51"/>
    </w:p>
    <w:p w:rsidR="003B3B37" w:rsidRPr="005168A9" w:rsidRDefault="00766E87" w:rsidP="00766E87">
      <w:pPr>
        <w:pStyle w:val="Heading1"/>
      </w:pPr>
      <w:bookmarkStart w:id="52" w:name="_Toc371577705"/>
      <w:r>
        <w:lastRenderedPageBreak/>
        <w:t xml:space="preserve">PGA </w:t>
      </w:r>
      <w:r w:rsidR="003B3B37" w:rsidRPr="005168A9">
        <w:t>Hazard</w:t>
      </w:r>
      <w:r w:rsidR="00BC4437" w:rsidRPr="005168A9">
        <w:t xml:space="preserve"> </w:t>
      </w:r>
      <w:r w:rsidR="00537440" w:rsidRPr="005168A9">
        <w:t>Values</w:t>
      </w:r>
      <w:bookmarkEnd w:id="52"/>
    </w:p>
    <w:p w:rsidR="003B3B37" w:rsidRDefault="002234C0" w:rsidP="00150B52">
      <w:pPr>
        <w:pStyle w:val="BodyText"/>
      </w:pPr>
      <w:r>
        <w:t xml:space="preserve">This section presents </w:t>
      </w:r>
      <w:r w:rsidR="00C5224B">
        <w:t>t</w:t>
      </w:r>
      <w:r w:rsidR="00C5224B" w:rsidRPr="00CA06CB">
        <w:t>he</w:t>
      </w:r>
      <w:r w:rsidR="00C5224B">
        <w:t xml:space="preserve"> </w:t>
      </w:r>
      <w:r w:rsidR="0076751C">
        <w:t xml:space="preserve">0.0s SA hazard value at 500 and 2500 year return periods for the 110 specific Australian </w:t>
      </w:r>
      <w:r w:rsidR="00C0737D">
        <w:t>locations.</w:t>
      </w:r>
      <w:r w:rsidR="0076751C">
        <w:t xml:space="preserve"> </w:t>
      </w:r>
      <w:r w:rsidR="00717638">
        <w:fldChar w:fldCharType="begin"/>
      </w:r>
      <w:r w:rsidR="00717638">
        <w:instrText xml:space="preserve"> REF _Ref372187115 \h </w:instrText>
      </w:r>
      <w:r w:rsidR="00717638">
        <w:fldChar w:fldCharType="separate"/>
      </w:r>
      <w:r w:rsidR="00717638">
        <w:t xml:space="preserve">Table </w:t>
      </w:r>
      <w:r w:rsidR="00717638">
        <w:rPr>
          <w:noProof/>
        </w:rPr>
        <w:t>3</w:t>
      </w:r>
      <w:r w:rsidR="00717638">
        <w:fldChar w:fldCharType="end"/>
      </w:r>
      <w:r w:rsidR="0076751C">
        <w:t xml:space="preserve"> gives the hazard values for the </w:t>
      </w:r>
      <w:r w:rsidR="00C5224B" w:rsidRPr="00C5224B">
        <w:t>8 capital cities</w:t>
      </w:r>
      <w:r w:rsidR="0076751C">
        <w:t xml:space="preserve">. </w:t>
      </w:r>
      <w:r w:rsidR="00717638">
        <w:fldChar w:fldCharType="begin"/>
      </w:r>
      <w:r w:rsidR="00717638">
        <w:instrText xml:space="preserve"> REF _Ref372187115 \h </w:instrText>
      </w:r>
      <w:r w:rsidR="00717638">
        <w:fldChar w:fldCharType="separate"/>
      </w:r>
      <w:r w:rsidR="00717638">
        <w:t xml:space="preserve">Table </w:t>
      </w:r>
      <w:r w:rsidR="00717638">
        <w:rPr>
          <w:noProof/>
        </w:rPr>
        <w:t>3</w:t>
      </w:r>
      <w:r w:rsidR="00717638">
        <w:fldChar w:fldCharType="end"/>
      </w:r>
      <w:r w:rsidR="0076751C">
        <w:t xml:space="preserve"> </w:t>
      </w:r>
      <w:r w:rsidR="00C0737D">
        <w:t xml:space="preserve">gives the hazard values </w:t>
      </w:r>
      <w:r w:rsidR="0076751C">
        <w:t>for</w:t>
      </w:r>
      <w:r w:rsidR="00C5224B">
        <w:t xml:space="preserve"> </w:t>
      </w:r>
      <w:r w:rsidR="0076751C">
        <w:t xml:space="preserve">the </w:t>
      </w:r>
      <w:r w:rsidR="00C5224B" w:rsidRPr="00C5224B">
        <w:t>76 c</w:t>
      </w:r>
      <w:r w:rsidR="0076751C">
        <w:t>ities and towns shown in Figures 11 to 20 (</w:t>
      </w:r>
      <w:r w:rsidR="00717638">
        <w:fldChar w:fldCharType="begin"/>
      </w:r>
      <w:r w:rsidR="00717638">
        <w:instrText xml:space="preserve"> REF _Ref372187115 \h </w:instrText>
      </w:r>
      <w:r w:rsidR="00717638">
        <w:fldChar w:fldCharType="separate"/>
      </w:r>
      <w:r w:rsidR="00717638">
        <w:t xml:space="preserve">Table </w:t>
      </w:r>
      <w:r w:rsidR="00717638">
        <w:rPr>
          <w:noProof/>
        </w:rPr>
        <w:t>3</w:t>
      </w:r>
      <w:r w:rsidR="00717638">
        <w:fldChar w:fldCharType="end"/>
      </w:r>
      <w:r w:rsidR="0076751C">
        <w:t xml:space="preserve">) and </w:t>
      </w:r>
      <w:r w:rsidR="00717638">
        <w:fldChar w:fldCharType="begin"/>
      </w:r>
      <w:r w:rsidR="00717638">
        <w:instrText xml:space="preserve"> REF _Ref372187123 \h </w:instrText>
      </w:r>
      <w:r w:rsidR="00717638">
        <w:fldChar w:fldCharType="separate"/>
      </w:r>
      <w:r w:rsidR="00717638">
        <w:t xml:space="preserve">Table </w:t>
      </w:r>
      <w:r w:rsidR="00717638">
        <w:rPr>
          <w:noProof/>
        </w:rPr>
        <w:t>4</w:t>
      </w:r>
      <w:r w:rsidR="00717638">
        <w:fldChar w:fldCharType="end"/>
      </w:r>
      <w:r w:rsidR="0076751C">
        <w:t xml:space="preserve"> </w:t>
      </w:r>
      <w:r w:rsidR="00C0737D">
        <w:t xml:space="preserve">for </w:t>
      </w:r>
      <w:r w:rsidR="0076751C">
        <w:t>the 26 locations shown in</w:t>
      </w:r>
      <w:r w:rsidR="0076751C" w:rsidRPr="00717638">
        <w:rPr>
          <w:rStyle w:val="Hyperlink"/>
        </w:rPr>
        <w:t xml:space="preserve"> Figures 21</w:t>
      </w:r>
      <w:r w:rsidR="0076751C">
        <w:t xml:space="preserve"> and </w:t>
      </w:r>
      <w:r w:rsidR="0076751C" w:rsidRPr="00717638">
        <w:rPr>
          <w:rStyle w:val="Hyperlink"/>
        </w:rPr>
        <w:t>22</w:t>
      </w:r>
    </w:p>
    <w:p w:rsidR="006D4695" w:rsidRDefault="006D4695" w:rsidP="00573851">
      <w:pPr>
        <w:pStyle w:val="Tabletitle"/>
      </w:pPr>
      <w:bookmarkStart w:id="53" w:name="_Toc371577691"/>
      <w:r>
        <w:t xml:space="preserve">Table </w:t>
      </w:r>
      <w:r w:rsidR="006220B6">
        <w:fldChar w:fldCharType="begin"/>
      </w:r>
      <w:r w:rsidR="006220B6">
        <w:instrText xml:space="preserve"> SEQ Table \* ARABIC </w:instrText>
      </w:r>
      <w:r w:rsidR="006220B6">
        <w:fldChar w:fldCharType="separate"/>
      </w:r>
      <w:r w:rsidR="00552102">
        <w:rPr>
          <w:noProof/>
        </w:rPr>
        <w:t>2</w:t>
      </w:r>
      <w:r w:rsidR="006220B6">
        <w:rPr>
          <w:noProof/>
        </w:rPr>
        <w:fldChar w:fldCharType="end"/>
      </w:r>
      <w:r w:rsidR="000C2DCE">
        <w:t xml:space="preserve"> </w:t>
      </w:r>
      <w:r>
        <w:t xml:space="preserve">The </w:t>
      </w:r>
      <w:r w:rsidRPr="00FE1D88">
        <w:t xml:space="preserve">0.0 s SA </w:t>
      </w:r>
      <w:r w:rsidR="00FA6184">
        <w:t xml:space="preserve">(PGA) </w:t>
      </w:r>
      <w:r>
        <w:t xml:space="preserve">hazard </w:t>
      </w:r>
      <w:r w:rsidRPr="00FE1D88">
        <w:t xml:space="preserve">value at 500 and 2500 year </w:t>
      </w:r>
      <w:r>
        <w:t>recurrence interval for the capital cities of Australia. For the la</w:t>
      </w:r>
      <w:r w:rsidR="00230045">
        <w:t>rger cities two values are given; o</w:t>
      </w:r>
      <w:r>
        <w:t xml:space="preserve">ne in the CBD and one for the largest value in the greater </w:t>
      </w:r>
      <w:r w:rsidR="009A2605">
        <w:t xml:space="preserve">metropolitan </w:t>
      </w:r>
      <w:r>
        <w:t>area of the city.</w:t>
      </w:r>
      <w:bookmarkEnd w:id="53"/>
    </w:p>
    <w:tbl>
      <w:tblPr>
        <w:tblStyle w:val="TableGAHeaderRow"/>
        <w:tblW w:w="0" w:type="auto"/>
        <w:tblLook w:val="04A0" w:firstRow="1" w:lastRow="0" w:firstColumn="1" w:lastColumn="0" w:noHBand="0" w:noVBand="1"/>
        <w:tblDescription w:val="This table contains name, latitute, longitude and  0.0 s SA (PGA) hazard value at 500 and 2500 year recurrence intervals for8 capital cities of Australia. "/>
      </w:tblPr>
      <w:tblGrid>
        <w:gridCol w:w="965"/>
        <w:gridCol w:w="665"/>
        <w:gridCol w:w="625"/>
        <w:gridCol w:w="665"/>
        <w:gridCol w:w="735"/>
        <w:gridCol w:w="1355"/>
        <w:gridCol w:w="665"/>
        <w:gridCol w:w="625"/>
        <w:gridCol w:w="665"/>
        <w:gridCol w:w="735"/>
      </w:tblGrid>
      <w:tr w:rsidR="00563DD7" w:rsidRPr="00BE01F0" w:rsidTr="00B17F1C">
        <w:trPr>
          <w:cnfStyle w:val="100000000000" w:firstRow="1" w:lastRow="0" w:firstColumn="0" w:lastColumn="0" w:oddVBand="0" w:evenVBand="0" w:oddHBand="0" w:evenHBand="0" w:firstRowFirstColumn="0" w:firstRowLastColumn="0" w:lastRowFirstColumn="0" w:lastRowLastColumn="0"/>
          <w:trHeight w:val="255"/>
          <w:tblHeader/>
        </w:trPr>
        <w:tc>
          <w:tcPr>
            <w:tcW w:w="0" w:type="auto"/>
            <w:noWrap/>
            <w:hideMark/>
          </w:tcPr>
          <w:p w:rsidR="00C5224B" w:rsidRPr="00BE01F0" w:rsidRDefault="00563DD7" w:rsidP="000C2DCE">
            <w:pPr>
              <w:pStyle w:val="Tabletextleft"/>
            </w:pPr>
            <w:r w:rsidRPr="00BE01F0">
              <w:t>Location</w:t>
            </w:r>
          </w:p>
        </w:tc>
        <w:tc>
          <w:tcPr>
            <w:tcW w:w="0" w:type="auto"/>
            <w:noWrap/>
            <w:hideMark/>
          </w:tcPr>
          <w:p w:rsidR="00563DD7" w:rsidRPr="00BE01F0" w:rsidRDefault="00563DD7" w:rsidP="000C2DCE">
            <w:pPr>
              <w:pStyle w:val="Tabletextleft"/>
            </w:pPr>
            <w:r w:rsidRPr="00BE01F0">
              <w:t>Long.</w:t>
            </w:r>
          </w:p>
        </w:tc>
        <w:tc>
          <w:tcPr>
            <w:tcW w:w="0" w:type="auto"/>
            <w:noWrap/>
            <w:hideMark/>
          </w:tcPr>
          <w:p w:rsidR="00563DD7" w:rsidRPr="00BE01F0" w:rsidRDefault="00563DD7" w:rsidP="000C2DCE">
            <w:pPr>
              <w:pStyle w:val="Tabletextleft"/>
            </w:pPr>
            <w:r w:rsidRPr="00BE01F0">
              <w:t>Lat.</w:t>
            </w:r>
          </w:p>
        </w:tc>
        <w:tc>
          <w:tcPr>
            <w:tcW w:w="0" w:type="auto"/>
            <w:noWrap/>
            <w:hideMark/>
          </w:tcPr>
          <w:p w:rsidR="00563DD7" w:rsidRPr="005168A9" w:rsidRDefault="00F2777B" w:rsidP="000C2DCE">
            <w:pPr>
              <w:pStyle w:val="Tabletextleft"/>
            </w:pPr>
            <w:r>
              <w:t xml:space="preserve">500 </w:t>
            </w:r>
            <w:proofErr w:type="spellStart"/>
            <w:r>
              <w:t>yr</w:t>
            </w:r>
            <w:proofErr w:type="spellEnd"/>
            <w:r w:rsidR="00563DD7" w:rsidRPr="005168A9">
              <w:t xml:space="preserve"> </w:t>
            </w:r>
            <w:r w:rsidR="00563DD7" w:rsidRPr="005168A9">
              <w:br/>
              <w:t>(g)</w:t>
            </w:r>
          </w:p>
        </w:tc>
        <w:tc>
          <w:tcPr>
            <w:tcW w:w="0" w:type="auto"/>
            <w:noWrap/>
            <w:hideMark/>
          </w:tcPr>
          <w:p w:rsidR="00563DD7" w:rsidRPr="005168A9" w:rsidRDefault="00F2777B" w:rsidP="000C2DCE">
            <w:pPr>
              <w:pStyle w:val="Tabletextleft"/>
            </w:pPr>
            <w:r>
              <w:t xml:space="preserve">2500 </w:t>
            </w:r>
            <w:proofErr w:type="spellStart"/>
            <w:r>
              <w:t>yr</w:t>
            </w:r>
            <w:proofErr w:type="spellEnd"/>
            <w:r w:rsidR="00563DD7" w:rsidRPr="005168A9">
              <w:br/>
              <w:t>(g)</w:t>
            </w:r>
          </w:p>
        </w:tc>
        <w:tc>
          <w:tcPr>
            <w:tcW w:w="0" w:type="auto"/>
            <w:noWrap/>
            <w:hideMark/>
          </w:tcPr>
          <w:p w:rsidR="00563DD7" w:rsidRPr="00BE01F0" w:rsidRDefault="00563DD7" w:rsidP="000C2DCE">
            <w:pPr>
              <w:pStyle w:val="Tabletextleft"/>
            </w:pPr>
            <w:r w:rsidRPr="00BE01F0">
              <w:t>Location</w:t>
            </w:r>
          </w:p>
        </w:tc>
        <w:tc>
          <w:tcPr>
            <w:tcW w:w="0" w:type="auto"/>
            <w:noWrap/>
            <w:hideMark/>
          </w:tcPr>
          <w:p w:rsidR="00563DD7" w:rsidRPr="00BE01F0" w:rsidRDefault="00563DD7" w:rsidP="000C2DCE">
            <w:pPr>
              <w:pStyle w:val="Tabletextleft"/>
            </w:pPr>
            <w:r w:rsidRPr="00BE01F0">
              <w:t>Long.</w:t>
            </w:r>
          </w:p>
        </w:tc>
        <w:tc>
          <w:tcPr>
            <w:tcW w:w="0" w:type="auto"/>
            <w:noWrap/>
            <w:hideMark/>
          </w:tcPr>
          <w:p w:rsidR="00563DD7" w:rsidRPr="00BE01F0" w:rsidRDefault="00563DD7" w:rsidP="000C2DCE">
            <w:pPr>
              <w:pStyle w:val="Tabletextleft"/>
            </w:pPr>
            <w:r w:rsidRPr="00BE01F0">
              <w:t>Lat.</w:t>
            </w:r>
          </w:p>
        </w:tc>
        <w:tc>
          <w:tcPr>
            <w:tcW w:w="0" w:type="auto"/>
            <w:noWrap/>
            <w:hideMark/>
          </w:tcPr>
          <w:p w:rsidR="00563DD7" w:rsidRPr="005168A9" w:rsidRDefault="00F2777B" w:rsidP="000C2DCE">
            <w:pPr>
              <w:pStyle w:val="Tabletextleft"/>
            </w:pPr>
            <w:r>
              <w:t xml:space="preserve">500 </w:t>
            </w:r>
            <w:proofErr w:type="spellStart"/>
            <w:r>
              <w:t>yr</w:t>
            </w:r>
            <w:proofErr w:type="spellEnd"/>
            <w:r w:rsidR="00563DD7" w:rsidRPr="005168A9">
              <w:t xml:space="preserve"> </w:t>
            </w:r>
            <w:r w:rsidR="00563DD7" w:rsidRPr="005168A9">
              <w:br/>
              <w:t>(g)</w:t>
            </w:r>
          </w:p>
        </w:tc>
        <w:tc>
          <w:tcPr>
            <w:tcW w:w="0" w:type="auto"/>
            <w:noWrap/>
            <w:hideMark/>
          </w:tcPr>
          <w:p w:rsidR="00563DD7" w:rsidRPr="005168A9" w:rsidRDefault="00F2777B" w:rsidP="000C2DCE">
            <w:pPr>
              <w:pStyle w:val="Tabletextleft"/>
            </w:pPr>
            <w:r>
              <w:t xml:space="preserve">2500 </w:t>
            </w:r>
            <w:proofErr w:type="spellStart"/>
            <w:r>
              <w:t>yr</w:t>
            </w:r>
            <w:proofErr w:type="spellEnd"/>
            <w:r w:rsidR="00563DD7" w:rsidRPr="005168A9">
              <w:br/>
              <w:t>(g)</w:t>
            </w:r>
          </w:p>
        </w:tc>
      </w:tr>
      <w:tr w:rsidR="0066503B" w:rsidRPr="00BE01F0" w:rsidTr="00B17F1C">
        <w:trPr>
          <w:cnfStyle w:val="000000100000" w:firstRow="0" w:lastRow="0" w:firstColumn="0" w:lastColumn="0" w:oddVBand="0" w:evenVBand="0" w:oddHBand="1" w:evenHBand="0" w:firstRowFirstColumn="0" w:firstRowLastColumn="0" w:lastRowFirstColumn="0" w:lastRowLastColumn="0"/>
          <w:trHeight w:val="255"/>
        </w:trPr>
        <w:tc>
          <w:tcPr>
            <w:tcW w:w="0" w:type="auto"/>
            <w:noWrap/>
            <w:hideMark/>
          </w:tcPr>
          <w:p w:rsidR="00C645C7" w:rsidRPr="00BE01F0" w:rsidRDefault="00C645C7" w:rsidP="000C2DCE">
            <w:pPr>
              <w:pStyle w:val="Tabletextleft"/>
            </w:pPr>
            <w:r w:rsidRPr="00BE01F0">
              <w:t>Adelaide</w:t>
            </w:r>
          </w:p>
        </w:tc>
        <w:tc>
          <w:tcPr>
            <w:tcW w:w="0" w:type="auto"/>
            <w:noWrap/>
            <w:hideMark/>
          </w:tcPr>
          <w:p w:rsidR="00C645C7" w:rsidRPr="00BE01F0" w:rsidRDefault="00C645C7" w:rsidP="000C2DCE">
            <w:pPr>
              <w:pStyle w:val="Tabletextleft"/>
            </w:pPr>
            <w:r w:rsidRPr="00BE01F0">
              <w:t>138.6</w:t>
            </w:r>
          </w:p>
        </w:tc>
        <w:tc>
          <w:tcPr>
            <w:tcW w:w="0" w:type="auto"/>
            <w:noWrap/>
            <w:hideMark/>
          </w:tcPr>
          <w:p w:rsidR="00C645C7" w:rsidRPr="00BE01F0" w:rsidRDefault="00C645C7" w:rsidP="000C2DCE">
            <w:pPr>
              <w:pStyle w:val="Tabletextleft"/>
            </w:pPr>
            <w:r w:rsidRPr="00BE01F0">
              <w:t>-34.93</w:t>
            </w:r>
          </w:p>
        </w:tc>
        <w:tc>
          <w:tcPr>
            <w:tcW w:w="0" w:type="auto"/>
            <w:noWrap/>
            <w:hideMark/>
          </w:tcPr>
          <w:p w:rsidR="00C645C7" w:rsidRPr="00BE01F0" w:rsidRDefault="00C645C7" w:rsidP="000C2DCE">
            <w:pPr>
              <w:pStyle w:val="Tabletextleft"/>
            </w:pPr>
            <w:r w:rsidRPr="00BE01F0">
              <w:t>0.0581</w:t>
            </w:r>
          </w:p>
        </w:tc>
        <w:tc>
          <w:tcPr>
            <w:tcW w:w="0" w:type="auto"/>
            <w:noWrap/>
            <w:hideMark/>
          </w:tcPr>
          <w:p w:rsidR="00C645C7" w:rsidRPr="00BE01F0" w:rsidRDefault="00C645C7" w:rsidP="000C2DCE">
            <w:pPr>
              <w:pStyle w:val="Tabletextleft"/>
            </w:pPr>
            <w:r w:rsidRPr="00BE01F0">
              <w:t>0.1562</w:t>
            </w:r>
          </w:p>
        </w:tc>
        <w:tc>
          <w:tcPr>
            <w:tcW w:w="0" w:type="auto"/>
            <w:noWrap/>
            <w:hideMark/>
          </w:tcPr>
          <w:p w:rsidR="00C645C7" w:rsidRPr="00BE01F0" w:rsidRDefault="00C645C7" w:rsidP="000C2DCE">
            <w:pPr>
              <w:pStyle w:val="Tabletextleft"/>
            </w:pPr>
            <w:r w:rsidRPr="00BE01F0">
              <w:t>Adelaide max</w:t>
            </w:r>
          </w:p>
        </w:tc>
        <w:tc>
          <w:tcPr>
            <w:tcW w:w="0" w:type="auto"/>
            <w:noWrap/>
            <w:hideMark/>
          </w:tcPr>
          <w:p w:rsidR="00C645C7" w:rsidRPr="00BE01F0" w:rsidRDefault="00C645C7" w:rsidP="000C2DCE">
            <w:pPr>
              <w:pStyle w:val="Tabletextleft"/>
            </w:pPr>
            <w:r w:rsidRPr="00BE01F0">
              <w:t>138.7</w:t>
            </w:r>
          </w:p>
        </w:tc>
        <w:tc>
          <w:tcPr>
            <w:tcW w:w="0" w:type="auto"/>
            <w:noWrap/>
            <w:hideMark/>
          </w:tcPr>
          <w:p w:rsidR="00C645C7" w:rsidRPr="00BE01F0" w:rsidRDefault="00C645C7" w:rsidP="000C2DCE">
            <w:pPr>
              <w:pStyle w:val="Tabletextleft"/>
            </w:pPr>
            <w:r w:rsidRPr="00BE01F0">
              <w:t>-34.75</w:t>
            </w:r>
          </w:p>
        </w:tc>
        <w:tc>
          <w:tcPr>
            <w:tcW w:w="0" w:type="auto"/>
            <w:noWrap/>
            <w:hideMark/>
          </w:tcPr>
          <w:p w:rsidR="00C645C7" w:rsidRPr="00BE01F0" w:rsidRDefault="00C645C7" w:rsidP="000C2DCE">
            <w:pPr>
              <w:pStyle w:val="Tabletextleft"/>
            </w:pPr>
            <w:r w:rsidRPr="00BE01F0">
              <w:t>0.0591</w:t>
            </w:r>
          </w:p>
        </w:tc>
        <w:tc>
          <w:tcPr>
            <w:tcW w:w="0" w:type="auto"/>
            <w:noWrap/>
            <w:hideMark/>
          </w:tcPr>
          <w:p w:rsidR="00C645C7" w:rsidRPr="00BE01F0" w:rsidRDefault="00C645C7" w:rsidP="000C2DCE">
            <w:pPr>
              <w:pStyle w:val="Tabletextleft"/>
            </w:pPr>
            <w:r w:rsidRPr="00BE01F0">
              <w:t>0.1580</w:t>
            </w:r>
          </w:p>
        </w:tc>
      </w:tr>
      <w:tr w:rsidR="0066503B" w:rsidRPr="00BE01F0" w:rsidTr="00B17F1C">
        <w:trPr>
          <w:cnfStyle w:val="000000010000" w:firstRow="0" w:lastRow="0" w:firstColumn="0" w:lastColumn="0" w:oddVBand="0" w:evenVBand="0" w:oddHBand="0" w:evenHBand="1" w:firstRowFirstColumn="0" w:firstRowLastColumn="0" w:lastRowFirstColumn="0" w:lastRowLastColumn="0"/>
          <w:trHeight w:val="255"/>
        </w:trPr>
        <w:tc>
          <w:tcPr>
            <w:tcW w:w="0" w:type="auto"/>
            <w:noWrap/>
            <w:hideMark/>
          </w:tcPr>
          <w:p w:rsidR="00C645C7" w:rsidRPr="00BE01F0" w:rsidRDefault="00C645C7" w:rsidP="000C2DCE">
            <w:pPr>
              <w:pStyle w:val="Tabletextleft"/>
            </w:pPr>
            <w:r w:rsidRPr="00BE01F0">
              <w:t>Brisbane</w:t>
            </w:r>
          </w:p>
        </w:tc>
        <w:tc>
          <w:tcPr>
            <w:tcW w:w="0" w:type="auto"/>
            <w:noWrap/>
            <w:hideMark/>
          </w:tcPr>
          <w:p w:rsidR="00C645C7" w:rsidRPr="00BE01F0" w:rsidRDefault="00C645C7" w:rsidP="000C2DCE">
            <w:pPr>
              <w:pStyle w:val="Tabletextleft"/>
            </w:pPr>
            <w:r w:rsidRPr="00BE01F0">
              <w:t>153.02</w:t>
            </w:r>
          </w:p>
        </w:tc>
        <w:tc>
          <w:tcPr>
            <w:tcW w:w="0" w:type="auto"/>
            <w:noWrap/>
            <w:hideMark/>
          </w:tcPr>
          <w:p w:rsidR="00C645C7" w:rsidRPr="00BE01F0" w:rsidRDefault="00C645C7" w:rsidP="000C2DCE">
            <w:pPr>
              <w:pStyle w:val="Tabletextleft"/>
            </w:pPr>
            <w:r w:rsidRPr="00BE01F0">
              <w:t>-27.47</w:t>
            </w:r>
          </w:p>
        </w:tc>
        <w:tc>
          <w:tcPr>
            <w:tcW w:w="0" w:type="auto"/>
            <w:noWrap/>
            <w:hideMark/>
          </w:tcPr>
          <w:p w:rsidR="00C645C7" w:rsidRPr="00BE01F0" w:rsidRDefault="00C645C7" w:rsidP="000C2DCE">
            <w:pPr>
              <w:pStyle w:val="Tabletextleft"/>
            </w:pPr>
            <w:r w:rsidRPr="00BE01F0">
              <w:t>0.0430</w:t>
            </w:r>
          </w:p>
        </w:tc>
        <w:tc>
          <w:tcPr>
            <w:tcW w:w="0" w:type="auto"/>
            <w:noWrap/>
            <w:hideMark/>
          </w:tcPr>
          <w:p w:rsidR="00C645C7" w:rsidRPr="00BE01F0" w:rsidRDefault="00C645C7" w:rsidP="000C2DCE">
            <w:pPr>
              <w:pStyle w:val="Tabletextleft"/>
            </w:pPr>
            <w:r w:rsidRPr="00BE01F0">
              <w:t>0.1310</w:t>
            </w:r>
          </w:p>
        </w:tc>
        <w:tc>
          <w:tcPr>
            <w:tcW w:w="0" w:type="auto"/>
            <w:noWrap/>
            <w:hideMark/>
          </w:tcPr>
          <w:p w:rsidR="00C645C7" w:rsidRPr="00BE01F0" w:rsidRDefault="00C645C7" w:rsidP="000C2DCE">
            <w:pPr>
              <w:pStyle w:val="Tabletextleft"/>
            </w:pPr>
            <w:r w:rsidRPr="00BE01F0">
              <w:t>Brisbane max</w:t>
            </w:r>
          </w:p>
        </w:tc>
        <w:tc>
          <w:tcPr>
            <w:tcW w:w="0" w:type="auto"/>
            <w:noWrap/>
            <w:hideMark/>
          </w:tcPr>
          <w:p w:rsidR="00C645C7" w:rsidRPr="00BE01F0" w:rsidRDefault="00C645C7" w:rsidP="000C2DCE">
            <w:pPr>
              <w:pStyle w:val="Tabletextleft"/>
            </w:pPr>
            <w:r w:rsidRPr="00BE01F0">
              <w:t>153.0</w:t>
            </w:r>
          </w:p>
        </w:tc>
        <w:tc>
          <w:tcPr>
            <w:tcW w:w="0" w:type="auto"/>
            <w:noWrap/>
            <w:hideMark/>
          </w:tcPr>
          <w:p w:rsidR="00C645C7" w:rsidRPr="00BE01F0" w:rsidRDefault="00C645C7" w:rsidP="000C2DCE">
            <w:pPr>
              <w:pStyle w:val="Tabletextleft"/>
            </w:pPr>
            <w:r w:rsidRPr="00BE01F0">
              <w:t>-27.29</w:t>
            </w:r>
          </w:p>
        </w:tc>
        <w:tc>
          <w:tcPr>
            <w:tcW w:w="0" w:type="auto"/>
            <w:noWrap/>
            <w:hideMark/>
          </w:tcPr>
          <w:p w:rsidR="00C645C7" w:rsidRPr="00BE01F0" w:rsidRDefault="00C645C7" w:rsidP="000C2DCE">
            <w:pPr>
              <w:pStyle w:val="Tabletextleft"/>
            </w:pPr>
            <w:r w:rsidRPr="00BE01F0">
              <w:t>0.0457</w:t>
            </w:r>
          </w:p>
        </w:tc>
        <w:tc>
          <w:tcPr>
            <w:tcW w:w="0" w:type="auto"/>
            <w:noWrap/>
            <w:hideMark/>
          </w:tcPr>
          <w:p w:rsidR="00C645C7" w:rsidRPr="00BE01F0" w:rsidRDefault="00C645C7" w:rsidP="000C2DCE">
            <w:pPr>
              <w:pStyle w:val="Tabletextleft"/>
            </w:pPr>
            <w:r w:rsidRPr="00BE01F0">
              <w:t>0.1389</w:t>
            </w:r>
          </w:p>
        </w:tc>
      </w:tr>
      <w:tr w:rsidR="0066503B" w:rsidRPr="00BE01F0" w:rsidTr="00B17F1C">
        <w:trPr>
          <w:cnfStyle w:val="000000100000" w:firstRow="0" w:lastRow="0" w:firstColumn="0" w:lastColumn="0" w:oddVBand="0" w:evenVBand="0" w:oddHBand="1" w:evenHBand="0" w:firstRowFirstColumn="0" w:firstRowLastColumn="0" w:lastRowFirstColumn="0" w:lastRowLastColumn="0"/>
          <w:trHeight w:val="255"/>
        </w:trPr>
        <w:tc>
          <w:tcPr>
            <w:tcW w:w="0" w:type="auto"/>
            <w:noWrap/>
            <w:hideMark/>
          </w:tcPr>
          <w:p w:rsidR="00C645C7" w:rsidRPr="00BE01F0" w:rsidRDefault="00C645C7" w:rsidP="000C2DCE">
            <w:pPr>
              <w:pStyle w:val="Tabletextleft"/>
            </w:pPr>
            <w:r w:rsidRPr="00BE01F0">
              <w:t>Melbourne</w:t>
            </w:r>
          </w:p>
        </w:tc>
        <w:tc>
          <w:tcPr>
            <w:tcW w:w="0" w:type="auto"/>
            <w:noWrap/>
            <w:hideMark/>
          </w:tcPr>
          <w:p w:rsidR="00C645C7" w:rsidRPr="00BE01F0" w:rsidRDefault="00C645C7" w:rsidP="000C2DCE">
            <w:pPr>
              <w:pStyle w:val="Tabletextleft"/>
            </w:pPr>
            <w:r w:rsidRPr="00BE01F0">
              <w:t>144.96</w:t>
            </w:r>
          </w:p>
        </w:tc>
        <w:tc>
          <w:tcPr>
            <w:tcW w:w="0" w:type="auto"/>
            <w:noWrap/>
            <w:hideMark/>
          </w:tcPr>
          <w:p w:rsidR="00C645C7" w:rsidRPr="00BE01F0" w:rsidRDefault="00C645C7" w:rsidP="000C2DCE">
            <w:pPr>
              <w:pStyle w:val="Tabletextleft"/>
            </w:pPr>
            <w:r w:rsidRPr="00BE01F0">
              <w:t>-37.81</w:t>
            </w:r>
          </w:p>
        </w:tc>
        <w:tc>
          <w:tcPr>
            <w:tcW w:w="0" w:type="auto"/>
            <w:noWrap/>
            <w:hideMark/>
          </w:tcPr>
          <w:p w:rsidR="00C645C7" w:rsidRPr="00BE01F0" w:rsidRDefault="00C645C7" w:rsidP="000C2DCE">
            <w:pPr>
              <w:pStyle w:val="Tabletextleft"/>
            </w:pPr>
            <w:r w:rsidRPr="00BE01F0">
              <w:t>0.0588</w:t>
            </w:r>
          </w:p>
        </w:tc>
        <w:tc>
          <w:tcPr>
            <w:tcW w:w="0" w:type="auto"/>
            <w:noWrap/>
            <w:hideMark/>
          </w:tcPr>
          <w:p w:rsidR="00C645C7" w:rsidRPr="00BE01F0" w:rsidRDefault="00C645C7" w:rsidP="000C2DCE">
            <w:pPr>
              <w:pStyle w:val="Tabletextleft"/>
            </w:pPr>
            <w:r w:rsidRPr="00BE01F0">
              <w:t>0.1568</w:t>
            </w:r>
          </w:p>
        </w:tc>
        <w:tc>
          <w:tcPr>
            <w:tcW w:w="0" w:type="auto"/>
            <w:noWrap/>
            <w:hideMark/>
          </w:tcPr>
          <w:p w:rsidR="00C645C7" w:rsidRPr="00BE01F0" w:rsidRDefault="00C645C7" w:rsidP="000C2DCE">
            <w:pPr>
              <w:pStyle w:val="Tabletextleft"/>
            </w:pPr>
            <w:r w:rsidRPr="00BE01F0">
              <w:t>Melbourne max</w:t>
            </w:r>
          </w:p>
        </w:tc>
        <w:tc>
          <w:tcPr>
            <w:tcW w:w="0" w:type="auto"/>
            <w:noWrap/>
            <w:hideMark/>
          </w:tcPr>
          <w:p w:rsidR="00C645C7" w:rsidRPr="00BE01F0" w:rsidRDefault="00C645C7" w:rsidP="000C2DCE">
            <w:pPr>
              <w:pStyle w:val="Tabletextleft"/>
            </w:pPr>
            <w:r w:rsidRPr="00BE01F0">
              <w:t>145.5</w:t>
            </w:r>
          </w:p>
        </w:tc>
        <w:tc>
          <w:tcPr>
            <w:tcW w:w="0" w:type="auto"/>
            <w:noWrap/>
            <w:hideMark/>
          </w:tcPr>
          <w:p w:rsidR="00C645C7" w:rsidRPr="00BE01F0" w:rsidRDefault="00C645C7" w:rsidP="000C2DCE">
            <w:pPr>
              <w:pStyle w:val="Tabletextleft"/>
            </w:pPr>
            <w:r w:rsidRPr="00BE01F0">
              <w:t>-38.07</w:t>
            </w:r>
          </w:p>
        </w:tc>
        <w:tc>
          <w:tcPr>
            <w:tcW w:w="0" w:type="auto"/>
            <w:noWrap/>
            <w:hideMark/>
          </w:tcPr>
          <w:p w:rsidR="00C645C7" w:rsidRPr="00BE01F0" w:rsidRDefault="00C645C7" w:rsidP="000C2DCE">
            <w:pPr>
              <w:pStyle w:val="Tabletextleft"/>
            </w:pPr>
            <w:r w:rsidRPr="00BE01F0">
              <w:t>0.0654</w:t>
            </w:r>
          </w:p>
        </w:tc>
        <w:tc>
          <w:tcPr>
            <w:tcW w:w="0" w:type="auto"/>
            <w:noWrap/>
            <w:hideMark/>
          </w:tcPr>
          <w:p w:rsidR="00C645C7" w:rsidRPr="00BE01F0" w:rsidRDefault="00C645C7" w:rsidP="000C2DCE">
            <w:pPr>
              <w:pStyle w:val="Tabletextleft"/>
            </w:pPr>
            <w:r w:rsidRPr="00BE01F0">
              <w:t>0.1731</w:t>
            </w:r>
          </w:p>
        </w:tc>
      </w:tr>
      <w:tr w:rsidR="0066503B" w:rsidRPr="00BE01F0" w:rsidTr="00B17F1C">
        <w:trPr>
          <w:cnfStyle w:val="000000010000" w:firstRow="0" w:lastRow="0" w:firstColumn="0" w:lastColumn="0" w:oddVBand="0" w:evenVBand="0" w:oddHBand="0" w:evenHBand="1" w:firstRowFirstColumn="0" w:firstRowLastColumn="0" w:lastRowFirstColumn="0" w:lastRowLastColumn="0"/>
          <w:trHeight w:val="255"/>
        </w:trPr>
        <w:tc>
          <w:tcPr>
            <w:tcW w:w="0" w:type="auto"/>
            <w:noWrap/>
            <w:hideMark/>
          </w:tcPr>
          <w:p w:rsidR="00C645C7" w:rsidRPr="00BE01F0" w:rsidRDefault="00C645C7" w:rsidP="000C2DCE">
            <w:pPr>
              <w:pStyle w:val="Tabletextleft"/>
            </w:pPr>
            <w:r w:rsidRPr="00BE01F0">
              <w:t>Perth</w:t>
            </w:r>
          </w:p>
        </w:tc>
        <w:tc>
          <w:tcPr>
            <w:tcW w:w="0" w:type="auto"/>
            <w:noWrap/>
            <w:hideMark/>
          </w:tcPr>
          <w:p w:rsidR="00C645C7" w:rsidRPr="00BE01F0" w:rsidRDefault="00C645C7" w:rsidP="000C2DCE">
            <w:pPr>
              <w:pStyle w:val="Tabletextleft"/>
            </w:pPr>
            <w:r w:rsidRPr="00BE01F0">
              <w:t>115.86</w:t>
            </w:r>
          </w:p>
        </w:tc>
        <w:tc>
          <w:tcPr>
            <w:tcW w:w="0" w:type="auto"/>
            <w:noWrap/>
            <w:hideMark/>
          </w:tcPr>
          <w:p w:rsidR="00C645C7" w:rsidRPr="00BE01F0" w:rsidRDefault="00C645C7" w:rsidP="000C2DCE">
            <w:pPr>
              <w:pStyle w:val="Tabletextleft"/>
            </w:pPr>
            <w:r w:rsidRPr="00BE01F0">
              <w:t>-31.95</w:t>
            </w:r>
          </w:p>
        </w:tc>
        <w:tc>
          <w:tcPr>
            <w:tcW w:w="0" w:type="auto"/>
            <w:noWrap/>
            <w:hideMark/>
          </w:tcPr>
          <w:p w:rsidR="00C645C7" w:rsidRPr="00BE01F0" w:rsidRDefault="00C645C7" w:rsidP="000C2DCE">
            <w:pPr>
              <w:pStyle w:val="Tabletextleft"/>
            </w:pPr>
            <w:r w:rsidRPr="00BE01F0">
              <w:t>0.0418</w:t>
            </w:r>
          </w:p>
        </w:tc>
        <w:tc>
          <w:tcPr>
            <w:tcW w:w="0" w:type="auto"/>
            <w:noWrap/>
            <w:hideMark/>
          </w:tcPr>
          <w:p w:rsidR="00C645C7" w:rsidRPr="00BE01F0" w:rsidRDefault="00C645C7" w:rsidP="000C2DCE">
            <w:pPr>
              <w:pStyle w:val="Tabletextleft"/>
            </w:pPr>
            <w:r w:rsidRPr="00BE01F0">
              <w:t>0.1184</w:t>
            </w:r>
          </w:p>
        </w:tc>
        <w:tc>
          <w:tcPr>
            <w:tcW w:w="0" w:type="auto"/>
            <w:noWrap/>
            <w:hideMark/>
          </w:tcPr>
          <w:p w:rsidR="00C645C7" w:rsidRPr="00BE01F0" w:rsidRDefault="00C645C7" w:rsidP="000C2DCE">
            <w:pPr>
              <w:pStyle w:val="Tabletextleft"/>
            </w:pPr>
            <w:r w:rsidRPr="00BE01F0">
              <w:t>Perth max</w:t>
            </w:r>
          </w:p>
        </w:tc>
        <w:tc>
          <w:tcPr>
            <w:tcW w:w="0" w:type="auto"/>
            <w:noWrap/>
            <w:hideMark/>
          </w:tcPr>
          <w:p w:rsidR="00C645C7" w:rsidRPr="00BE01F0" w:rsidRDefault="00C645C7" w:rsidP="000C2DCE">
            <w:pPr>
              <w:pStyle w:val="Tabletextleft"/>
            </w:pPr>
            <w:r w:rsidRPr="00BE01F0">
              <w:t>116.03</w:t>
            </w:r>
          </w:p>
        </w:tc>
        <w:tc>
          <w:tcPr>
            <w:tcW w:w="0" w:type="auto"/>
            <w:noWrap/>
            <w:hideMark/>
          </w:tcPr>
          <w:p w:rsidR="00C645C7" w:rsidRPr="00BE01F0" w:rsidRDefault="00C645C7" w:rsidP="000C2DCE">
            <w:pPr>
              <w:pStyle w:val="Tabletextleft"/>
            </w:pPr>
            <w:r w:rsidRPr="00BE01F0">
              <w:t>-31.89</w:t>
            </w:r>
          </w:p>
        </w:tc>
        <w:tc>
          <w:tcPr>
            <w:tcW w:w="0" w:type="auto"/>
            <w:noWrap/>
            <w:hideMark/>
          </w:tcPr>
          <w:p w:rsidR="00C645C7" w:rsidRPr="00BE01F0" w:rsidRDefault="00C645C7" w:rsidP="000C2DCE">
            <w:pPr>
              <w:pStyle w:val="Tabletextleft"/>
            </w:pPr>
            <w:r w:rsidRPr="00BE01F0">
              <w:t>0.0488</w:t>
            </w:r>
          </w:p>
        </w:tc>
        <w:tc>
          <w:tcPr>
            <w:tcW w:w="0" w:type="auto"/>
            <w:noWrap/>
            <w:hideMark/>
          </w:tcPr>
          <w:p w:rsidR="00C645C7" w:rsidRPr="00BE01F0" w:rsidRDefault="00C645C7" w:rsidP="000C2DCE">
            <w:pPr>
              <w:pStyle w:val="Tabletextleft"/>
            </w:pPr>
            <w:r w:rsidRPr="00BE01F0">
              <w:t>0.1431</w:t>
            </w:r>
          </w:p>
        </w:tc>
      </w:tr>
      <w:tr w:rsidR="0066503B" w:rsidRPr="00BE01F0" w:rsidTr="00B17F1C">
        <w:trPr>
          <w:cnfStyle w:val="000000100000" w:firstRow="0" w:lastRow="0" w:firstColumn="0" w:lastColumn="0" w:oddVBand="0" w:evenVBand="0" w:oddHBand="1" w:evenHBand="0" w:firstRowFirstColumn="0" w:firstRowLastColumn="0" w:lastRowFirstColumn="0" w:lastRowLastColumn="0"/>
          <w:trHeight w:val="255"/>
        </w:trPr>
        <w:tc>
          <w:tcPr>
            <w:tcW w:w="0" w:type="auto"/>
            <w:noWrap/>
            <w:hideMark/>
          </w:tcPr>
          <w:p w:rsidR="00C645C7" w:rsidRPr="00BE01F0" w:rsidRDefault="00C645C7" w:rsidP="000C2DCE">
            <w:pPr>
              <w:pStyle w:val="Tabletextleft"/>
            </w:pPr>
            <w:r w:rsidRPr="00BE01F0">
              <w:t>Sydney</w:t>
            </w:r>
          </w:p>
        </w:tc>
        <w:tc>
          <w:tcPr>
            <w:tcW w:w="0" w:type="auto"/>
            <w:noWrap/>
            <w:hideMark/>
          </w:tcPr>
          <w:p w:rsidR="00C645C7" w:rsidRPr="00BE01F0" w:rsidRDefault="00C645C7" w:rsidP="000C2DCE">
            <w:pPr>
              <w:pStyle w:val="Tabletextleft"/>
            </w:pPr>
            <w:r w:rsidRPr="00BE01F0">
              <w:t>151.2</w:t>
            </w:r>
          </w:p>
        </w:tc>
        <w:tc>
          <w:tcPr>
            <w:tcW w:w="0" w:type="auto"/>
            <w:noWrap/>
            <w:hideMark/>
          </w:tcPr>
          <w:p w:rsidR="00C645C7" w:rsidRPr="00BE01F0" w:rsidRDefault="00C645C7" w:rsidP="000C2DCE">
            <w:pPr>
              <w:pStyle w:val="Tabletextleft"/>
            </w:pPr>
            <w:r w:rsidRPr="00BE01F0">
              <w:t>-33.86</w:t>
            </w:r>
          </w:p>
        </w:tc>
        <w:tc>
          <w:tcPr>
            <w:tcW w:w="0" w:type="auto"/>
            <w:noWrap/>
            <w:hideMark/>
          </w:tcPr>
          <w:p w:rsidR="00C645C7" w:rsidRPr="00BE01F0" w:rsidRDefault="00C645C7" w:rsidP="000C2DCE">
            <w:pPr>
              <w:pStyle w:val="Tabletextleft"/>
            </w:pPr>
            <w:r w:rsidRPr="00BE01F0">
              <w:t>0.0560</w:t>
            </w:r>
          </w:p>
        </w:tc>
        <w:tc>
          <w:tcPr>
            <w:tcW w:w="0" w:type="auto"/>
            <w:noWrap/>
            <w:hideMark/>
          </w:tcPr>
          <w:p w:rsidR="00C645C7" w:rsidRPr="00BE01F0" w:rsidRDefault="00C645C7" w:rsidP="000C2DCE">
            <w:pPr>
              <w:pStyle w:val="Tabletextleft"/>
            </w:pPr>
            <w:r w:rsidRPr="00BE01F0">
              <w:t>0.1553</w:t>
            </w:r>
          </w:p>
        </w:tc>
        <w:tc>
          <w:tcPr>
            <w:tcW w:w="0" w:type="auto"/>
            <w:noWrap/>
            <w:hideMark/>
          </w:tcPr>
          <w:p w:rsidR="00C645C7" w:rsidRPr="00BE01F0" w:rsidRDefault="00C645C7" w:rsidP="000C2DCE">
            <w:pPr>
              <w:pStyle w:val="Tabletextleft"/>
            </w:pPr>
            <w:r w:rsidRPr="00BE01F0">
              <w:t>Sydney max</w:t>
            </w:r>
          </w:p>
        </w:tc>
        <w:tc>
          <w:tcPr>
            <w:tcW w:w="0" w:type="auto"/>
            <w:noWrap/>
            <w:hideMark/>
          </w:tcPr>
          <w:p w:rsidR="00C645C7" w:rsidRPr="00BE01F0" w:rsidRDefault="00C645C7" w:rsidP="000C2DCE">
            <w:pPr>
              <w:pStyle w:val="Tabletextleft"/>
            </w:pPr>
            <w:r w:rsidRPr="00BE01F0">
              <w:t>150.74</w:t>
            </w:r>
          </w:p>
        </w:tc>
        <w:tc>
          <w:tcPr>
            <w:tcW w:w="0" w:type="auto"/>
            <w:noWrap/>
            <w:hideMark/>
          </w:tcPr>
          <w:p w:rsidR="00C645C7" w:rsidRPr="00BE01F0" w:rsidRDefault="00C645C7" w:rsidP="000C2DCE">
            <w:pPr>
              <w:pStyle w:val="Tabletextleft"/>
            </w:pPr>
            <w:r w:rsidRPr="00BE01F0">
              <w:t>-33.59</w:t>
            </w:r>
          </w:p>
        </w:tc>
        <w:tc>
          <w:tcPr>
            <w:tcW w:w="0" w:type="auto"/>
            <w:noWrap/>
            <w:hideMark/>
          </w:tcPr>
          <w:p w:rsidR="00C645C7" w:rsidRPr="00BE01F0" w:rsidRDefault="00C645C7" w:rsidP="000C2DCE">
            <w:pPr>
              <w:pStyle w:val="Tabletextleft"/>
            </w:pPr>
            <w:r w:rsidRPr="00BE01F0">
              <w:t>0.0606</w:t>
            </w:r>
          </w:p>
        </w:tc>
        <w:tc>
          <w:tcPr>
            <w:tcW w:w="0" w:type="auto"/>
            <w:noWrap/>
            <w:hideMark/>
          </w:tcPr>
          <w:p w:rsidR="00C645C7" w:rsidRPr="00BE01F0" w:rsidRDefault="00C645C7" w:rsidP="000C2DCE">
            <w:pPr>
              <w:pStyle w:val="Tabletextleft"/>
            </w:pPr>
            <w:r w:rsidRPr="00BE01F0">
              <w:t>0.1636</w:t>
            </w:r>
          </w:p>
        </w:tc>
      </w:tr>
      <w:tr w:rsidR="0066503B" w:rsidRPr="00BE01F0" w:rsidTr="00B17F1C">
        <w:trPr>
          <w:cnfStyle w:val="000000010000" w:firstRow="0" w:lastRow="0" w:firstColumn="0" w:lastColumn="0" w:oddVBand="0" w:evenVBand="0" w:oddHBand="0" w:evenHBand="1" w:firstRowFirstColumn="0" w:firstRowLastColumn="0" w:lastRowFirstColumn="0" w:lastRowLastColumn="0"/>
          <w:trHeight w:val="255"/>
        </w:trPr>
        <w:tc>
          <w:tcPr>
            <w:tcW w:w="0" w:type="auto"/>
            <w:noWrap/>
            <w:hideMark/>
          </w:tcPr>
          <w:p w:rsidR="00C645C7" w:rsidRPr="00BE01F0" w:rsidRDefault="00C645C7" w:rsidP="000C2DCE">
            <w:pPr>
              <w:pStyle w:val="Tabletextleft"/>
            </w:pPr>
            <w:r w:rsidRPr="00BE01F0">
              <w:t>Canberra</w:t>
            </w:r>
          </w:p>
        </w:tc>
        <w:tc>
          <w:tcPr>
            <w:tcW w:w="0" w:type="auto"/>
            <w:noWrap/>
            <w:hideMark/>
          </w:tcPr>
          <w:p w:rsidR="00C645C7" w:rsidRPr="00BE01F0" w:rsidRDefault="00C645C7" w:rsidP="000C2DCE">
            <w:pPr>
              <w:pStyle w:val="Tabletextleft"/>
            </w:pPr>
            <w:r w:rsidRPr="00BE01F0">
              <w:t>149.13</w:t>
            </w:r>
          </w:p>
        </w:tc>
        <w:tc>
          <w:tcPr>
            <w:tcW w:w="0" w:type="auto"/>
            <w:noWrap/>
            <w:hideMark/>
          </w:tcPr>
          <w:p w:rsidR="00C645C7" w:rsidRPr="00BE01F0" w:rsidRDefault="00C645C7" w:rsidP="000C2DCE">
            <w:pPr>
              <w:pStyle w:val="Tabletextleft"/>
            </w:pPr>
            <w:r w:rsidRPr="00BE01F0">
              <w:t>-35.3</w:t>
            </w:r>
          </w:p>
        </w:tc>
        <w:tc>
          <w:tcPr>
            <w:tcW w:w="0" w:type="auto"/>
            <w:noWrap/>
            <w:hideMark/>
          </w:tcPr>
          <w:p w:rsidR="00C645C7" w:rsidRPr="00BE01F0" w:rsidRDefault="00C645C7" w:rsidP="000C2DCE">
            <w:pPr>
              <w:pStyle w:val="Tabletextleft"/>
            </w:pPr>
            <w:r w:rsidRPr="00BE01F0">
              <w:t>0.0598</w:t>
            </w:r>
          </w:p>
        </w:tc>
        <w:tc>
          <w:tcPr>
            <w:tcW w:w="0" w:type="auto"/>
            <w:noWrap/>
            <w:hideMark/>
          </w:tcPr>
          <w:p w:rsidR="00C645C7" w:rsidRPr="00BE01F0" w:rsidRDefault="00C645C7" w:rsidP="000C2DCE">
            <w:pPr>
              <w:pStyle w:val="Tabletextleft"/>
            </w:pPr>
            <w:r w:rsidRPr="00BE01F0">
              <w:t>0.1567</w:t>
            </w:r>
          </w:p>
        </w:tc>
        <w:tc>
          <w:tcPr>
            <w:tcW w:w="0" w:type="auto"/>
            <w:noWrap/>
            <w:hideMark/>
          </w:tcPr>
          <w:p w:rsidR="00C645C7" w:rsidRPr="00BE01F0" w:rsidRDefault="00C645C7" w:rsidP="000C2DCE">
            <w:pPr>
              <w:pStyle w:val="Tabletextleft"/>
            </w:pPr>
            <w:r w:rsidRPr="00BE01F0">
              <w:t>Darwin</w:t>
            </w:r>
          </w:p>
        </w:tc>
        <w:tc>
          <w:tcPr>
            <w:tcW w:w="0" w:type="auto"/>
            <w:noWrap/>
            <w:hideMark/>
          </w:tcPr>
          <w:p w:rsidR="00C645C7" w:rsidRPr="00BE01F0" w:rsidRDefault="00C645C7" w:rsidP="000C2DCE">
            <w:pPr>
              <w:pStyle w:val="Tabletextleft"/>
            </w:pPr>
            <w:r w:rsidRPr="00BE01F0">
              <w:t>130.83</w:t>
            </w:r>
          </w:p>
        </w:tc>
        <w:tc>
          <w:tcPr>
            <w:tcW w:w="0" w:type="auto"/>
            <w:noWrap/>
            <w:hideMark/>
          </w:tcPr>
          <w:p w:rsidR="00C645C7" w:rsidRPr="00BE01F0" w:rsidRDefault="00C645C7" w:rsidP="000C2DCE">
            <w:pPr>
              <w:pStyle w:val="Tabletextleft"/>
            </w:pPr>
            <w:r w:rsidRPr="00BE01F0">
              <w:t>-12.45</w:t>
            </w:r>
          </w:p>
        </w:tc>
        <w:tc>
          <w:tcPr>
            <w:tcW w:w="0" w:type="auto"/>
            <w:noWrap/>
            <w:hideMark/>
          </w:tcPr>
          <w:p w:rsidR="00C645C7" w:rsidRPr="00BE01F0" w:rsidRDefault="00C645C7" w:rsidP="000C2DCE">
            <w:pPr>
              <w:pStyle w:val="Tabletextleft"/>
            </w:pPr>
            <w:r w:rsidRPr="00BE01F0">
              <w:t>0.0370</w:t>
            </w:r>
          </w:p>
        </w:tc>
        <w:tc>
          <w:tcPr>
            <w:tcW w:w="0" w:type="auto"/>
            <w:noWrap/>
            <w:hideMark/>
          </w:tcPr>
          <w:p w:rsidR="00C645C7" w:rsidRPr="00BE01F0" w:rsidRDefault="00C645C7" w:rsidP="000C2DCE">
            <w:pPr>
              <w:pStyle w:val="Tabletextleft"/>
            </w:pPr>
            <w:r w:rsidRPr="00BE01F0">
              <w:t>0.1100</w:t>
            </w:r>
          </w:p>
        </w:tc>
      </w:tr>
      <w:tr w:rsidR="0066503B" w:rsidRPr="00BE01F0" w:rsidTr="00B17F1C">
        <w:trPr>
          <w:cnfStyle w:val="000000100000" w:firstRow="0" w:lastRow="0" w:firstColumn="0" w:lastColumn="0" w:oddVBand="0" w:evenVBand="0" w:oddHBand="1" w:evenHBand="0" w:firstRowFirstColumn="0" w:firstRowLastColumn="0" w:lastRowFirstColumn="0" w:lastRowLastColumn="0"/>
          <w:trHeight w:val="255"/>
        </w:trPr>
        <w:tc>
          <w:tcPr>
            <w:tcW w:w="0" w:type="auto"/>
            <w:noWrap/>
            <w:hideMark/>
          </w:tcPr>
          <w:p w:rsidR="00C645C7" w:rsidRPr="00BE01F0" w:rsidRDefault="00C645C7" w:rsidP="000C2DCE">
            <w:pPr>
              <w:pStyle w:val="Tabletextleft"/>
            </w:pPr>
            <w:r w:rsidRPr="00BE01F0">
              <w:t>Hobart</w:t>
            </w:r>
          </w:p>
        </w:tc>
        <w:tc>
          <w:tcPr>
            <w:tcW w:w="0" w:type="auto"/>
            <w:noWrap/>
            <w:hideMark/>
          </w:tcPr>
          <w:p w:rsidR="00C645C7" w:rsidRPr="00BE01F0" w:rsidRDefault="00C645C7" w:rsidP="000C2DCE">
            <w:pPr>
              <w:pStyle w:val="Tabletextleft"/>
            </w:pPr>
            <w:r w:rsidRPr="00BE01F0">
              <w:t>147.33</w:t>
            </w:r>
          </w:p>
        </w:tc>
        <w:tc>
          <w:tcPr>
            <w:tcW w:w="0" w:type="auto"/>
            <w:noWrap/>
            <w:hideMark/>
          </w:tcPr>
          <w:p w:rsidR="00C645C7" w:rsidRPr="00BE01F0" w:rsidRDefault="00C645C7" w:rsidP="000C2DCE">
            <w:pPr>
              <w:pStyle w:val="Tabletextleft"/>
            </w:pPr>
            <w:r w:rsidRPr="00BE01F0">
              <w:t>-42.88</w:t>
            </w:r>
          </w:p>
        </w:tc>
        <w:tc>
          <w:tcPr>
            <w:tcW w:w="0" w:type="auto"/>
            <w:noWrap/>
            <w:hideMark/>
          </w:tcPr>
          <w:p w:rsidR="00C645C7" w:rsidRPr="00BE01F0" w:rsidRDefault="00C645C7" w:rsidP="000C2DCE">
            <w:pPr>
              <w:pStyle w:val="Tabletextleft"/>
            </w:pPr>
            <w:r w:rsidRPr="00BE01F0">
              <w:t>0.0205</w:t>
            </w:r>
          </w:p>
        </w:tc>
        <w:tc>
          <w:tcPr>
            <w:tcW w:w="0" w:type="auto"/>
            <w:noWrap/>
            <w:hideMark/>
          </w:tcPr>
          <w:p w:rsidR="00C645C7" w:rsidRPr="00BE01F0" w:rsidRDefault="00C645C7" w:rsidP="000C2DCE">
            <w:pPr>
              <w:pStyle w:val="Tabletextleft"/>
            </w:pPr>
            <w:r w:rsidRPr="00BE01F0">
              <w:t>0.0617</w:t>
            </w:r>
          </w:p>
        </w:tc>
        <w:tc>
          <w:tcPr>
            <w:tcW w:w="0" w:type="auto"/>
            <w:noWrap/>
            <w:hideMark/>
          </w:tcPr>
          <w:p w:rsidR="00C645C7" w:rsidRPr="00BE01F0" w:rsidRDefault="00C645C7" w:rsidP="000C2DCE">
            <w:pPr>
              <w:pStyle w:val="Tabletextleft"/>
              <w:rPr>
                <w:color w:val="000000"/>
                <w:szCs w:val="18"/>
              </w:rPr>
            </w:pPr>
          </w:p>
        </w:tc>
        <w:tc>
          <w:tcPr>
            <w:tcW w:w="0" w:type="auto"/>
            <w:noWrap/>
            <w:hideMark/>
          </w:tcPr>
          <w:p w:rsidR="00C645C7" w:rsidRPr="00BE01F0" w:rsidRDefault="00C645C7" w:rsidP="000C2DCE">
            <w:pPr>
              <w:pStyle w:val="Tabletextleft"/>
              <w:rPr>
                <w:color w:val="000000"/>
                <w:szCs w:val="18"/>
              </w:rPr>
            </w:pPr>
          </w:p>
        </w:tc>
        <w:tc>
          <w:tcPr>
            <w:tcW w:w="0" w:type="auto"/>
            <w:noWrap/>
            <w:hideMark/>
          </w:tcPr>
          <w:p w:rsidR="00C645C7" w:rsidRPr="00BE01F0" w:rsidRDefault="00C645C7" w:rsidP="000C2DCE">
            <w:pPr>
              <w:pStyle w:val="Tabletextleft"/>
              <w:rPr>
                <w:color w:val="000000"/>
                <w:szCs w:val="18"/>
              </w:rPr>
            </w:pPr>
          </w:p>
        </w:tc>
        <w:tc>
          <w:tcPr>
            <w:tcW w:w="0" w:type="auto"/>
            <w:noWrap/>
            <w:hideMark/>
          </w:tcPr>
          <w:p w:rsidR="00C645C7" w:rsidRPr="00BE01F0" w:rsidRDefault="00C645C7" w:rsidP="000C2DCE">
            <w:pPr>
              <w:pStyle w:val="Tabletextleft"/>
              <w:rPr>
                <w:color w:val="000000"/>
                <w:szCs w:val="18"/>
              </w:rPr>
            </w:pPr>
          </w:p>
        </w:tc>
        <w:tc>
          <w:tcPr>
            <w:tcW w:w="0" w:type="auto"/>
            <w:noWrap/>
            <w:hideMark/>
          </w:tcPr>
          <w:p w:rsidR="00C645C7" w:rsidRPr="00BE01F0" w:rsidRDefault="00C645C7" w:rsidP="000C2DCE">
            <w:pPr>
              <w:pStyle w:val="Tabletextleft"/>
              <w:rPr>
                <w:color w:val="000000"/>
                <w:szCs w:val="18"/>
              </w:rPr>
            </w:pPr>
          </w:p>
        </w:tc>
      </w:tr>
    </w:tbl>
    <w:p w:rsidR="00537440" w:rsidRDefault="006D4695" w:rsidP="00573851">
      <w:pPr>
        <w:pStyle w:val="Tabletitle"/>
      </w:pPr>
      <w:bookmarkStart w:id="54" w:name="_Ref372187115"/>
      <w:bookmarkStart w:id="55" w:name="_Toc371577692"/>
      <w:r>
        <w:t xml:space="preserve">Table </w:t>
      </w:r>
      <w:r w:rsidR="006220B6">
        <w:fldChar w:fldCharType="begin"/>
      </w:r>
      <w:r w:rsidR="006220B6">
        <w:instrText xml:space="preserve"> SEQ Table \* ARABIC </w:instrText>
      </w:r>
      <w:r w:rsidR="006220B6">
        <w:fldChar w:fldCharType="separate"/>
      </w:r>
      <w:r w:rsidR="00552102">
        <w:rPr>
          <w:noProof/>
        </w:rPr>
        <w:t>3</w:t>
      </w:r>
      <w:r w:rsidR="006220B6">
        <w:rPr>
          <w:noProof/>
        </w:rPr>
        <w:fldChar w:fldCharType="end"/>
      </w:r>
      <w:bookmarkEnd w:id="54"/>
      <w:r w:rsidR="000C2DCE">
        <w:t xml:space="preserve"> </w:t>
      </w:r>
      <w:r>
        <w:t xml:space="preserve">The </w:t>
      </w:r>
      <w:r w:rsidRPr="00FE1D88">
        <w:t xml:space="preserve">0.0 s SA </w:t>
      </w:r>
      <w:r w:rsidR="00766E87">
        <w:t xml:space="preserve">(PGA) </w:t>
      </w:r>
      <w:r>
        <w:t xml:space="preserve">hazard </w:t>
      </w:r>
      <w:r w:rsidRPr="00FE1D88">
        <w:t xml:space="preserve">value at 500 and 2500 year </w:t>
      </w:r>
      <w:r>
        <w:t>recurrence interval</w:t>
      </w:r>
      <w:r w:rsidR="003E4C1E">
        <w:t>s</w:t>
      </w:r>
      <w:r>
        <w:t xml:space="preserve"> for the </w:t>
      </w:r>
      <w:r w:rsidR="00F2777B">
        <w:t xml:space="preserve">cities and </w:t>
      </w:r>
      <w:r>
        <w:t xml:space="preserve">towns shown in </w:t>
      </w:r>
      <w:r w:rsidRPr="001932F2">
        <w:rPr>
          <w:rStyle w:val="Hyperlink"/>
        </w:rPr>
        <w:t xml:space="preserve">Figures </w:t>
      </w:r>
      <w:r w:rsidR="0006022D" w:rsidRPr="001932F2">
        <w:rPr>
          <w:rStyle w:val="Hyperlink"/>
        </w:rPr>
        <w:t>1</w:t>
      </w:r>
      <w:r w:rsidR="009A2605" w:rsidRPr="001932F2">
        <w:rPr>
          <w:rStyle w:val="Hyperlink"/>
        </w:rPr>
        <w:t>1</w:t>
      </w:r>
      <w:r>
        <w:t xml:space="preserve"> to </w:t>
      </w:r>
      <w:r w:rsidR="009A2605" w:rsidRPr="001932F2">
        <w:rPr>
          <w:rStyle w:val="Hyperlink"/>
        </w:rPr>
        <w:t>20</w:t>
      </w:r>
      <w:r w:rsidR="00F001E1">
        <w:t>.</w:t>
      </w:r>
      <w:bookmarkEnd w:id="55"/>
      <w:r w:rsidRPr="00FE1D88">
        <w:t xml:space="preserve"> </w:t>
      </w:r>
    </w:p>
    <w:tbl>
      <w:tblPr>
        <w:tblStyle w:val="TableGAHeaderRow"/>
        <w:tblW w:w="0" w:type="auto"/>
        <w:tblLook w:val="04A0" w:firstRow="1" w:lastRow="0" w:firstColumn="1" w:lastColumn="0" w:noHBand="0" w:noVBand="1"/>
        <w:tblDescription w:val="This table contains name, latitute, longitude and  0.0 s SA (PGA) hazard value at 500 and 2500 year recurrence intervals for76 cities and towns across Australia. "/>
      </w:tblPr>
      <w:tblGrid>
        <w:gridCol w:w="1235"/>
        <w:gridCol w:w="665"/>
        <w:gridCol w:w="625"/>
        <w:gridCol w:w="685"/>
        <w:gridCol w:w="785"/>
        <w:gridCol w:w="1355"/>
        <w:gridCol w:w="665"/>
        <w:gridCol w:w="625"/>
        <w:gridCol w:w="685"/>
        <w:gridCol w:w="785"/>
      </w:tblGrid>
      <w:tr w:rsidR="00563DD7" w:rsidRPr="0066503B" w:rsidTr="00573851">
        <w:trPr>
          <w:cnfStyle w:val="100000000000" w:firstRow="1" w:lastRow="0" w:firstColumn="0" w:lastColumn="0" w:oddVBand="0" w:evenVBand="0" w:oddHBand="0" w:evenHBand="0" w:firstRowFirstColumn="0" w:firstRowLastColumn="0" w:lastRowFirstColumn="0" w:lastRowLastColumn="0"/>
          <w:cantSplit w:val="0"/>
          <w:trHeight w:val="57"/>
          <w:tblHeader/>
        </w:trPr>
        <w:tc>
          <w:tcPr>
            <w:tcW w:w="0" w:type="auto"/>
            <w:noWrap/>
          </w:tcPr>
          <w:p w:rsidR="00563DD7" w:rsidRPr="00C645C7" w:rsidRDefault="00563DD7" w:rsidP="000C2DCE">
            <w:pPr>
              <w:pStyle w:val="Tabletextleft"/>
            </w:pPr>
            <w:r w:rsidRPr="00C645C7">
              <w:t>Location</w:t>
            </w:r>
          </w:p>
        </w:tc>
        <w:tc>
          <w:tcPr>
            <w:tcW w:w="0" w:type="auto"/>
            <w:noWrap/>
          </w:tcPr>
          <w:p w:rsidR="00563DD7" w:rsidRPr="00C645C7" w:rsidRDefault="00563DD7" w:rsidP="000C2DCE">
            <w:pPr>
              <w:pStyle w:val="Tabletextleft"/>
            </w:pPr>
            <w:r>
              <w:t>L</w:t>
            </w:r>
            <w:r w:rsidRPr="00C645C7">
              <w:t>ong</w:t>
            </w:r>
            <w:r>
              <w:t>.</w:t>
            </w:r>
          </w:p>
        </w:tc>
        <w:tc>
          <w:tcPr>
            <w:tcW w:w="0" w:type="auto"/>
            <w:noWrap/>
          </w:tcPr>
          <w:p w:rsidR="00563DD7" w:rsidRPr="00C645C7" w:rsidRDefault="00563DD7" w:rsidP="000C2DCE">
            <w:pPr>
              <w:pStyle w:val="Tabletextleft"/>
            </w:pPr>
            <w:r>
              <w:t>L</w:t>
            </w:r>
            <w:r w:rsidRPr="00C645C7">
              <w:t>at</w:t>
            </w:r>
            <w:r>
              <w:t>.</w:t>
            </w:r>
          </w:p>
        </w:tc>
        <w:tc>
          <w:tcPr>
            <w:tcW w:w="0" w:type="auto"/>
            <w:noWrap/>
          </w:tcPr>
          <w:p w:rsidR="00563DD7" w:rsidRPr="005168A9" w:rsidRDefault="00563DD7" w:rsidP="000C2DCE">
            <w:pPr>
              <w:pStyle w:val="Tabletextleft"/>
            </w:pPr>
            <w:r w:rsidRPr="005168A9">
              <w:t xml:space="preserve">500 yr. </w:t>
            </w:r>
            <w:r w:rsidRPr="005168A9">
              <w:br/>
              <w:t>(g)</w:t>
            </w:r>
          </w:p>
        </w:tc>
        <w:tc>
          <w:tcPr>
            <w:tcW w:w="0" w:type="auto"/>
            <w:noWrap/>
          </w:tcPr>
          <w:p w:rsidR="00563DD7" w:rsidRPr="005168A9" w:rsidRDefault="00563DD7" w:rsidP="000C2DCE">
            <w:pPr>
              <w:pStyle w:val="Tabletextleft"/>
            </w:pPr>
            <w:r w:rsidRPr="005168A9">
              <w:t>2500 yr.</w:t>
            </w:r>
            <w:r w:rsidRPr="005168A9">
              <w:br/>
              <w:t>(g)</w:t>
            </w:r>
          </w:p>
        </w:tc>
        <w:tc>
          <w:tcPr>
            <w:tcW w:w="0" w:type="auto"/>
            <w:noWrap/>
          </w:tcPr>
          <w:p w:rsidR="00563DD7" w:rsidRPr="00C645C7" w:rsidRDefault="00563DD7" w:rsidP="000C2DCE">
            <w:pPr>
              <w:pStyle w:val="Tabletextleft"/>
            </w:pPr>
            <w:r w:rsidRPr="00C645C7">
              <w:t>Location</w:t>
            </w:r>
          </w:p>
        </w:tc>
        <w:tc>
          <w:tcPr>
            <w:tcW w:w="0" w:type="auto"/>
            <w:noWrap/>
          </w:tcPr>
          <w:p w:rsidR="00563DD7" w:rsidRPr="00C645C7" w:rsidRDefault="00563DD7" w:rsidP="000C2DCE">
            <w:pPr>
              <w:pStyle w:val="Tabletextleft"/>
            </w:pPr>
            <w:r w:rsidRPr="00C645C7">
              <w:t>Long</w:t>
            </w:r>
            <w:r>
              <w:t>.</w:t>
            </w:r>
          </w:p>
        </w:tc>
        <w:tc>
          <w:tcPr>
            <w:tcW w:w="0" w:type="auto"/>
            <w:noWrap/>
          </w:tcPr>
          <w:p w:rsidR="00563DD7" w:rsidRPr="00C645C7" w:rsidRDefault="00563DD7" w:rsidP="000C2DCE">
            <w:pPr>
              <w:pStyle w:val="Tabletextleft"/>
            </w:pPr>
            <w:r w:rsidRPr="00C645C7">
              <w:t>Lat</w:t>
            </w:r>
            <w:r>
              <w:t>.</w:t>
            </w:r>
          </w:p>
        </w:tc>
        <w:tc>
          <w:tcPr>
            <w:tcW w:w="0" w:type="auto"/>
            <w:noWrap/>
          </w:tcPr>
          <w:p w:rsidR="00563DD7" w:rsidRPr="005168A9" w:rsidRDefault="00563DD7" w:rsidP="000C2DCE">
            <w:pPr>
              <w:pStyle w:val="Tabletextleft"/>
            </w:pPr>
            <w:r w:rsidRPr="005168A9">
              <w:t xml:space="preserve">500 yr. </w:t>
            </w:r>
            <w:r w:rsidRPr="005168A9">
              <w:br/>
              <w:t>(g)</w:t>
            </w:r>
          </w:p>
        </w:tc>
        <w:tc>
          <w:tcPr>
            <w:tcW w:w="0" w:type="auto"/>
            <w:noWrap/>
          </w:tcPr>
          <w:p w:rsidR="00563DD7" w:rsidRPr="005168A9" w:rsidRDefault="00563DD7" w:rsidP="000C2DCE">
            <w:pPr>
              <w:pStyle w:val="Tabletextleft"/>
            </w:pPr>
            <w:r w:rsidRPr="005168A9">
              <w:t>2500 yr.</w:t>
            </w:r>
            <w:r w:rsidRPr="005168A9">
              <w:br/>
              <w:t>(g)</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Albany</w:t>
            </w:r>
          </w:p>
        </w:tc>
        <w:tc>
          <w:tcPr>
            <w:tcW w:w="0" w:type="auto"/>
            <w:noWrap/>
            <w:hideMark/>
          </w:tcPr>
          <w:p w:rsidR="0066503B" w:rsidRPr="00BE01F0" w:rsidRDefault="0066503B" w:rsidP="000C2DCE">
            <w:pPr>
              <w:pStyle w:val="Tabletextleft"/>
            </w:pPr>
            <w:r w:rsidRPr="00BE01F0">
              <w:t>117.88</w:t>
            </w:r>
          </w:p>
        </w:tc>
        <w:tc>
          <w:tcPr>
            <w:tcW w:w="0" w:type="auto"/>
            <w:noWrap/>
            <w:hideMark/>
          </w:tcPr>
          <w:p w:rsidR="0066503B" w:rsidRPr="00BE01F0" w:rsidRDefault="0066503B" w:rsidP="000C2DCE">
            <w:pPr>
              <w:pStyle w:val="Tabletextleft"/>
            </w:pPr>
            <w:r w:rsidRPr="00BE01F0">
              <w:t>-35.02</w:t>
            </w:r>
          </w:p>
        </w:tc>
        <w:tc>
          <w:tcPr>
            <w:tcW w:w="0" w:type="auto"/>
            <w:noWrap/>
            <w:hideMark/>
          </w:tcPr>
          <w:p w:rsidR="0066503B" w:rsidRPr="00BE01F0" w:rsidRDefault="0066503B" w:rsidP="000C2DCE">
            <w:pPr>
              <w:pStyle w:val="Tabletextleft"/>
            </w:pPr>
            <w:r w:rsidRPr="00BE01F0">
              <w:t>0.0394</w:t>
            </w:r>
          </w:p>
        </w:tc>
        <w:tc>
          <w:tcPr>
            <w:tcW w:w="0" w:type="auto"/>
            <w:noWrap/>
            <w:hideMark/>
          </w:tcPr>
          <w:p w:rsidR="0066503B" w:rsidRPr="00BE01F0" w:rsidRDefault="0066503B" w:rsidP="000C2DCE">
            <w:pPr>
              <w:pStyle w:val="Tabletextleft"/>
            </w:pPr>
            <w:r w:rsidRPr="00BE01F0">
              <w:t>0.1193</w:t>
            </w:r>
          </w:p>
        </w:tc>
        <w:tc>
          <w:tcPr>
            <w:tcW w:w="0" w:type="auto"/>
            <w:noWrap/>
            <w:hideMark/>
          </w:tcPr>
          <w:p w:rsidR="0066503B" w:rsidRPr="00BE01F0" w:rsidRDefault="0066503B" w:rsidP="000C2DCE">
            <w:pPr>
              <w:pStyle w:val="Tabletextleft"/>
            </w:pPr>
            <w:r w:rsidRPr="00BE01F0">
              <w:t>Marble</w:t>
            </w:r>
          </w:p>
        </w:tc>
        <w:tc>
          <w:tcPr>
            <w:tcW w:w="0" w:type="auto"/>
            <w:noWrap/>
            <w:hideMark/>
          </w:tcPr>
          <w:p w:rsidR="0066503B" w:rsidRPr="00BE01F0" w:rsidRDefault="0066503B" w:rsidP="000C2DCE">
            <w:pPr>
              <w:pStyle w:val="Tabletextleft"/>
            </w:pPr>
            <w:r w:rsidRPr="00BE01F0">
              <w:t>119.75</w:t>
            </w:r>
          </w:p>
        </w:tc>
        <w:tc>
          <w:tcPr>
            <w:tcW w:w="0" w:type="auto"/>
            <w:noWrap/>
            <w:hideMark/>
          </w:tcPr>
          <w:p w:rsidR="0066503B" w:rsidRPr="00BE01F0" w:rsidRDefault="0066503B" w:rsidP="000C2DCE">
            <w:pPr>
              <w:pStyle w:val="Tabletextleft"/>
            </w:pPr>
            <w:r w:rsidRPr="00BE01F0">
              <w:t>-21.16</w:t>
            </w:r>
          </w:p>
        </w:tc>
        <w:tc>
          <w:tcPr>
            <w:tcW w:w="0" w:type="auto"/>
            <w:noWrap/>
            <w:hideMark/>
          </w:tcPr>
          <w:p w:rsidR="0066503B" w:rsidRPr="00BE01F0" w:rsidRDefault="0066503B" w:rsidP="000C2DCE">
            <w:pPr>
              <w:pStyle w:val="Tabletextleft"/>
            </w:pPr>
            <w:r w:rsidRPr="00BE01F0">
              <w:t>0.0607</w:t>
            </w:r>
          </w:p>
        </w:tc>
        <w:tc>
          <w:tcPr>
            <w:tcW w:w="0" w:type="auto"/>
            <w:noWrap/>
            <w:hideMark/>
          </w:tcPr>
          <w:p w:rsidR="0066503B" w:rsidRPr="00BE01F0" w:rsidRDefault="0066503B" w:rsidP="000C2DCE">
            <w:pPr>
              <w:pStyle w:val="Tabletextleft"/>
            </w:pPr>
            <w:r w:rsidRPr="00BE01F0">
              <w:t>0.1922</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Albury</w:t>
            </w:r>
          </w:p>
        </w:tc>
        <w:tc>
          <w:tcPr>
            <w:tcW w:w="0" w:type="auto"/>
            <w:noWrap/>
            <w:hideMark/>
          </w:tcPr>
          <w:p w:rsidR="0066503B" w:rsidRPr="00BE01F0" w:rsidRDefault="0066503B" w:rsidP="000C2DCE">
            <w:pPr>
              <w:pStyle w:val="Tabletextleft"/>
            </w:pPr>
            <w:r w:rsidRPr="00BE01F0">
              <w:t>146.9</w:t>
            </w:r>
          </w:p>
        </w:tc>
        <w:tc>
          <w:tcPr>
            <w:tcW w:w="0" w:type="auto"/>
            <w:noWrap/>
            <w:hideMark/>
          </w:tcPr>
          <w:p w:rsidR="0066503B" w:rsidRPr="00BE01F0" w:rsidRDefault="0066503B" w:rsidP="000C2DCE">
            <w:pPr>
              <w:pStyle w:val="Tabletextleft"/>
            </w:pPr>
            <w:r w:rsidRPr="00BE01F0">
              <w:t>-36.06</w:t>
            </w:r>
          </w:p>
        </w:tc>
        <w:tc>
          <w:tcPr>
            <w:tcW w:w="0" w:type="auto"/>
            <w:noWrap/>
            <w:hideMark/>
          </w:tcPr>
          <w:p w:rsidR="0066503B" w:rsidRPr="00BE01F0" w:rsidRDefault="0066503B" w:rsidP="000C2DCE">
            <w:pPr>
              <w:pStyle w:val="Tabletextleft"/>
            </w:pPr>
            <w:r w:rsidRPr="00BE01F0">
              <w:t>0.0479</w:t>
            </w:r>
          </w:p>
        </w:tc>
        <w:tc>
          <w:tcPr>
            <w:tcW w:w="0" w:type="auto"/>
            <w:noWrap/>
            <w:hideMark/>
          </w:tcPr>
          <w:p w:rsidR="0066503B" w:rsidRPr="00BE01F0" w:rsidRDefault="0066503B" w:rsidP="000C2DCE">
            <w:pPr>
              <w:pStyle w:val="Tabletextleft"/>
            </w:pPr>
            <w:r w:rsidRPr="00BE01F0">
              <w:t>0.1260</w:t>
            </w:r>
          </w:p>
        </w:tc>
        <w:tc>
          <w:tcPr>
            <w:tcW w:w="0" w:type="auto"/>
            <w:noWrap/>
            <w:hideMark/>
          </w:tcPr>
          <w:p w:rsidR="0066503B" w:rsidRPr="00BE01F0" w:rsidRDefault="0066503B" w:rsidP="000C2DCE">
            <w:pPr>
              <w:pStyle w:val="Tabletextleft"/>
            </w:pPr>
            <w:r w:rsidRPr="00BE01F0">
              <w:t>Meckering</w:t>
            </w:r>
          </w:p>
        </w:tc>
        <w:tc>
          <w:tcPr>
            <w:tcW w:w="0" w:type="auto"/>
            <w:noWrap/>
            <w:hideMark/>
          </w:tcPr>
          <w:p w:rsidR="0066503B" w:rsidRPr="00BE01F0" w:rsidRDefault="0066503B" w:rsidP="000C2DCE">
            <w:pPr>
              <w:pStyle w:val="Tabletextleft"/>
            </w:pPr>
            <w:r w:rsidRPr="00BE01F0">
              <w:t>117.01</w:t>
            </w:r>
          </w:p>
        </w:tc>
        <w:tc>
          <w:tcPr>
            <w:tcW w:w="0" w:type="auto"/>
            <w:noWrap/>
            <w:hideMark/>
          </w:tcPr>
          <w:p w:rsidR="0066503B" w:rsidRPr="00BE01F0" w:rsidRDefault="0066503B" w:rsidP="000C2DCE">
            <w:pPr>
              <w:pStyle w:val="Tabletextleft"/>
            </w:pPr>
            <w:r w:rsidRPr="00BE01F0">
              <w:t>-31.63</w:t>
            </w:r>
          </w:p>
        </w:tc>
        <w:tc>
          <w:tcPr>
            <w:tcW w:w="0" w:type="auto"/>
            <w:noWrap/>
            <w:hideMark/>
          </w:tcPr>
          <w:p w:rsidR="0066503B" w:rsidRPr="00BE01F0" w:rsidRDefault="0066503B" w:rsidP="000C2DCE">
            <w:pPr>
              <w:pStyle w:val="Tabletextleft"/>
            </w:pPr>
            <w:r w:rsidRPr="00BE01F0">
              <w:t>0.1518</w:t>
            </w:r>
          </w:p>
        </w:tc>
        <w:tc>
          <w:tcPr>
            <w:tcW w:w="0" w:type="auto"/>
            <w:noWrap/>
            <w:hideMark/>
          </w:tcPr>
          <w:p w:rsidR="0066503B" w:rsidRPr="00BE01F0" w:rsidRDefault="0066503B" w:rsidP="000C2DCE">
            <w:pPr>
              <w:pStyle w:val="Tabletextleft"/>
            </w:pPr>
            <w:r w:rsidRPr="00BE01F0">
              <w:t>0.3798</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Alice Springs</w:t>
            </w:r>
          </w:p>
        </w:tc>
        <w:tc>
          <w:tcPr>
            <w:tcW w:w="0" w:type="auto"/>
            <w:noWrap/>
            <w:hideMark/>
          </w:tcPr>
          <w:p w:rsidR="0066503B" w:rsidRPr="00BE01F0" w:rsidRDefault="0066503B" w:rsidP="000C2DCE">
            <w:pPr>
              <w:pStyle w:val="Tabletextleft"/>
            </w:pPr>
            <w:r w:rsidRPr="00BE01F0">
              <w:t>133.88</w:t>
            </w:r>
          </w:p>
        </w:tc>
        <w:tc>
          <w:tcPr>
            <w:tcW w:w="0" w:type="auto"/>
            <w:noWrap/>
            <w:hideMark/>
          </w:tcPr>
          <w:p w:rsidR="0066503B" w:rsidRPr="00BE01F0" w:rsidRDefault="0066503B" w:rsidP="000C2DCE">
            <w:pPr>
              <w:pStyle w:val="Tabletextleft"/>
            </w:pPr>
            <w:r w:rsidRPr="00BE01F0">
              <w:t>-23.7</w:t>
            </w:r>
          </w:p>
        </w:tc>
        <w:tc>
          <w:tcPr>
            <w:tcW w:w="0" w:type="auto"/>
            <w:noWrap/>
            <w:hideMark/>
          </w:tcPr>
          <w:p w:rsidR="0066503B" w:rsidRPr="00BE01F0" w:rsidRDefault="0066503B" w:rsidP="000C2DCE">
            <w:pPr>
              <w:pStyle w:val="Tabletextleft"/>
            </w:pPr>
            <w:r w:rsidRPr="00BE01F0">
              <w:t>0.0301</w:t>
            </w:r>
          </w:p>
        </w:tc>
        <w:tc>
          <w:tcPr>
            <w:tcW w:w="0" w:type="auto"/>
            <w:noWrap/>
            <w:hideMark/>
          </w:tcPr>
          <w:p w:rsidR="0066503B" w:rsidRPr="00BE01F0" w:rsidRDefault="0066503B" w:rsidP="000C2DCE">
            <w:pPr>
              <w:pStyle w:val="Tabletextleft"/>
            </w:pPr>
            <w:r w:rsidRPr="00BE01F0">
              <w:t>0.0965</w:t>
            </w:r>
          </w:p>
        </w:tc>
        <w:tc>
          <w:tcPr>
            <w:tcW w:w="0" w:type="auto"/>
            <w:noWrap/>
            <w:hideMark/>
          </w:tcPr>
          <w:p w:rsidR="0066503B" w:rsidRPr="00BE01F0" w:rsidRDefault="0066503B" w:rsidP="000C2DCE">
            <w:pPr>
              <w:pStyle w:val="Tabletextleft"/>
            </w:pPr>
            <w:r w:rsidRPr="00BE01F0">
              <w:t>Mittagong</w:t>
            </w:r>
          </w:p>
        </w:tc>
        <w:tc>
          <w:tcPr>
            <w:tcW w:w="0" w:type="auto"/>
            <w:noWrap/>
            <w:hideMark/>
          </w:tcPr>
          <w:p w:rsidR="0066503B" w:rsidRPr="00BE01F0" w:rsidRDefault="0066503B" w:rsidP="000C2DCE">
            <w:pPr>
              <w:pStyle w:val="Tabletextleft"/>
            </w:pPr>
            <w:r w:rsidRPr="00BE01F0">
              <w:t>150.45</w:t>
            </w:r>
          </w:p>
        </w:tc>
        <w:tc>
          <w:tcPr>
            <w:tcW w:w="0" w:type="auto"/>
            <w:noWrap/>
            <w:hideMark/>
          </w:tcPr>
          <w:p w:rsidR="0066503B" w:rsidRPr="00BE01F0" w:rsidRDefault="0066503B" w:rsidP="000C2DCE">
            <w:pPr>
              <w:pStyle w:val="Tabletextleft"/>
            </w:pPr>
            <w:r w:rsidRPr="00BE01F0">
              <w:t>-34.45</w:t>
            </w:r>
          </w:p>
        </w:tc>
        <w:tc>
          <w:tcPr>
            <w:tcW w:w="0" w:type="auto"/>
            <w:noWrap/>
            <w:hideMark/>
          </w:tcPr>
          <w:p w:rsidR="0066503B" w:rsidRPr="00BE01F0" w:rsidRDefault="0066503B" w:rsidP="000C2DCE">
            <w:pPr>
              <w:pStyle w:val="Tabletextleft"/>
            </w:pPr>
            <w:r w:rsidRPr="00BE01F0">
              <w:t>0.0583</w:t>
            </w:r>
          </w:p>
        </w:tc>
        <w:tc>
          <w:tcPr>
            <w:tcW w:w="0" w:type="auto"/>
            <w:noWrap/>
            <w:hideMark/>
          </w:tcPr>
          <w:p w:rsidR="0066503B" w:rsidRPr="00BE01F0" w:rsidRDefault="0066503B" w:rsidP="000C2DCE">
            <w:pPr>
              <w:pStyle w:val="Tabletextleft"/>
            </w:pPr>
            <w:r w:rsidRPr="00BE01F0">
              <w:t>0.1597</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Ballarat</w:t>
            </w:r>
          </w:p>
        </w:tc>
        <w:tc>
          <w:tcPr>
            <w:tcW w:w="0" w:type="auto"/>
            <w:noWrap/>
            <w:hideMark/>
          </w:tcPr>
          <w:p w:rsidR="0066503B" w:rsidRPr="00BE01F0" w:rsidRDefault="0066503B" w:rsidP="000C2DCE">
            <w:pPr>
              <w:pStyle w:val="Tabletextleft"/>
            </w:pPr>
            <w:r w:rsidRPr="00BE01F0">
              <w:t>143.86</w:t>
            </w:r>
          </w:p>
        </w:tc>
        <w:tc>
          <w:tcPr>
            <w:tcW w:w="0" w:type="auto"/>
            <w:noWrap/>
            <w:hideMark/>
          </w:tcPr>
          <w:p w:rsidR="0066503B" w:rsidRPr="00BE01F0" w:rsidRDefault="0066503B" w:rsidP="000C2DCE">
            <w:pPr>
              <w:pStyle w:val="Tabletextleft"/>
            </w:pPr>
            <w:r w:rsidRPr="00BE01F0">
              <w:t>-37.56</w:t>
            </w:r>
          </w:p>
        </w:tc>
        <w:tc>
          <w:tcPr>
            <w:tcW w:w="0" w:type="auto"/>
            <w:noWrap/>
            <w:hideMark/>
          </w:tcPr>
          <w:p w:rsidR="0066503B" w:rsidRPr="00BE01F0" w:rsidRDefault="0066503B" w:rsidP="000C2DCE">
            <w:pPr>
              <w:pStyle w:val="Tabletextleft"/>
            </w:pPr>
            <w:r w:rsidRPr="00BE01F0">
              <w:t>0.0436</w:t>
            </w:r>
          </w:p>
        </w:tc>
        <w:tc>
          <w:tcPr>
            <w:tcW w:w="0" w:type="auto"/>
            <w:noWrap/>
            <w:hideMark/>
          </w:tcPr>
          <w:p w:rsidR="0066503B" w:rsidRPr="00BE01F0" w:rsidRDefault="0066503B" w:rsidP="000C2DCE">
            <w:pPr>
              <w:pStyle w:val="Tabletextleft"/>
            </w:pPr>
            <w:r w:rsidRPr="00BE01F0">
              <w:t>0.1114</w:t>
            </w:r>
          </w:p>
        </w:tc>
        <w:tc>
          <w:tcPr>
            <w:tcW w:w="0" w:type="auto"/>
            <w:noWrap/>
            <w:hideMark/>
          </w:tcPr>
          <w:p w:rsidR="0066503B" w:rsidRPr="00BE01F0" w:rsidRDefault="0066503B" w:rsidP="000C2DCE">
            <w:pPr>
              <w:pStyle w:val="Tabletextleft"/>
            </w:pPr>
            <w:r w:rsidRPr="00BE01F0">
              <w:t>Morwell</w:t>
            </w:r>
          </w:p>
        </w:tc>
        <w:tc>
          <w:tcPr>
            <w:tcW w:w="0" w:type="auto"/>
            <w:noWrap/>
            <w:hideMark/>
          </w:tcPr>
          <w:p w:rsidR="0066503B" w:rsidRPr="00BE01F0" w:rsidRDefault="0066503B" w:rsidP="000C2DCE">
            <w:pPr>
              <w:pStyle w:val="Tabletextleft"/>
            </w:pPr>
            <w:r w:rsidRPr="00BE01F0">
              <w:t>146.4</w:t>
            </w:r>
          </w:p>
        </w:tc>
        <w:tc>
          <w:tcPr>
            <w:tcW w:w="0" w:type="auto"/>
            <w:noWrap/>
            <w:hideMark/>
          </w:tcPr>
          <w:p w:rsidR="0066503B" w:rsidRPr="00BE01F0" w:rsidRDefault="0066503B" w:rsidP="000C2DCE">
            <w:pPr>
              <w:pStyle w:val="Tabletextleft"/>
            </w:pPr>
            <w:r w:rsidRPr="00BE01F0">
              <w:t>-38.23</w:t>
            </w:r>
          </w:p>
        </w:tc>
        <w:tc>
          <w:tcPr>
            <w:tcW w:w="0" w:type="auto"/>
            <w:noWrap/>
            <w:hideMark/>
          </w:tcPr>
          <w:p w:rsidR="0066503B" w:rsidRPr="00BE01F0" w:rsidRDefault="0066503B" w:rsidP="000C2DCE">
            <w:pPr>
              <w:pStyle w:val="Tabletextleft"/>
            </w:pPr>
            <w:r w:rsidRPr="00BE01F0">
              <w:t>0.1049</w:t>
            </w:r>
          </w:p>
        </w:tc>
        <w:tc>
          <w:tcPr>
            <w:tcW w:w="0" w:type="auto"/>
            <w:noWrap/>
            <w:hideMark/>
          </w:tcPr>
          <w:p w:rsidR="0066503B" w:rsidRPr="00BE01F0" w:rsidRDefault="0066503B" w:rsidP="000C2DCE">
            <w:pPr>
              <w:pStyle w:val="Tabletextleft"/>
            </w:pPr>
            <w:r w:rsidRPr="00BE01F0">
              <w:t>0.2708</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Ballidu</w:t>
            </w:r>
          </w:p>
        </w:tc>
        <w:tc>
          <w:tcPr>
            <w:tcW w:w="0" w:type="auto"/>
            <w:noWrap/>
            <w:hideMark/>
          </w:tcPr>
          <w:p w:rsidR="0066503B" w:rsidRPr="00BE01F0" w:rsidRDefault="0066503B" w:rsidP="000C2DCE">
            <w:pPr>
              <w:pStyle w:val="Tabletextleft"/>
            </w:pPr>
            <w:r w:rsidRPr="00BE01F0">
              <w:t>116.76</w:t>
            </w:r>
          </w:p>
        </w:tc>
        <w:tc>
          <w:tcPr>
            <w:tcW w:w="0" w:type="auto"/>
            <w:noWrap/>
            <w:hideMark/>
          </w:tcPr>
          <w:p w:rsidR="0066503B" w:rsidRPr="00BE01F0" w:rsidRDefault="0066503B" w:rsidP="000C2DCE">
            <w:pPr>
              <w:pStyle w:val="Tabletextleft"/>
            </w:pPr>
            <w:r w:rsidRPr="00BE01F0">
              <w:t>-30.6</w:t>
            </w:r>
          </w:p>
        </w:tc>
        <w:tc>
          <w:tcPr>
            <w:tcW w:w="0" w:type="auto"/>
            <w:noWrap/>
            <w:hideMark/>
          </w:tcPr>
          <w:p w:rsidR="0066503B" w:rsidRPr="00BE01F0" w:rsidRDefault="0066503B" w:rsidP="000C2DCE">
            <w:pPr>
              <w:pStyle w:val="Tabletextleft"/>
            </w:pPr>
            <w:r w:rsidRPr="00BE01F0">
              <w:t>0.1052</w:t>
            </w:r>
          </w:p>
        </w:tc>
        <w:tc>
          <w:tcPr>
            <w:tcW w:w="0" w:type="auto"/>
            <w:noWrap/>
            <w:hideMark/>
          </w:tcPr>
          <w:p w:rsidR="0066503B" w:rsidRPr="00BE01F0" w:rsidRDefault="0066503B" w:rsidP="000C2DCE">
            <w:pPr>
              <w:pStyle w:val="Tabletextleft"/>
            </w:pPr>
            <w:r w:rsidRPr="00BE01F0">
              <w:t>0.2683</w:t>
            </w:r>
          </w:p>
        </w:tc>
        <w:tc>
          <w:tcPr>
            <w:tcW w:w="0" w:type="auto"/>
            <w:noWrap/>
            <w:hideMark/>
          </w:tcPr>
          <w:p w:rsidR="0066503B" w:rsidRPr="00BE01F0" w:rsidRDefault="0066503B" w:rsidP="000C2DCE">
            <w:pPr>
              <w:pStyle w:val="Tabletextleft"/>
            </w:pPr>
            <w:r w:rsidRPr="00BE01F0">
              <w:t>Mount Gambier</w:t>
            </w:r>
          </w:p>
        </w:tc>
        <w:tc>
          <w:tcPr>
            <w:tcW w:w="0" w:type="auto"/>
            <w:noWrap/>
            <w:hideMark/>
          </w:tcPr>
          <w:p w:rsidR="0066503B" w:rsidRPr="00BE01F0" w:rsidRDefault="0066503B" w:rsidP="000C2DCE">
            <w:pPr>
              <w:pStyle w:val="Tabletextleft"/>
            </w:pPr>
            <w:r w:rsidRPr="00BE01F0">
              <w:t>140.78</w:t>
            </w:r>
          </w:p>
        </w:tc>
        <w:tc>
          <w:tcPr>
            <w:tcW w:w="0" w:type="auto"/>
            <w:noWrap/>
            <w:hideMark/>
          </w:tcPr>
          <w:p w:rsidR="0066503B" w:rsidRPr="00BE01F0" w:rsidRDefault="0066503B" w:rsidP="000C2DCE">
            <w:pPr>
              <w:pStyle w:val="Tabletextleft"/>
            </w:pPr>
            <w:r w:rsidRPr="00BE01F0">
              <w:t>-37.83</w:t>
            </w:r>
          </w:p>
        </w:tc>
        <w:tc>
          <w:tcPr>
            <w:tcW w:w="0" w:type="auto"/>
            <w:noWrap/>
            <w:hideMark/>
          </w:tcPr>
          <w:p w:rsidR="0066503B" w:rsidRPr="00BE01F0" w:rsidRDefault="0066503B" w:rsidP="000C2DCE">
            <w:pPr>
              <w:pStyle w:val="Tabletextleft"/>
            </w:pPr>
            <w:r w:rsidRPr="00BE01F0">
              <w:t>0.0355</w:t>
            </w:r>
          </w:p>
        </w:tc>
        <w:tc>
          <w:tcPr>
            <w:tcW w:w="0" w:type="auto"/>
            <w:noWrap/>
            <w:hideMark/>
          </w:tcPr>
          <w:p w:rsidR="0066503B" w:rsidRPr="00BE01F0" w:rsidRDefault="0066503B" w:rsidP="000C2DCE">
            <w:pPr>
              <w:pStyle w:val="Tabletextleft"/>
            </w:pPr>
            <w:r w:rsidRPr="00BE01F0">
              <w:t>0.0991</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Bathurst</w:t>
            </w:r>
          </w:p>
        </w:tc>
        <w:tc>
          <w:tcPr>
            <w:tcW w:w="0" w:type="auto"/>
            <w:noWrap/>
            <w:hideMark/>
          </w:tcPr>
          <w:p w:rsidR="0066503B" w:rsidRPr="00BE01F0" w:rsidRDefault="0066503B" w:rsidP="000C2DCE">
            <w:pPr>
              <w:pStyle w:val="Tabletextleft"/>
            </w:pPr>
            <w:r w:rsidRPr="00BE01F0">
              <w:t>149.58</w:t>
            </w:r>
          </w:p>
        </w:tc>
        <w:tc>
          <w:tcPr>
            <w:tcW w:w="0" w:type="auto"/>
            <w:noWrap/>
            <w:hideMark/>
          </w:tcPr>
          <w:p w:rsidR="0066503B" w:rsidRPr="00BE01F0" w:rsidRDefault="0066503B" w:rsidP="000C2DCE">
            <w:pPr>
              <w:pStyle w:val="Tabletextleft"/>
            </w:pPr>
            <w:r w:rsidRPr="00BE01F0">
              <w:t>-33.41</w:t>
            </w:r>
          </w:p>
        </w:tc>
        <w:tc>
          <w:tcPr>
            <w:tcW w:w="0" w:type="auto"/>
            <w:noWrap/>
            <w:hideMark/>
          </w:tcPr>
          <w:p w:rsidR="0066503B" w:rsidRPr="00BE01F0" w:rsidRDefault="0066503B" w:rsidP="000C2DCE">
            <w:pPr>
              <w:pStyle w:val="Tabletextleft"/>
            </w:pPr>
            <w:r w:rsidRPr="00BE01F0">
              <w:t>0.0637</w:t>
            </w:r>
          </w:p>
        </w:tc>
        <w:tc>
          <w:tcPr>
            <w:tcW w:w="0" w:type="auto"/>
            <w:noWrap/>
            <w:hideMark/>
          </w:tcPr>
          <w:p w:rsidR="0066503B" w:rsidRPr="00BE01F0" w:rsidRDefault="0066503B" w:rsidP="000C2DCE">
            <w:pPr>
              <w:pStyle w:val="Tabletextleft"/>
            </w:pPr>
            <w:r w:rsidRPr="00BE01F0">
              <w:t>0.1670</w:t>
            </w:r>
          </w:p>
        </w:tc>
        <w:tc>
          <w:tcPr>
            <w:tcW w:w="0" w:type="auto"/>
            <w:noWrap/>
            <w:hideMark/>
          </w:tcPr>
          <w:p w:rsidR="0066503B" w:rsidRPr="00BE01F0" w:rsidRDefault="0066503B" w:rsidP="000C2DCE">
            <w:pPr>
              <w:pStyle w:val="Tabletextleft"/>
            </w:pPr>
            <w:r w:rsidRPr="00BE01F0">
              <w:t>Newcastle</w:t>
            </w:r>
          </w:p>
        </w:tc>
        <w:tc>
          <w:tcPr>
            <w:tcW w:w="0" w:type="auto"/>
            <w:noWrap/>
            <w:hideMark/>
          </w:tcPr>
          <w:p w:rsidR="0066503B" w:rsidRPr="00BE01F0" w:rsidRDefault="0066503B" w:rsidP="000C2DCE">
            <w:pPr>
              <w:pStyle w:val="Tabletextleft"/>
            </w:pPr>
            <w:r w:rsidRPr="00BE01F0">
              <w:t>151.78</w:t>
            </w:r>
          </w:p>
        </w:tc>
        <w:tc>
          <w:tcPr>
            <w:tcW w:w="0" w:type="auto"/>
            <w:noWrap/>
            <w:hideMark/>
          </w:tcPr>
          <w:p w:rsidR="0066503B" w:rsidRPr="00BE01F0" w:rsidRDefault="0066503B" w:rsidP="000C2DCE">
            <w:pPr>
              <w:pStyle w:val="Tabletextleft"/>
            </w:pPr>
            <w:r w:rsidRPr="00BE01F0">
              <w:t>-32.93</w:t>
            </w:r>
          </w:p>
        </w:tc>
        <w:tc>
          <w:tcPr>
            <w:tcW w:w="0" w:type="auto"/>
            <w:noWrap/>
            <w:hideMark/>
          </w:tcPr>
          <w:p w:rsidR="0066503B" w:rsidRPr="00BE01F0" w:rsidRDefault="0066503B" w:rsidP="000C2DCE">
            <w:pPr>
              <w:pStyle w:val="Tabletextleft"/>
            </w:pPr>
            <w:r w:rsidRPr="00BE01F0">
              <w:t>0.0510</w:t>
            </w:r>
          </w:p>
        </w:tc>
        <w:tc>
          <w:tcPr>
            <w:tcW w:w="0" w:type="auto"/>
            <w:noWrap/>
            <w:hideMark/>
          </w:tcPr>
          <w:p w:rsidR="0066503B" w:rsidRPr="00BE01F0" w:rsidRDefault="0066503B" w:rsidP="000C2DCE">
            <w:pPr>
              <w:pStyle w:val="Tabletextleft"/>
            </w:pPr>
            <w:r w:rsidRPr="00BE01F0">
              <w:t>0.1454</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Bendigo</w:t>
            </w:r>
          </w:p>
        </w:tc>
        <w:tc>
          <w:tcPr>
            <w:tcW w:w="0" w:type="auto"/>
            <w:noWrap/>
            <w:hideMark/>
          </w:tcPr>
          <w:p w:rsidR="0066503B" w:rsidRPr="00BE01F0" w:rsidRDefault="0066503B" w:rsidP="000C2DCE">
            <w:pPr>
              <w:pStyle w:val="Tabletextleft"/>
            </w:pPr>
            <w:r w:rsidRPr="00BE01F0">
              <w:t>144.28</w:t>
            </w:r>
          </w:p>
        </w:tc>
        <w:tc>
          <w:tcPr>
            <w:tcW w:w="0" w:type="auto"/>
            <w:noWrap/>
            <w:hideMark/>
          </w:tcPr>
          <w:p w:rsidR="0066503B" w:rsidRPr="00BE01F0" w:rsidRDefault="0066503B" w:rsidP="000C2DCE">
            <w:pPr>
              <w:pStyle w:val="Tabletextleft"/>
            </w:pPr>
            <w:r w:rsidRPr="00BE01F0">
              <w:t>-36.75</w:t>
            </w:r>
          </w:p>
        </w:tc>
        <w:tc>
          <w:tcPr>
            <w:tcW w:w="0" w:type="auto"/>
            <w:noWrap/>
            <w:hideMark/>
          </w:tcPr>
          <w:p w:rsidR="0066503B" w:rsidRPr="00BE01F0" w:rsidRDefault="0066503B" w:rsidP="000C2DCE">
            <w:pPr>
              <w:pStyle w:val="Tabletextleft"/>
            </w:pPr>
            <w:r w:rsidRPr="00BE01F0">
              <w:t>0.0368</w:t>
            </w:r>
          </w:p>
        </w:tc>
        <w:tc>
          <w:tcPr>
            <w:tcW w:w="0" w:type="auto"/>
            <w:noWrap/>
            <w:hideMark/>
          </w:tcPr>
          <w:p w:rsidR="0066503B" w:rsidRPr="00BE01F0" w:rsidRDefault="0066503B" w:rsidP="000C2DCE">
            <w:pPr>
              <w:pStyle w:val="Tabletextleft"/>
            </w:pPr>
            <w:r w:rsidRPr="00BE01F0">
              <w:t>0.0945</w:t>
            </w:r>
          </w:p>
        </w:tc>
        <w:tc>
          <w:tcPr>
            <w:tcW w:w="0" w:type="auto"/>
            <w:noWrap/>
            <w:hideMark/>
          </w:tcPr>
          <w:p w:rsidR="0066503B" w:rsidRPr="00BE01F0" w:rsidRDefault="0066503B" w:rsidP="000C2DCE">
            <w:pPr>
              <w:pStyle w:val="Tabletextleft"/>
            </w:pPr>
            <w:r w:rsidRPr="00BE01F0">
              <w:t>Noosa</w:t>
            </w:r>
          </w:p>
        </w:tc>
        <w:tc>
          <w:tcPr>
            <w:tcW w:w="0" w:type="auto"/>
            <w:noWrap/>
            <w:hideMark/>
          </w:tcPr>
          <w:p w:rsidR="0066503B" w:rsidRPr="00BE01F0" w:rsidRDefault="0066503B" w:rsidP="000C2DCE">
            <w:pPr>
              <w:pStyle w:val="Tabletextleft"/>
            </w:pPr>
            <w:r w:rsidRPr="00BE01F0">
              <w:t>153.08</w:t>
            </w:r>
          </w:p>
        </w:tc>
        <w:tc>
          <w:tcPr>
            <w:tcW w:w="0" w:type="auto"/>
            <w:noWrap/>
            <w:hideMark/>
          </w:tcPr>
          <w:p w:rsidR="0066503B" w:rsidRPr="00BE01F0" w:rsidRDefault="0066503B" w:rsidP="000C2DCE">
            <w:pPr>
              <w:pStyle w:val="Tabletextleft"/>
            </w:pPr>
            <w:r w:rsidRPr="00BE01F0">
              <w:t>-26.4</w:t>
            </w:r>
          </w:p>
        </w:tc>
        <w:tc>
          <w:tcPr>
            <w:tcW w:w="0" w:type="auto"/>
            <w:noWrap/>
            <w:hideMark/>
          </w:tcPr>
          <w:p w:rsidR="0066503B" w:rsidRPr="00BE01F0" w:rsidRDefault="0066503B" w:rsidP="000C2DCE">
            <w:pPr>
              <w:pStyle w:val="Tabletextleft"/>
            </w:pPr>
            <w:r w:rsidRPr="00BE01F0">
              <w:t>0.0481</w:t>
            </w:r>
          </w:p>
        </w:tc>
        <w:tc>
          <w:tcPr>
            <w:tcW w:w="0" w:type="auto"/>
            <w:noWrap/>
            <w:hideMark/>
          </w:tcPr>
          <w:p w:rsidR="0066503B" w:rsidRPr="00BE01F0" w:rsidRDefault="0066503B" w:rsidP="000C2DCE">
            <w:pPr>
              <w:pStyle w:val="Tabletextleft"/>
            </w:pPr>
            <w:r w:rsidRPr="00BE01F0">
              <w:t>0.1402</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Broken Hill</w:t>
            </w:r>
          </w:p>
        </w:tc>
        <w:tc>
          <w:tcPr>
            <w:tcW w:w="0" w:type="auto"/>
            <w:noWrap/>
            <w:hideMark/>
          </w:tcPr>
          <w:p w:rsidR="0066503B" w:rsidRPr="00BE01F0" w:rsidRDefault="0066503B" w:rsidP="000C2DCE">
            <w:pPr>
              <w:pStyle w:val="Tabletextleft"/>
            </w:pPr>
            <w:r w:rsidRPr="00BE01F0">
              <w:t>141.46</w:t>
            </w:r>
          </w:p>
        </w:tc>
        <w:tc>
          <w:tcPr>
            <w:tcW w:w="0" w:type="auto"/>
            <w:noWrap/>
            <w:hideMark/>
          </w:tcPr>
          <w:p w:rsidR="0066503B" w:rsidRPr="00BE01F0" w:rsidRDefault="0066503B" w:rsidP="000C2DCE">
            <w:pPr>
              <w:pStyle w:val="Tabletextleft"/>
            </w:pPr>
            <w:r w:rsidRPr="00BE01F0">
              <w:t>-31.96</w:t>
            </w:r>
          </w:p>
        </w:tc>
        <w:tc>
          <w:tcPr>
            <w:tcW w:w="0" w:type="auto"/>
            <w:noWrap/>
            <w:hideMark/>
          </w:tcPr>
          <w:p w:rsidR="0066503B" w:rsidRPr="00BE01F0" w:rsidRDefault="0066503B" w:rsidP="000C2DCE">
            <w:pPr>
              <w:pStyle w:val="Tabletextleft"/>
            </w:pPr>
            <w:r w:rsidRPr="00BE01F0">
              <w:t>0.0205</w:t>
            </w:r>
          </w:p>
        </w:tc>
        <w:tc>
          <w:tcPr>
            <w:tcW w:w="0" w:type="auto"/>
            <w:noWrap/>
            <w:hideMark/>
          </w:tcPr>
          <w:p w:rsidR="0066503B" w:rsidRPr="00BE01F0" w:rsidRDefault="0066503B" w:rsidP="000C2DCE">
            <w:pPr>
              <w:pStyle w:val="Tabletextleft"/>
            </w:pPr>
            <w:r w:rsidRPr="00BE01F0">
              <w:t>0.0612</w:t>
            </w:r>
          </w:p>
        </w:tc>
        <w:tc>
          <w:tcPr>
            <w:tcW w:w="0" w:type="auto"/>
            <w:noWrap/>
            <w:hideMark/>
          </w:tcPr>
          <w:p w:rsidR="0066503B" w:rsidRPr="00BE01F0" w:rsidRDefault="0066503B" w:rsidP="000C2DCE">
            <w:pPr>
              <w:pStyle w:val="Tabletextleft"/>
            </w:pPr>
            <w:r w:rsidRPr="00BE01F0">
              <w:t>Northam</w:t>
            </w:r>
          </w:p>
        </w:tc>
        <w:tc>
          <w:tcPr>
            <w:tcW w:w="0" w:type="auto"/>
            <w:noWrap/>
            <w:hideMark/>
          </w:tcPr>
          <w:p w:rsidR="0066503B" w:rsidRPr="00BE01F0" w:rsidRDefault="0066503B" w:rsidP="000C2DCE">
            <w:pPr>
              <w:pStyle w:val="Tabletextleft"/>
            </w:pPr>
            <w:r w:rsidRPr="00BE01F0">
              <w:t>116.66</w:t>
            </w:r>
          </w:p>
        </w:tc>
        <w:tc>
          <w:tcPr>
            <w:tcW w:w="0" w:type="auto"/>
            <w:noWrap/>
            <w:hideMark/>
          </w:tcPr>
          <w:p w:rsidR="0066503B" w:rsidRPr="00BE01F0" w:rsidRDefault="0066503B" w:rsidP="000C2DCE">
            <w:pPr>
              <w:pStyle w:val="Tabletextleft"/>
            </w:pPr>
            <w:r w:rsidRPr="00BE01F0">
              <w:t>-31.65</w:t>
            </w:r>
          </w:p>
        </w:tc>
        <w:tc>
          <w:tcPr>
            <w:tcW w:w="0" w:type="auto"/>
            <w:noWrap/>
            <w:hideMark/>
          </w:tcPr>
          <w:p w:rsidR="0066503B" w:rsidRPr="00BE01F0" w:rsidRDefault="0066503B" w:rsidP="000C2DCE">
            <w:pPr>
              <w:pStyle w:val="Tabletextleft"/>
            </w:pPr>
            <w:r w:rsidRPr="00BE01F0">
              <w:t>0.0783</w:t>
            </w:r>
          </w:p>
        </w:tc>
        <w:tc>
          <w:tcPr>
            <w:tcW w:w="0" w:type="auto"/>
            <w:noWrap/>
            <w:hideMark/>
          </w:tcPr>
          <w:p w:rsidR="0066503B" w:rsidRPr="00BE01F0" w:rsidRDefault="0066503B" w:rsidP="000C2DCE">
            <w:pPr>
              <w:pStyle w:val="Tabletextleft"/>
            </w:pPr>
            <w:r w:rsidRPr="00BE01F0">
              <w:t>0.2245</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Broome</w:t>
            </w:r>
          </w:p>
        </w:tc>
        <w:tc>
          <w:tcPr>
            <w:tcW w:w="0" w:type="auto"/>
            <w:noWrap/>
            <w:hideMark/>
          </w:tcPr>
          <w:p w:rsidR="0066503B" w:rsidRPr="00BE01F0" w:rsidRDefault="0066503B" w:rsidP="000C2DCE">
            <w:pPr>
              <w:pStyle w:val="Tabletextleft"/>
            </w:pPr>
            <w:r w:rsidRPr="00BE01F0">
              <w:t>122.23</w:t>
            </w:r>
          </w:p>
        </w:tc>
        <w:tc>
          <w:tcPr>
            <w:tcW w:w="0" w:type="auto"/>
            <w:noWrap/>
            <w:hideMark/>
          </w:tcPr>
          <w:p w:rsidR="0066503B" w:rsidRPr="00BE01F0" w:rsidRDefault="0066503B" w:rsidP="000C2DCE">
            <w:pPr>
              <w:pStyle w:val="Tabletextleft"/>
            </w:pPr>
            <w:r w:rsidRPr="00BE01F0">
              <w:t>-17.95</w:t>
            </w:r>
          </w:p>
        </w:tc>
        <w:tc>
          <w:tcPr>
            <w:tcW w:w="0" w:type="auto"/>
            <w:noWrap/>
            <w:hideMark/>
          </w:tcPr>
          <w:p w:rsidR="0066503B" w:rsidRPr="00BE01F0" w:rsidRDefault="0066503B" w:rsidP="000C2DCE">
            <w:pPr>
              <w:pStyle w:val="Tabletextleft"/>
            </w:pPr>
            <w:r w:rsidRPr="00BE01F0">
              <w:t>0.0611</w:t>
            </w:r>
          </w:p>
        </w:tc>
        <w:tc>
          <w:tcPr>
            <w:tcW w:w="0" w:type="auto"/>
            <w:noWrap/>
            <w:hideMark/>
          </w:tcPr>
          <w:p w:rsidR="0066503B" w:rsidRPr="00BE01F0" w:rsidRDefault="0066503B" w:rsidP="000C2DCE">
            <w:pPr>
              <w:pStyle w:val="Tabletextleft"/>
            </w:pPr>
            <w:r w:rsidRPr="00BE01F0">
              <w:t>0.1930</w:t>
            </w:r>
          </w:p>
        </w:tc>
        <w:tc>
          <w:tcPr>
            <w:tcW w:w="0" w:type="auto"/>
            <w:noWrap/>
            <w:hideMark/>
          </w:tcPr>
          <w:p w:rsidR="0066503B" w:rsidRPr="00BE01F0" w:rsidRDefault="0066503B" w:rsidP="000C2DCE">
            <w:pPr>
              <w:pStyle w:val="Tabletextleft"/>
            </w:pPr>
            <w:r w:rsidRPr="00BE01F0">
              <w:t>Olympic Dam</w:t>
            </w:r>
          </w:p>
        </w:tc>
        <w:tc>
          <w:tcPr>
            <w:tcW w:w="0" w:type="auto"/>
            <w:noWrap/>
            <w:hideMark/>
          </w:tcPr>
          <w:p w:rsidR="0066503B" w:rsidRPr="00BE01F0" w:rsidRDefault="0066503B" w:rsidP="000C2DCE">
            <w:pPr>
              <w:pStyle w:val="Tabletextleft"/>
            </w:pPr>
            <w:r w:rsidRPr="00BE01F0">
              <w:t>136.88</w:t>
            </w:r>
          </w:p>
        </w:tc>
        <w:tc>
          <w:tcPr>
            <w:tcW w:w="0" w:type="auto"/>
            <w:noWrap/>
            <w:hideMark/>
          </w:tcPr>
          <w:p w:rsidR="0066503B" w:rsidRPr="00BE01F0" w:rsidRDefault="0066503B" w:rsidP="000C2DCE">
            <w:pPr>
              <w:pStyle w:val="Tabletextleft"/>
            </w:pPr>
            <w:r w:rsidRPr="00BE01F0">
              <w:t>-30.45</w:t>
            </w:r>
          </w:p>
        </w:tc>
        <w:tc>
          <w:tcPr>
            <w:tcW w:w="0" w:type="auto"/>
            <w:noWrap/>
            <w:hideMark/>
          </w:tcPr>
          <w:p w:rsidR="0066503B" w:rsidRPr="00BE01F0" w:rsidRDefault="0066503B" w:rsidP="000C2DCE">
            <w:pPr>
              <w:pStyle w:val="Tabletextleft"/>
            </w:pPr>
            <w:r w:rsidRPr="00BE01F0">
              <w:t>0.0290</w:t>
            </w:r>
          </w:p>
        </w:tc>
        <w:tc>
          <w:tcPr>
            <w:tcW w:w="0" w:type="auto"/>
            <w:noWrap/>
            <w:hideMark/>
          </w:tcPr>
          <w:p w:rsidR="0066503B" w:rsidRPr="00BE01F0" w:rsidRDefault="0066503B" w:rsidP="000C2DCE">
            <w:pPr>
              <w:pStyle w:val="Tabletextleft"/>
            </w:pPr>
            <w:r w:rsidRPr="00BE01F0">
              <w:t>0.0930</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Bundaberg</w:t>
            </w:r>
          </w:p>
        </w:tc>
        <w:tc>
          <w:tcPr>
            <w:tcW w:w="0" w:type="auto"/>
            <w:noWrap/>
            <w:hideMark/>
          </w:tcPr>
          <w:p w:rsidR="0066503B" w:rsidRPr="00BE01F0" w:rsidRDefault="0066503B" w:rsidP="000C2DCE">
            <w:pPr>
              <w:pStyle w:val="Tabletextleft"/>
            </w:pPr>
            <w:r w:rsidRPr="00BE01F0">
              <w:t>152.35</w:t>
            </w:r>
          </w:p>
        </w:tc>
        <w:tc>
          <w:tcPr>
            <w:tcW w:w="0" w:type="auto"/>
            <w:noWrap/>
            <w:hideMark/>
          </w:tcPr>
          <w:p w:rsidR="0066503B" w:rsidRPr="00BE01F0" w:rsidRDefault="0066503B" w:rsidP="000C2DCE">
            <w:pPr>
              <w:pStyle w:val="Tabletextleft"/>
            </w:pPr>
            <w:r w:rsidRPr="00BE01F0">
              <w:t>-24.86</w:t>
            </w:r>
          </w:p>
        </w:tc>
        <w:tc>
          <w:tcPr>
            <w:tcW w:w="0" w:type="auto"/>
            <w:noWrap/>
            <w:hideMark/>
          </w:tcPr>
          <w:p w:rsidR="0066503B" w:rsidRPr="00BE01F0" w:rsidRDefault="0066503B" w:rsidP="000C2DCE">
            <w:pPr>
              <w:pStyle w:val="Tabletextleft"/>
            </w:pPr>
            <w:r w:rsidRPr="00BE01F0">
              <w:t>0.0563</w:t>
            </w:r>
          </w:p>
        </w:tc>
        <w:tc>
          <w:tcPr>
            <w:tcW w:w="0" w:type="auto"/>
            <w:noWrap/>
            <w:hideMark/>
          </w:tcPr>
          <w:p w:rsidR="0066503B" w:rsidRPr="00BE01F0" w:rsidRDefault="0066503B" w:rsidP="000C2DCE">
            <w:pPr>
              <w:pStyle w:val="Tabletextleft"/>
            </w:pPr>
            <w:r w:rsidRPr="00BE01F0">
              <w:t>0.1581</w:t>
            </w:r>
          </w:p>
        </w:tc>
        <w:tc>
          <w:tcPr>
            <w:tcW w:w="0" w:type="auto"/>
            <w:noWrap/>
            <w:hideMark/>
          </w:tcPr>
          <w:p w:rsidR="0066503B" w:rsidRPr="00BE01F0" w:rsidRDefault="0066503B" w:rsidP="000C2DCE">
            <w:pPr>
              <w:pStyle w:val="Tabletextleft"/>
            </w:pPr>
            <w:r w:rsidRPr="00BE01F0">
              <w:t>Onslow</w:t>
            </w:r>
          </w:p>
        </w:tc>
        <w:tc>
          <w:tcPr>
            <w:tcW w:w="0" w:type="auto"/>
            <w:noWrap/>
            <w:hideMark/>
          </w:tcPr>
          <w:p w:rsidR="0066503B" w:rsidRPr="00BE01F0" w:rsidRDefault="0066503B" w:rsidP="000C2DCE">
            <w:pPr>
              <w:pStyle w:val="Tabletextleft"/>
            </w:pPr>
            <w:r w:rsidRPr="00BE01F0">
              <w:t>115.11</w:t>
            </w:r>
          </w:p>
        </w:tc>
        <w:tc>
          <w:tcPr>
            <w:tcW w:w="0" w:type="auto"/>
            <w:noWrap/>
            <w:hideMark/>
          </w:tcPr>
          <w:p w:rsidR="0066503B" w:rsidRPr="00BE01F0" w:rsidRDefault="0066503B" w:rsidP="000C2DCE">
            <w:pPr>
              <w:pStyle w:val="Tabletextleft"/>
            </w:pPr>
            <w:r w:rsidRPr="00BE01F0">
              <w:t>-21.64</w:t>
            </w:r>
          </w:p>
        </w:tc>
        <w:tc>
          <w:tcPr>
            <w:tcW w:w="0" w:type="auto"/>
            <w:noWrap/>
            <w:hideMark/>
          </w:tcPr>
          <w:p w:rsidR="0066503B" w:rsidRPr="00BE01F0" w:rsidRDefault="0066503B" w:rsidP="000C2DCE">
            <w:pPr>
              <w:pStyle w:val="Tabletextleft"/>
            </w:pPr>
            <w:r w:rsidRPr="00BE01F0">
              <w:t>0.0817</w:t>
            </w:r>
          </w:p>
        </w:tc>
        <w:tc>
          <w:tcPr>
            <w:tcW w:w="0" w:type="auto"/>
            <w:noWrap/>
            <w:hideMark/>
          </w:tcPr>
          <w:p w:rsidR="0066503B" w:rsidRPr="00BE01F0" w:rsidRDefault="0066503B" w:rsidP="000C2DCE">
            <w:pPr>
              <w:pStyle w:val="Tabletextleft"/>
            </w:pPr>
            <w:r w:rsidRPr="00BE01F0">
              <w:t>0.2603</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Burnie</w:t>
            </w:r>
          </w:p>
        </w:tc>
        <w:tc>
          <w:tcPr>
            <w:tcW w:w="0" w:type="auto"/>
            <w:noWrap/>
            <w:hideMark/>
          </w:tcPr>
          <w:p w:rsidR="0066503B" w:rsidRPr="00BE01F0" w:rsidRDefault="0066503B" w:rsidP="000C2DCE">
            <w:pPr>
              <w:pStyle w:val="Tabletextleft"/>
            </w:pPr>
            <w:r w:rsidRPr="00BE01F0">
              <w:t>145.9</w:t>
            </w:r>
          </w:p>
        </w:tc>
        <w:tc>
          <w:tcPr>
            <w:tcW w:w="0" w:type="auto"/>
            <w:noWrap/>
            <w:hideMark/>
          </w:tcPr>
          <w:p w:rsidR="0066503B" w:rsidRPr="00BE01F0" w:rsidRDefault="0066503B" w:rsidP="000C2DCE">
            <w:pPr>
              <w:pStyle w:val="Tabletextleft"/>
            </w:pPr>
            <w:r w:rsidRPr="00BE01F0">
              <w:t>-41.05</w:t>
            </w:r>
          </w:p>
        </w:tc>
        <w:tc>
          <w:tcPr>
            <w:tcW w:w="0" w:type="auto"/>
            <w:noWrap/>
            <w:hideMark/>
          </w:tcPr>
          <w:p w:rsidR="0066503B" w:rsidRPr="00BE01F0" w:rsidRDefault="0066503B" w:rsidP="000C2DCE">
            <w:pPr>
              <w:pStyle w:val="Tabletextleft"/>
            </w:pPr>
            <w:r w:rsidRPr="00BE01F0">
              <w:t>0.0294</w:t>
            </w:r>
          </w:p>
        </w:tc>
        <w:tc>
          <w:tcPr>
            <w:tcW w:w="0" w:type="auto"/>
            <w:noWrap/>
            <w:hideMark/>
          </w:tcPr>
          <w:p w:rsidR="0066503B" w:rsidRPr="00BE01F0" w:rsidRDefault="0066503B" w:rsidP="000C2DCE">
            <w:pPr>
              <w:pStyle w:val="Tabletextleft"/>
            </w:pPr>
            <w:r w:rsidRPr="00BE01F0">
              <w:t>0.0797</w:t>
            </w:r>
          </w:p>
        </w:tc>
        <w:tc>
          <w:tcPr>
            <w:tcW w:w="0" w:type="auto"/>
            <w:noWrap/>
            <w:hideMark/>
          </w:tcPr>
          <w:p w:rsidR="0066503B" w:rsidRPr="00BE01F0" w:rsidRDefault="0066503B" w:rsidP="000C2DCE">
            <w:pPr>
              <w:pStyle w:val="Tabletextleft"/>
            </w:pPr>
            <w:r w:rsidRPr="00BE01F0">
              <w:t>Orange</w:t>
            </w:r>
          </w:p>
        </w:tc>
        <w:tc>
          <w:tcPr>
            <w:tcW w:w="0" w:type="auto"/>
            <w:noWrap/>
            <w:hideMark/>
          </w:tcPr>
          <w:p w:rsidR="0066503B" w:rsidRPr="00BE01F0" w:rsidRDefault="0066503B" w:rsidP="000C2DCE">
            <w:pPr>
              <w:pStyle w:val="Tabletextleft"/>
            </w:pPr>
            <w:r w:rsidRPr="00BE01F0">
              <w:t>149.1</w:t>
            </w:r>
          </w:p>
        </w:tc>
        <w:tc>
          <w:tcPr>
            <w:tcW w:w="0" w:type="auto"/>
            <w:noWrap/>
            <w:hideMark/>
          </w:tcPr>
          <w:p w:rsidR="0066503B" w:rsidRPr="00BE01F0" w:rsidRDefault="0066503B" w:rsidP="000C2DCE">
            <w:pPr>
              <w:pStyle w:val="Tabletextleft"/>
            </w:pPr>
            <w:r w:rsidRPr="00BE01F0">
              <w:t>-33.28</w:t>
            </w:r>
          </w:p>
        </w:tc>
        <w:tc>
          <w:tcPr>
            <w:tcW w:w="0" w:type="auto"/>
            <w:noWrap/>
            <w:hideMark/>
          </w:tcPr>
          <w:p w:rsidR="0066503B" w:rsidRPr="00BE01F0" w:rsidRDefault="0066503B" w:rsidP="000C2DCE">
            <w:pPr>
              <w:pStyle w:val="Tabletextleft"/>
            </w:pPr>
            <w:r w:rsidRPr="00BE01F0">
              <w:t>0.0639</w:t>
            </w:r>
          </w:p>
        </w:tc>
        <w:tc>
          <w:tcPr>
            <w:tcW w:w="0" w:type="auto"/>
            <w:noWrap/>
            <w:hideMark/>
          </w:tcPr>
          <w:p w:rsidR="0066503B" w:rsidRPr="00BE01F0" w:rsidRDefault="0066503B" w:rsidP="000C2DCE">
            <w:pPr>
              <w:pStyle w:val="Tabletextleft"/>
            </w:pPr>
            <w:r w:rsidRPr="00BE01F0">
              <w:t>0.1677</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Cairns</w:t>
            </w:r>
          </w:p>
        </w:tc>
        <w:tc>
          <w:tcPr>
            <w:tcW w:w="0" w:type="auto"/>
            <w:noWrap/>
            <w:hideMark/>
          </w:tcPr>
          <w:p w:rsidR="0066503B" w:rsidRPr="00BE01F0" w:rsidRDefault="0066503B" w:rsidP="000C2DCE">
            <w:pPr>
              <w:pStyle w:val="Tabletextleft"/>
            </w:pPr>
            <w:r w:rsidRPr="00BE01F0">
              <w:t>145.76</w:t>
            </w:r>
          </w:p>
        </w:tc>
        <w:tc>
          <w:tcPr>
            <w:tcW w:w="0" w:type="auto"/>
            <w:noWrap/>
            <w:hideMark/>
          </w:tcPr>
          <w:p w:rsidR="0066503B" w:rsidRPr="00BE01F0" w:rsidRDefault="0066503B" w:rsidP="000C2DCE">
            <w:pPr>
              <w:pStyle w:val="Tabletextleft"/>
            </w:pPr>
            <w:r w:rsidRPr="00BE01F0">
              <w:t>-16.91</w:t>
            </w:r>
          </w:p>
        </w:tc>
        <w:tc>
          <w:tcPr>
            <w:tcW w:w="0" w:type="auto"/>
            <w:noWrap/>
            <w:hideMark/>
          </w:tcPr>
          <w:p w:rsidR="0066503B" w:rsidRPr="00BE01F0" w:rsidRDefault="0066503B" w:rsidP="000C2DCE">
            <w:pPr>
              <w:pStyle w:val="Tabletextleft"/>
            </w:pPr>
            <w:r w:rsidRPr="00BE01F0">
              <w:t>0.0324</w:t>
            </w:r>
          </w:p>
        </w:tc>
        <w:tc>
          <w:tcPr>
            <w:tcW w:w="0" w:type="auto"/>
            <w:noWrap/>
            <w:hideMark/>
          </w:tcPr>
          <w:p w:rsidR="0066503B" w:rsidRPr="00BE01F0" w:rsidRDefault="0066503B" w:rsidP="000C2DCE">
            <w:pPr>
              <w:pStyle w:val="Tabletextleft"/>
            </w:pPr>
            <w:r w:rsidRPr="00BE01F0">
              <w:t>0.0944</w:t>
            </w:r>
          </w:p>
        </w:tc>
        <w:tc>
          <w:tcPr>
            <w:tcW w:w="0" w:type="auto"/>
            <w:noWrap/>
            <w:hideMark/>
          </w:tcPr>
          <w:p w:rsidR="0066503B" w:rsidRPr="00BE01F0" w:rsidRDefault="0066503B" w:rsidP="000C2DCE">
            <w:pPr>
              <w:pStyle w:val="Tabletextleft"/>
            </w:pPr>
            <w:r w:rsidRPr="00BE01F0">
              <w:t>Port Augusta</w:t>
            </w:r>
          </w:p>
        </w:tc>
        <w:tc>
          <w:tcPr>
            <w:tcW w:w="0" w:type="auto"/>
            <w:noWrap/>
            <w:hideMark/>
          </w:tcPr>
          <w:p w:rsidR="0066503B" w:rsidRPr="00BE01F0" w:rsidRDefault="0066503B" w:rsidP="000C2DCE">
            <w:pPr>
              <w:pStyle w:val="Tabletextleft"/>
            </w:pPr>
            <w:r w:rsidRPr="00BE01F0">
              <w:t>137.76</w:t>
            </w:r>
          </w:p>
        </w:tc>
        <w:tc>
          <w:tcPr>
            <w:tcW w:w="0" w:type="auto"/>
            <w:noWrap/>
            <w:hideMark/>
          </w:tcPr>
          <w:p w:rsidR="0066503B" w:rsidRPr="00BE01F0" w:rsidRDefault="0066503B" w:rsidP="000C2DCE">
            <w:pPr>
              <w:pStyle w:val="Tabletextleft"/>
            </w:pPr>
            <w:r w:rsidRPr="00BE01F0">
              <w:t>-32.48</w:t>
            </w:r>
          </w:p>
        </w:tc>
        <w:tc>
          <w:tcPr>
            <w:tcW w:w="0" w:type="auto"/>
            <w:noWrap/>
            <w:hideMark/>
          </w:tcPr>
          <w:p w:rsidR="0066503B" w:rsidRPr="00BE01F0" w:rsidRDefault="0066503B" w:rsidP="000C2DCE">
            <w:pPr>
              <w:pStyle w:val="Tabletextleft"/>
            </w:pPr>
            <w:r w:rsidRPr="00BE01F0">
              <w:t>0.0494</w:t>
            </w:r>
          </w:p>
        </w:tc>
        <w:tc>
          <w:tcPr>
            <w:tcW w:w="0" w:type="auto"/>
            <w:noWrap/>
            <w:hideMark/>
          </w:tcPr>
          <w:p w:rsidR="0066503B" w:rsidRPr="00BE01F0" w:rsidRDefault="0066503B" w:rsidP="000C2DCE">
            <w:pPr>
              <w:pStyle w:val="Tabletextleft"/>
            </w:pPr>
            <w:r w:rsidRPr="00BE01F0">
              <w:t>0.1374</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Camden</w:t>
            </w:r>
          </w:p>
        </w:tc>
        <w:tc>
          <w:tcPr>
            <w:tcW w:w="0" w:type="auto"/>
            <w:noWrap/>
            <w:hideMark/>
          </w:tcPr>
          <w:p w:rsidR="0066503B" w:rsidRPr="00BE01F0" w:rsidRDefault="0066503B" w:rsidP="000C2DCE">
            <w:pPr>
              <w:pStyle w:val="Tabletextleft"/>
            </w:pPr>
            <w:r w:rsidRPr="00BE01F0">
              <w:t>150.7</w:t>
            </w:r>
          </w:p>
        </w:tc>
        <w:tc>
          <w:tcPr>
            <w:tcW w:w="0" w:type="auto"/>
            <w:noWrap/>
            <w:hideMark/>
          </w:tcPr>
          <w:p w:rsidR="0066503B" w:rsidRPr="00BE01F0" w:rsidRDefault="0066503B" w:rsidP="000C2DCE">
            <w:pPr>
              <w:pStyle w:val="Tabletextleft"/>
            </w:pPr>
            <w:r w:rsidRPr="00BE01F0">
              <w:t>-34.06</w:t>
            </w:r>
          </w:p>
        </w:tc>
        <w:tc>
          <w:tcPr>
            <w:tcW w:w="0" w:type="auto"/>
            <w:noWrap/>
            <w:hideMark/>
          </w:tcPr>
          <w:p w:rsidR="0066503B" w:rsidRPr="00BE01F0" w:rsidRDefault="0066503B" w:rsidP="000C2DCE">
            <w:pPr>
              <w:pStyle w:val="Tabletextleft"/>
            </w:pPr>
            <w:r w:rsidRPr="00BE01F0">
              <w:t>0.0595</w:t>
            </w:r>
          </w:p>
        </w:tc>
        <w:tc>
          <w:tcPr>
            <w:tcW w:w="0" w:type="auto"/>
            <w:noWrap/>
            <w:hideMark/>
          </w:tcPr>
          <w:p w:rsidR="0066503B" w:rsidRPr="00BE01F0" w:rsidRDefault="0066503B" w:rsidP="000C2DCE">
            <w:pPr>
              <w:pStyle w:val="Tabletextleft"/>
            </w:pPr>
            <w:r w:rsidRPr="00BE01F0">
              <w:t>0.1624</w:t>
            </w:r>
          </w:p>
        </w:tc>
        <w:tc>
          <w:tcPr>
            <w:tcW w:w="0" w:type="auto"/>
            <w:noWrap/>
            <w:hideMark/>
          </w:tcPr>
          <w:p w:rsidR="0066503B" w:rsidRPr="00BE01F0" w:rsidRDefault="0066503B" w:rsidP="000C2DCE">
            <w:pPr>
              <w:pStyle w:val="Tabletextleft"/>
            </w:pPr>
            <w:r w:rsidRPr="00BE01F0">
              <w:t>Port Hedland</w:t>
            </w:r>
          </w:p>
        </w:tc>
        <w:tc>
          <w:tcPr>
            <w:tcW w:w="0" w:type="auto"/>
            <w:noWrap/>
            <w:hideMark/>
          </w:tcPr>
          <w:p w:rsidR="0066503B" w:rsidRPr="00BE01F0" w:rsidRDefault="0066503B" w:rsidP="000C2DCE">
            <w:pPr>
              <w:pStyle w:val="Tabletextleft"/>
            </w:pPr>
            <w:r w:rsidRPr="00BE01F0">
              <w:t>118.61</w:t>
            </w:r>
          </w:p>
        </w:tc>
        <w:tc>
          <w:tcPr>
            <w:tcW w:w="0" w:type="auto"/>
            <w:noWrap/>
            <w:hideMark/>
          </w:tcPr>
          <w:p w:rsidR="0066503B" w:rsidRPr="00BE01F0" w:rsidRDefault="0066503B" w:rsidP="000C2DCE">
            <w:pPr>
              <w:pStyle w:val="Tabletextleft"/>
            </w:pPr>
            <w:r w:rsidRPr="00BE01F0">
              <w:t>-20.31</w:t>
            </w:r>
          </w:p>
        </w:tc>
        <w:tc>
          <w:tcPr>
            <w:tcW w:w="0" w:type="auto"/>
            <w:noWrap/>
            <w:hideMark/>
          </w:tcPr>
          <w:p w:rsidR="0066503B" w:rsidRPr="00BE01F0" w:rsidRDefault="0066503B" w:rsidP="000C2DCE">
            <w:pPr>
              <w:pStyle w:val="Tabletextleft"/>
            </w:pPr>
            <w:r w:rsidRPr="00BE01F0">
              <w:t>0.0540</w:t>
            </w:r>
          </w:p>
        </w:tc>
        <w:tc>
          <w:tcPr>
            <w:tcW w:w="0" w:type="auto"/>
            <w:noWrap/>
            <w:hideMark/>
          </w:tcPr>
          <w:p w:rsidR="0066503B" w:rsidRPr="00BE01F0" w:rsidRDefault="0066503B" w:rsidP="000C2DCE">
            <w:pPr>
              <w:pStyle w:val="Tabletextleft"/>
            </w:pPr>
            <w:r w:rsidRPr="00BE01F0">
              <w:t>0.1761</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lastRenderedPageBreak/>
              <w:t>Carnarvon</w:t>
            </w:r>
          </w:p>
        </w:tc>
        <w:tc>
          <w:tcPr>
            <w:tcW w:w="0" w:type="auto"/>
            <w:noWrap/>
            <w:hideMark/>
          </w:tcPr>
          <w:p w:rsidR="0066503B" w:rsidRPr="00BE01F0" w:rsidRDefault="0066503B" w:rsidP="000C2DCE">
            <w:pPr>
              <w:pStyle w:val="Tabletextleft"/>
            </w:pPr>
            <w:r w:rsidRPr="00BE01F0">
              <w:t>113.66</w:t>
            </w:r>
          </w:p>
        </w:tc>
        <w:tc>
          <w:tcPr>
            <w:tcW w:w="0" w:type="auto"/>
            <w:noWrap/>
            <w:hideMark/>
          </w:tcPr>
          <w:p w:rsidR="0066503B" w:rsidRPr="00BE01F0" w:rsidRDefault="0066503B" w:rsidP="000C2DCE">
            <w:pPr>
              <w:pStyle w:val="Tabletextleft"/>
            </w:pPr>
            <w:r w:rsidRPr="00BE01F0">
              <w:t>-24.88</w:t>
            </w:r>
          </w:p>
        </w:tc>
        <w:tc>
          <w:tcPr>
            <w:tcW w:w="0" w:type="auto"/>
            <w:noWrap/>
            <w:hideMark/>
          </w:tcPr>
          <w:p w:rsidR="0066503B" w:rsidRPr="00BE01F0" w:rsidRDefault="0066503B" w:rsidP="000C2DCE">
            <w:pPr>
              <w:pStyle w:val="Tabletextleft"/>
            </w:pPr>
            <w:r w:rsidRPr="00BE01F0">
              <w:t>0.0565</w:t>
            </w:r>
          </w:p>
        </w:tc>
        <w:tc>
          <w:tcPr>
            <w:tcW w:w="0" w:type="auto"/>
            <w:noWrap/>
            <w:hideMark/>
          </w:tcPr>
          <w:p w:rsidR="0066503B" w:rsidRPr="00BE01F0" w:rsidRDefault="0066503B" w:rsidP="000C2DCE">
            <w:pPr>
              <w:pStyle w:val="Tabletextleft"/>
            </w:pPr>
            <w:r w:rsidRPr="00BE01F0">
              <w:t>0.1714</w:t>
            </w:r>
          </w:p>
        </w:tc>
        <w:tc>
          <w:tcPr>
            <w:tcW w:w="0" w:type="auto"/>
            <w:noWrap/>
            <w:hideMark/>
          </w:tcPr>
          <w:p w:rsidR="0066503B" w:rsidRPr="00BE01F0" w:rsidRDefault="0066503B" w:rsidP="000C2DCE">
            <w:pPr>
              <w:pStyle w:val="Tabletextleft"/>
            </w:pPr>
            <w:r w:rsidRPr="00BE01F0">
              <w:t>Port Lincoln</w:t>
            </w:r>
          </w:p>
        </w:tc>
        <w:tc>
          <w:tcPr>
            <w:tcW w:w="0" w:type="auto"/>
            <w:noWrap/>
            <w:hideMark/>
          </w:tcPr>
          <w:p w:rsidR="0066503B" w:rsidRPr="00BE01F0" w:rsidRDefault="0066503B" w:rsidP="000C2DCE">
            <w:pPr>
              <w:pStyle w:val="Tabletextleft"/>
            </w:pPr>
            <w:r w:rsidRPr="00BE01F0">
              <w:t>135.86</w:t>
            </w:r>
          </w:p>
        </w:tc>
        <w:tc>
          <w:tcPr>
            <w:tcW w:w="0" w:type="auto"/>
            <w:noWrap/>
            <w:hideMark/>
          </w:tcPr>
          <w:p w:rsidR="0066503B" w:rsidRPr="00BE01F0" w:rsidRDefault="0066503B" w:rsidP="000C2DCE">
            <w:pPr>
              <w:pStyle w:val="Tabletextleft"/>
            </w:pPr>
            <w:r w:rsidRPr="00BE01F0">
              <w:t>-34.73</w:t>
            </w:r>
          </w:p>
        </w:tc>
        <w:tc>
          <w:tcPr>
            <w:tcW w:w="0" w:type="auto"/>
            <w:noWrap/>
            <w:hideMark/>
          </w:tcPr>
          <w:p w:rsidR="0066503B" w:rsidRPr="00BE01F0" w:rsidRDefault="0066503B" w:rsidP="000C2DCE">
            <w:pPr>
              <w:pStyle w:val="Tabletextleft"/>
            </w:pPr>
            <w:r w:rsidRPr="00BE01F0">
              <w:t>0.0509</w:t>
            </w:r>
          </w:p>
        </w:tc>
        <w:tc>
          <w:tcPr>
            <w:tcW w:w="0" w:type="auto"/>
            <w:noWrap/>
            <w:hideMark/>
          </w:tcPr>
          <w:p w:rsidR="0066503B" w:rsidRPr="00BE01F0" w:rsidRDefault="0066503B" w:rsidP="000C2DCE">
            <w:pPr>
              <w:pStyle w:val="Tabletextleft"/>
            </w:pPr>
            <w:r w:rsidRPr="00BE01F0">
              <w:t>0.1669</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Coffs Harbour</w:t>
            </w:r>
          </w:p>
        </w:tc>
        <w:tc>
          <w:tcPr>
            <w:tcW w:w="0" w:type="auto"/>
            <w:noWrap/>
            <w:hideMark/>
          </w:tcPr>
          <w:p w:rsidR="0066503B" w:rsidRPr="00BE01F0" w:rsidRDefault="0066503B" w:rsidP="000C2DCE">
            <w:pPr>
              <w:pStyle w:val="Tabletextleft"/>
            </w:pPr>
            <w:r w:rsidRPr="00BE01F0">
              <w:t>153.11</w:t>
            </w:r>
          </w:p>
        </w:tc>
        <w:tc>
          <w:tcPr>
            <w:tcW w:w="0" w:type="auto"/>
            <w:noWrap/>
            <w:hideMark/>
          </w:tcPr>
          <w:p w:rsidR="0066503B" w:rsidRPr="00BE01F0" w:rsidRDefault="0066503B" w:rsidP="000C2DCE">
            <w:pPr>
              <w:pStyle w:val="Tabletextleft"/>
            </w:pPr>
            <w:r w:rsidRPr="00BE01F0">
              <w:t>-30.3</w:t>
            </w:r>
          </w:p>
        </w:tc>
        <w:tc>
          <w:tcPr>
            <w:tcW w:w="0" w:type="auto"/>
            <w:noWrap/>
            <w:hideMark/>
          </w:tcPr>
          <w:p w:rsidR="0066503B" w:rsidRPr="00BE01F0" w:rsidRDefault="0066503B" w:rsidP="000C2DCE">
            <w:pPr>
              <w:pStyle w:val="Tabletextleft"/>
            </w:pPr>
            <w:r w:rsidRPr="00BE01F0">
              <w:t>0.0195</w:t>
            </w:r>
          </w:p>
        </w:tc>
        <w:tc>
          <w:tcPr>
            <w:tcW w:w="0" w:type="auto"/>
            <w:noWrap/>
            <w:hideMark/>
          </w:tcPr>
          <w:p w:rsidR="0066503B" w:rsidRPr="00BE01F0" w:rsidRDefault="0066503B" w:rsidP="000C2DCE">
            <w:pPr>
              <w:pStyle w:val="Tabletextleft"/>
            </w:pPr>
            <w:r w:rsidRPr="00BE01F0">
              <w:t>0.0627</w:t>
            </w:r>
          </w:p>
        </w:tc>
        <w:tc>
          <w:tcPr>
            <w:tcW w:w="0" w:type="auto"/>
            <w:noWrap/>
            <w:hideMark/>
          </w:tcPr>
          <w:p w:rsidR="0066503B" w:rsidRPr="00BE01F0" w:rsidRDefault="0066503B" w:rsidP="000C2DCE">
            <w:pPr>
              <w:pStyle w:val="Tabletextleft"/>
            </w:pPr>
            <w:r w:rsidRPr="00BE01F0">
              <w:t>Port Macquarie</w:t>
            </w:r>
          </w:p>
        </w:tc>
        <w:tc>
          <w:tcPr>
            <w:tcW w:w="0" w:type="auto"/>
            <w:noWrap/>
            <w:hideMark/>
          </w:tcPr>
          <w:p w:rsidR="0066503B" w:rsidRPr="00BE01F0" w:rsidRDefault="0066503B" w:rsidP="000C2DCE">
            <w:pPr>
              <w:pStyle w:val="Tabletextleft"/>
            </w:pPr>
            <w:r w:rsidRPr="00BE01F0">
              <w:t>152.91</w:t>
            </w:r>
          </w:p>
        </w:tc>
        <w:tc>
          <w:tcPr>
            <w:tcW w:w="0" w:type="auto"/>
            <w:noWrap/>
            <w:hideMark/>
          </w:tcPr>
          <w:p w:rsidR="0066503B" w:rsidRPr="00BE01F0" w:rsidRDefault="0066503B" w:rsidP="000C2DCE">
            <w:pPr>
              <w:pStyle w:val="Tabletextleft"/>
            </w:pPr>
            <w:r w:rsidRPr="00BE01F0">
              <w:t>-31.43</w:t>
            </w:r>
          </w:p>
        </w:tc>
        <w:tc>
          <w:tcPr>
            <w:tcW w:w="0" w:type="auto"/>
            <w:noWrap/>
            <w:hideMark/>
          </w:tcPr>
          <w:p w:rsidR="0066503B" w:rsidRPr="00BE01F0" w:rsidRDefault="0066503B" w:rsidP="000C2DCE">
            <w:pPr>
              <w:pStyle w:val="Tabletextleft"/>
            </w:pPr>
            <w:r w:rsidRPr="00BE01F0">
              <w:t>0.0252</w:t>
            </w:r>
          </w:p>
        </w:tc>
        <w:tc>
          <w:tcPr>
            <w:tcW w:w="0" w:type="auto"/>
            <w:noWrap/>
            <w:hideMark/>
          </w:tcPr>
          <w:p w:rsidR="0066503B" w:rsidRPr="00BE01F0" w:rsidRDefault="0066503B" w:rsidP="000C2DCE">
            <w:pPr>
              <w:pStyle w:val="Tabletextleft"/>
            </w:pPr>
            <w:r w:rsidRPr="00BE01F0">
              <w:t>0.0798</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Cooma</w:t>
            </w:r>
          </w:p>
        </w:tc>
        <w:tc>
          <w:tcPr>
            <w:tcW w:w="0" w:type="auto"/>
            <w:noWrap/>
            <w:hideMark/>
          </w:tcPr>
          <w:p w:rsidR="0066503B" w:rsidRPr="00BE01F0" w:rsidRDefault="0066503B" w:rsidP="000C2DCE">
            <w:pPr>
              <w:pStyle w:val="Tabletextleft"/>
            </w:pPr>
            <w:r w:rsidRPr="00BE01F0">
              <w:t>149.13</w:t>
            </w:r>
          </w:p>
        </w:tc>
        <w:tc>
          <w:tcPr>
            <w:tcW w:w="0" w:type="auto"/>
            <w:noWrap/>
            <w:hideMark/>
          </w:tcPr>
          <w:p w:rsidR="0066503B" w:rsidRPr="00BE01F0" w:rsidRDefault="0066503B" w:rsidP="000C2DCE">
            <w:pPr>
              <w:pStyle w:val="Tabletextleft"/>
            </w:pPr>
            <w:r w:rsidRPr="00BE01F0">
              <w:t>-36.23</w:t>
            </w:r>
          </w:p>
        </w:tc>
        <w:tc>
          <w:tcPr>
            <w:tcW w:w="0" w:type="auto"/>
            <w:noWrap/>
            <w:hideMark/>
          </w:tcPr>
          <w:p w:rsidR="0066503B" w:rsidRPr="00BE01F0" w:rsidRDefault="0066503B" w:rsidP="000C2DCE">
            <w:pPr>
              <w:pStyle w:val="Tabletextleft"/>
            </w:pPr>
            <w:r w:rsidRPr="00BE01F0">
              <w:t>0.0551</w:t>
            </w:r>
          </w:p>
        </w:tc>
        <w:tc>
          <w:tcPr>
            <w:tcW w:w="0" w:type="auto"/>
            <w:noWrap/>
            <w:hideMark/>
          </w:tcPr>
          <w:p w:rsidR="0066503B" w:rsidRPr="00BE01F0" w:rsidRDefault="0066503B" w:rsidP="000C2DCE">
            <w:pPr>
              <w:pStyle w:val="Tabletextleft"/>
            </w:pPr>
            <w:r w:rsidRPr="00BE01F0">
              <w:t>0.1476</w:t>
            </w:r>
          </w:p>
        </w:tc>
        <w:tc>
          <w:tcPr>
            <w:tcW w:w="0" w:type="auto"/>
            <w:noWrap/>
            <w:hideMark/>
          </w:tcPr>
          <w:p w:rsidR="0066503B" w:rsidRPr="00BE01F0" w:rsidRDefault="0066503B" w:rsidP="000C2DCE">
            <w:pPr>
              <w:pStyle w:val="Tabletextleft"/>
            </w:pPr>
            <w:r w:rsidRPr="00BE01F0">
              <w:t>Port Pirie</w:t>
            </w:r>
          </w:p>
        </w:tc>
        <w:tc>
          <w:tcPr>
            <w:tcW w:w="0" w:type="auto"/>
            <w:noWrap/>
            <w:hideMark/>
          </w:tcPr>
          <w:p w:rsidR="0066503B" w:rsidRPr="00BE01F0" w:rsidRDefault="0066503B" w:rsidP="000C2DCE">
            <w:pPr>
              <w:pStyle w:val="Tabletextleft"/>
            </w:pPr>
            <w:r w:rsidRPr="00BE01F0">
              <w:t>138.01</w:t>
            </w:r>
          </w:p>
        </w:tc>
        <w:tc>
          <w:tcPr>
            <w:tcW w:w="0" w:type="auto"/>
            <w:noWrap/>
            <w:hideMark/>
          </w:tcPr>
          <w:p w:rsidR="0066503B" w:rsidRPr="00BE01F0" w:rsidRDefault="0066503B" w:rsidP="000C2DCE">
            <w:pPr>
              <w:pStyle w:val="Tabletextleft"/>
            </w:pPr>
            <w:r w:rsidRPr="00BE01F0">
              <w:t>-33.2</w:t>
            </w:r>
          </w:p>
        </w:tc>
        <w:tc>
          <w:tcPr>
            <w:tcW w:w="0" w:type="auto"/>
            <w:noWrap/>
            <w:hideMark/>
          </w:tcPr>
          <w:p w:rsidR="0066503B" w:rsidRPr="00BE01F0" w:rsidRDefault="0066503B" w:rsidP="000C2DCE">
            <w:pPr>
              <w:pStyle w:val="Tabletextleft"/>
            </w:pPr>
            <w:r w:rsidRPr="00BE01F0">
              <w:t>0.0594</w:t>
            </w:r>
          </w:p>
        </w:tc>
        <w:tc>
          <w:tcPr>
            <w:tcW w:w="0" w:type="auto"/>
            <w:noWrap/>
            <w:hideMark/>
          </w:tcPr>
          <w:p w:rsidR="0066503B" w:rsidRPr="00BE01F0" w:rsidRDefault="0066503B" w:rsidP="000C2DCE">
            <w:pPr>
              <w:pStyle w:val="Tabletextleft"/>
            </w:pPr>
            <w:r w:rsidRPr="00BE01F0">
              <w:t>0.1627</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Dampier</w:t>
            </w:r>
          </w:p>
        </w:tc>
        <w:tc>
          <w:tcPr>
            <w:tcW w:w="0" w:type="auto"/>
            <w:noWrap/>
            <w:hideMark/>
          </w:tcPr>
          <w:p w:rsidR="0066503B" w:rsidRPr="00BE01F0" w:rsidRDefault="0066503B" w:rsidP="000C2DCE">
            <w:pPr>
              <w:pStyle w:val="Tabletextleft"/>
            </w:pPr>
            <w:r w:rsidRPr="00BE01F0">
              <w:t>116.71</w:t>
            </w:r>
          </w:p>
        </w:tc>
        <w:tc>
          <w:tcPr>
            <w:tcW w:w="0" w:type="auto"/>
            <w:noWrap/>
            <w:hideMark/>
          </w:tcPr>
          <w:p w:rsidR="0066503B" w:rsidRPr="00BE01F0" w:rsidRDefault="0066503B" w:rsidP="000C2DCE">
            <w:pPr>
              <w:pStyle w:val="Tabletextleft"/>
            </w:pPr>
            <w:r w:rsidRPr="00BE01F0">
              <w:t>-20.66</w:t>
            </w:r>
          </w:p>
        </w:tc>
        <w:tc>
          <w:tcPr>
            <w:tcW w:w="0" w:type="auto"/>
            <w:noWrap/>
            <w:hideMark/>
          </w:tcPr>
          <w:p w:rsidR="0066503B" w:rsidRPr="00BE01F0" w:rsidRDefault="0066503B" w:rsidP="000C2DCE">
            <w:pPr>
              <w:pStyle w:val="Tabletextleft"/>
            </w:pPr>
            <w:r w:rsidRPr="00BE01F0">
              <w:t>0.0454</w:t>
            </w:r>
          </w:p>
        </w:tc>
        <w:tc>
          <w:tcPr>
            <w:tcW w:w="0" w:type="auto"/>
            <w:noWrap/>
            <w:hideMark/>
          </w:tcPr>
          <w:p w:rsidR="0066503B" w:rsidRPr="00BE01F0" w:rsidRDefault="0066503B" w:rsidP="000C2DCE">
            <w:pPr>
              <w:pStyle w:val="Tabletextleft"/>
            </w:pPr>
            <w:r w:rsidRPr="00BE01F0">
              <w:t>0.1377</w:t>
            </w:r>
          </w:p>
        </w:tc>
        <w:tc>
          <w:tcPr>
            <w:tcW w:w="0" w:type="auto"/>
            <w:noWrap/>
            <w:hideMark/>
          </w:tcPr>
          <w:p w:rsidR="0066503B" w:rsidRPr="00BE01F0" w:rsidRDefault="0066503B" w:rsidP="000C2DCE">
            <w:pPr>
              <w:pStyle w:val="Tabletextleft"/>
            </w:pPr>
            <w:r w:rsidRPr="00BE01F0">
              <w:t>Robe</w:t>
            </w:r>
          </w:p>
        </w:tc>
        <w:tc>
          <w:tcPr>
            <w:tcW w:w="0" w:type="auto"/>
            <w:noWrap/>
            <w:hideMark/>
          </w:tcPr>
          <w:p w:rsidR="0066503B" w:rsidRPr="00BE01F0" w:rsidRDefault="0066503B" w:rsidP="000C2DCE">
            <w:pPr>
              <w:pStyle w:val="Tabletextleft"/>
            </w:pPr>
            <w:r w:rsidRPr="00BE01F0">
              <w:t>139.76</w:t>
            </w:r>
          </w:p>
        </w:tc>
        <w:tc>
          <w:tcPr>
            <w:tcW w:w="0" w:type="auto"/>
            <w:noWrap/>
            <w:hideMark/>
          </w:tcPr>
          <w:p w:rsidR="0066503B" w:rsidRPr="00BE01F0" w:rsidRDefault="0066503B" w:rsidP="000C2DCE">
            <w:pPr>
              <w:pStyle w:val="Tabletextleft"/>
            </w:pPr>
            <w:r w:rsidRPr="00BE01F0">
              <w:t>-37.01</w:t>
            </w:r>
          </w:p>
        </w:tc>
        <w:tc>
          <w:tcPr>
            <w:tcW w:w="0" w:type="auto"/>
            <w:noWrap/>
            <w:hideMark/>
          </w:tcPr>
          <w:p w:rsidR="0066503B" w:rsidRPr="00BE01F0" w:rsidRDefault="0066503B" w:rsidP="000C2DCE">
            <w:pPr>
              <w:pStyle w:val="Tabletextleft"/>
            </w:pPr>
            <w:r w:rsidRPr="00BE01F0">
              <w:t>0.0282</w:t>
            </w:r>
          </w:p>
        </w:tc>
        <w:tc>
          <w:tcPr>
            <w:tcW w:w="0" w:type="auto"/>
            <w:noWrap/>
            <w:hideMark/>
          </w:tcPr>
          <w:p w:rsidR="0066503B" w:rsidRPr="00BE01F0" w:rsidRDefault="0066503B" w:rsidP="000C2DCE">
            <w:pPr>
              <w:pStyle w:val="Tabletextleft"/>
            </w:pPr>
            <w:r w:rsidRPr="00BE01F0">
              <w:t>0.0823</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Derby</w:t>
            </w:r>
          </w:p>
        </w:tc>
        <w:tc>
          <w:tcPr>
            <w:tcW w:w="0" w:type="auto"/>
            <w:noWrap/>
            <w:hideMark/>
          </w:tcPr>
          <w:p w:rsidR="0066503B" w:rsidRPr="00BE01F0" w:rsidRDefault="0066503B" w:rsidP="000C2DCE">
            <w:pPr>
              <w:pStyle w:val="Tabletextleft"/>
            </w:pPr>
            <w:r w:rsidRPr="00BE01F0">
              <w:t>123.63</w:t>
            </w:r>
          </w:p>
        </w:tc>
        <w:tc>
          <w:tcPr>
            <w:tcW w:w="0" w:type="auto"/>
            <w:noWrap/>
            <w:hideMark/>
          </w:tcPr>
          <w:p w:rsidR="0066503B" w:rsidRPr="00BE01F0" w:rsidRDefault="0066503B" w:rsidP="000C2DCE">
            <w:pPr>
              <w:pStyle w:val="Tabletextleft"/>
            </w:pPr>
            <w:r w:rsidRPr="00BE01F0">
              <w:t>-17.31</w:t>
            </w:r>
          </w:p>
        </w:tc>
        <w:tc>
          <w:tcPr>
            <w:tcW w:w="0" w:type="auto"/>
            <w:noWrap/>
            <w:hideMark/>
          </w:tcPr>
          <w:p w:rsidR="0066503B" w:rsidRPr="00BE01F0" w:rsidRDefault="0066503B" w:rsidP="000C2DCE">
            <w:pPr>
              <w:pStyle w:val="Tabletextleft"/>
            </w:pPr>
            <w:r w:rsidRPr="00BE01F0">
              <w:t>0.0600</w:t>
            </w:r>
          </w:p>
        </w:tc>
        <w:tc>
          <w:tcPr>
            <w:tcW w:w="0" w:type="auto"/>
            <w:noWrap/>
            <w:hideMark/>
          </w:tcPr>
          <w:p w:rsidR="0066503B" w:rsidRPr="00BE01F0" w:rsidRDefault="0066503B" w:rsidP="000C2DCE">
            <w:pPr>
              <w:pStyle w:val="Tabletextleft"/>
            </w:pPr>
            <w:r w:rsidRPr="00BE01F0">
              <w:t>0.1919</w:t>
            </w:r>
          </w:p>
        </w:tc>
        <w:tc>
          <w:tcPr>
            <w:tcW w:w="0" w:type="auto"/>
            <w:noWrap/>
            <w:hideMark/>
          </w:tcPr>
          <w:p w:rsidR="0066503B" w:rsidRPr="00BE01F0" w:rsidRDefault="0066503B" w:rsidP="000C2DCE">
            <w:pPr>
              <w:pStyle w:val="Tabletextleft"/>
            </w:pPr>
            <w:r w:rsidRPr="00BE01F0">
              <w:t>Rockhampton</w:t>
            </w:r>
          </w:p>
        </w:tc>
        <w:tc>
          <w:tcPr>
            <w:tcW w:w="0" w:type="auto"/>
            <w:noWrap/>
            <w:hideMark/>
          </w:tcPr>
          <w:p w:rsidR="0066503B" w:rsidRPr="00BE01F0" w:rsidRDefault="0066503B" w:rsidP="000C2DCE">
            <w:pPr>
              <w:pStyle w:val="Tabletextleft"/>
            </w:pPr>
            <w:r w:rsidRPr="00BE01F0">
              <w:t>150.5</w:t>
            </w:r>
          </w:p>
        </w:tc>
        <w:tc>
          <w:tcPr>
            <w:tcW w:w="0" w:type="auto"/>
            <w:noWrap/>
            <w:hideMark/>
          </w:tcPr>
          <w:p w:rsidR="0066503B" w:rsidRPr="00BE01F0" w:rsidRDefault="0066503B" w:rsidP="000C2DCE">
            <w:pPr>
              <w:pStyle w:val="Tabletextleft"/>
            </w:pPr>
            <w:r w:rsidRPr="00BE01F0">
              <w:t>-23.38</w:t>
            </w:r>
          </w:p>
        </w:tc>
        <w:tc>
          <w:tcPr>
            <w:tcW w:w="0" w:type="auto"/>
            <w:noWrap/>
            <w:hideMark/>
          </w:tcPr>
          <w:p w:rsidR="0066503B" w:rsidRPr="00BE01F0" w:rsidRDefault="0066503B" w:rsidP="000C2DCE">
            <w:pPr>
              <w:pStyle w:val="Tabletextleft"/>
            </w:pPr>
            <w:r w:rsidRPr="00BE01F0">
              <w:t>0.0278</w:t>
            </w:r>
          </w:p>
        </w:tc>
        <w:tc>
          <w:tcPr>
            <w:tcW w:w="0" w:type="auto"/>
            <w:noWrap/>
            <w:hideMark/>
          </w:tcPr>
          <w:p w:rsidR="0066503B" w:rsidRPr="00BE01F0" w:rsidRDefault="0066503B" w:rsidP="000C2DCE">
            <w:pPr>
              <w:pStyle w:val="Tabletextleft"/>
            </w:pPr>
            <w:r w:rsidRPr="00BE01F0">
              <w:t>0.0756</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Dowerin</w:t>
            </w:r>
          </w:p>
        </w:tc>
        <w:tc>
          <w:tcPr>
            <w:tcW w:w="0" w:type="auto"/>
            <w:noWrap/>
            <w:hideMark/>
          </w:tcPr>
          <w:p w:rsidR="0066503B" w:rsidRPr="00BE01F0" w:rsidRDefault="0066503B" w:rsidP="000C2DCE">
            <w:pPr>
              <w:pStyle w:val="Tabletextleft"/>
            </w:pPr>
            <w:r w:rsidRPr="00BE01F0">
              <w:t>117.03</w:t>
            </w:r>
          </w:p>
        </w:tc>
        <w:tc>
          <w:tcPr>
            <w:tcW w:w="0" w:type="auto"/>
            <w:noWrap/>
            <w:hideMark/>
          </w:tcPr>
          <w:p w:rsidR="0066503B" w:rsidRPr="00BE01F0" w:rsidRDefault="0066503B" w:rsidP="000C2DCE">
            <w:pPr>
              <w:pStyle w:val="Tabletextleft"/>
            </w:pPr>
            <w:r w:rsidRPr="00BE01F0">
              <w:t>-31.2</w:t>
            </w:r>
          </w:p>
        </w:tc>
        <w:tc>
          <w:tcPr>
            <w:tcW w:w="0" w:type="auto"/>
            <w:noWrap/>
            <w:hideMark/>
          </w:tcPr>
          <w:p w:rsidR="0066503B" w:rsidRPr="00BE01F0" w:rsidRDefault="0066503B" w:rsidP="000C2DCE">
            <w:pPr>
              <w:pStyle w:val="Tabletextleft"/>
            </w:pPr>
            <w:r w:rsidRPr="00BE01F0">
              <w:t>0.0739</w:t>
            </w:r>
          </w:p>
        </w:tc>
        <w:tc>
          <w:tcPr>
            <w:tcW w:w="0" w:type="auto"/>
            <w:noWrap/>
            <w:hideMark/>
          </w:tcPr>
          <w:p w:rsidR="0066503B" w:rsidRPr="00BE01F0" w:rsidRDefault="0066503B" w:rsidP="000C2DCE">
            <w:pPr>
              <w:pStyle w:val="Tabletextleft"/>
            </w:pPr>
            <w:r w:rsidRPr="00BE01F0">
              <w:t>0.2208</w:t>
            </w:r>
          </w:p>
        </w:tc>
        <w:tc>
          <w:tcPr>
            <w:tcW w:w="0" w:type="auto"/>
            <w:noWrap/>
            <w:hideMark/>
          </w:tcPr>
          <w:p w:rsidR="0066503B" w:rsidRPr="00BE01F0" w:rsidRDefault="0066503B" w:rsidP="000C2DCE">
            <w:pPr>
              <w:pStyle w:val="Tabletextleft"/>
            </w:pPr>
            <w:r w:rsidRPr="00BE01F0">
              <w:t>Shepparton</w:t>
            </w:r>
          </w:p>
        </w:tc>
        <w:tc>
          <w:tcPr>
            <w:tcW w:w="0" w:type="auto"/>
            <w:noWrap/>
            <w:hideMark/>
          </w:tcPr>
          <w:p w:rsidR="0066503B" w:rsidRPr="00BE01F0" w:rsidRDefault="0066503B" w:rsidP="000C2DCE">
            <w:pPr>
              <w:pStyle w:val="Tabletextleft"/>
            </w:pPr>
            <w:r w:rsidRPr="00BE01F0">
              <w:t>145.4</w:t>
            </w:r>
          </w:p>
        </w:tc>
        <w:tc>
          <w:tcPr>
            <w:tcW w:w="0" w:type="auto"/>
            <w:noWrap/>
            <w:hideMark/>
          </w:tcPr>
          <w:p w:rsidR="0066503B" w:rsidRPr="00BE01F0" w:rsidRDefault="0066503B" w:rsidP="000C2DCE">
            <w:pPr>
              <w:pStyle w:val="Tabletextleft"/>
            </w:pPr>
            <w:r w:rsidRPr="00BE01F0">
              <w:t>-36.38</w:t>
            </w:r>
          </w:p>
        </w:tc>
        <w:tc>
          <w:tcPr>
            <w:tcW w:w="0" w:type="auto"/>
            <w:noWrap/>
            <w:hideMark/>
          </w:tcPr>
          <w:p w:rsidR="0066503B" w:rsidRPr="00BE01F0" w:rsidRDefault="0066503B" w:rsidP="000C2DCE">
            <w:pPr>
              <w:pStyle w:val="Tabletextleft"/>
            </w:pPr>
            <w:r w:rsidRPr="00BE01F0">
              <w:t>0.0486</w:t>
            </w:r>
          </w:p>
        </w:tc>
        <w:tc>
          <w:tcPr>
            <w:tcW w:w="0" w:type="auto"/>
            <w:noWrap/>
            <w:hideMark/>
          </w:tcPr>
          <w:p w:rsidR="0066503B" w:rsidRPr="00BE01F0" w:rsidRDefault="0066503B" w:rsidP="000C2DCE">
            <w:pPr>
              <w:pStyle w:val="Tabletextleft"/>
            </w:pPr>
            <w:r w:rsidRPr="00BE01F0">
              <w:t>0.1346</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Dubbo</w:t>
            </w:r>
          </w:p>
        </w:tc>
        <w:tc>
          <w:tcPr>
            <w:tcW w:w="0" w:type="auto"/>
            <w:noWrap/>
            <w:hideMark/>
          </w:tcPr>
          <w:p w:rsidR="0066503B" w:rsidRPr="00BE01F0" w:rsidRDefault="0066503B" w:rsidP="000C2DCE">
            <w:pPr>
              <w:pStyle w:val="Tabletextleft"/>
            </w:pPr>
            <w:r w:rsidRPr="00BE01F0">
              <w:t>148.6</w:t>
            </w:r>
          </w:p>
        </w:tc>
        <w:tc>
          <w:tcPr>
            <w:tcW w:w="0" w:type="auto"/>
            <w:noWrap/>
            <w:hideMark/>
          </w:tcPr>
          <w:p w:rsidR="0066503B" w:rsidRPr="00BE01F0" w:rsidRDefault="0066503B" w:rsidP="000C2DCE">
            <w:pPr>
              <w:pStyle w:val="Tabletextleft"/>
            </w:pPr>
            <w:r w:rsidRPr="00BE01F0">
              <w:t>-32.25</w:t>
            </w:r>
          </w:p>
        </w:tc>
        <w:tc>
          <w:tcPr>
            <w:tcW w:w="0" w:type="auto"/>
            <w:noWrap/>
            <w:hideMark/>
          </w:tcPr>
          <w:p w:rsidR="0066503B" w:rsidRPr="00BE01F0" w:rsidRDefault="0066503B" w:rsidP="000C2DCE">
            <w:pPr>
              <w:pStyle w:val="Tabletextleft"/>
            </w:pPr>
            <w:r w:rsidRPr="00BE01F0">
              <w:t>0.0514</w:t>
            </w:r>
          </w:p>
        </w:tc>
        <w:tc>
          <w:tcPr>
            <w:tcW w:w="0" w:type="auto"/>
            <w:noWrap/>
            <w:hideMark/>
          </w:tcPr>
          <w:p w:rsidR="0066503B" w:rsidRPr="00BE01F0" w:rsidRDefault="0066503B" w:rsidP="000C2DCE">
            <w:pPr>
              <w:pStyle w:val="Tabletextleft"/>
            </w:pPr>
            <w:r w:rsidRPr="00BE01F0">
              <w:t>0.1457</w:t>
            </w:r>
          </w:p>
        </w:tc>
        <w:tc>
          <w:tcPr>
            <w:tcW w:w="0" w:type="auto"/>
            <w:noWrap/>
            <w:hideMark/>
          </w:tcPr>
          <w:p w:rsidR="0066503B" w:rsidRPr="00BE01F0" w:rsidRDefault="0066503B" w:rsidP="000C2DCE">
            <w:pPr>
              <w:pStyle w:val="Tabletextleft"/>
            </w:pPr>
            <w:r w:rsidRPr="00BE01F0">
              <w:t>Tamworth</w:t>
            </w:r>
          </w:p>
        </w:tc>
        <w:tc>
          <w:tcPr>
            <w:tcW w:w="0" w:type="auto"/>
            <w:noWrap/>
            <w:hideMark/>
          </w:tcPr>
          <w:p w:rsidR="0066503B" w:rsidRPr="00BE01F0" w:rsidRDefault="0066503B" w:rsidP="000C2DCE">
            <w:pPr>
              <w:pStyle w:val="Tabletextleft"/>
            </w:pPr>
            <w:r w:rsidRPr="00BE01F0">
              <w:t>150.93</w:t>
            </w:r>
          </w:p>
        </w:tc>
        <w:tc>
          <w:tcPr>
            <w:tcW w:w="0" w:type="auto"/>
            <w:noWrap/>
            <w:hideMark/>
          </w:tcPr>
          <w:p w:rsidR="0066503B" w:rsidRPr="00BE01F0" w:rsidRDefault="0066503B" w:rsidP="000C2DCE">
            <w:pPr>
              <w:pStyle w:val="Tabletextleft"/>
            </w:pPr>
            <w:r w:rsidRPr="00BE01F0">
              <w:t>-31.08</w:t>
            </w:r>
          </w:p>
        </w:tc>
        <w:tc>
          <w:tcPr>
            <w:tcW w:w="0" w:type="auto"/>
            <w:noWrap/>
            <w:hideMark/>
          </w:tcPr>
          <w:p w:rsidR="0066503B" w:rsidRPr="00BE01F0" w:rsidRDefault="0066503B" w:rsidP="000C2DCE">
            <w:pPr>
              <w:pStyle w:val="Tabletextleft"/>
            </w:pPr>
            <w:r w:rsidRPr="00BE01F0">
              <w:t>0.0275</w:t>
            </w:r>
          </w:p>
        </w:tc>
        <w:tc>
          <w:tcPr>
            <w:tcW w:w="0" w:type="auto"/>
            <w:noWrap/>
            <w:hideMark/>
          </w:tcPr>
          <w:p w:rsidR="0066503B" w:rsidRPr="00BE01F0" w:rsidRDefault="0066503B" w:rsidP="000C2DCE">
            <w:pPr>
              <w:pStyle w:val="Tabletextleft"/>
            </w:pPr>
            <w:r w:rsidRPr="00BE01F0">
              <w:t>0.0753</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Esperance</w:t>
            </w:r>
          </w:p>
        </w:tc>
        <w:tc>
          <w:tcPr>
            <w:tcW w:w="0" w:type="auto"/>
            <w:noWrap/>
            <w:hideMark/>
          </w:tcPr>
          <w:p w:rsidR="0066503B" w:rsidRPr="00BE01F0" w:rsidRDefault="0066503B" w:rsidP="000C2DCE">
            <w:pPr>
              <w:pStyle w:val="Tabletextleft"/>
            </w:pPr>
            <w:r w:rsidRPr="00BE01F0">
              <w:t>121.88</w:t>
            </w:r>
          </w:p>
        </w:tc>
        <w:tc>
          <w:tcPr>
            <w:tcW w:w="0" w:type="auto"/>
            <w:noWrap/>
            <w:hideMark/>
          </w:tcPr>
          <w:p w:rsidR="0066503B" w:rsidRPr="00BE01F0" w:rsidRDefault="0066503B" w:rsidP="000C2DCE">
            <w:pPr>
              <w:pStyle w:val="Tabletextleft"/>
            </w:pPr>
            <w:r w:rsidRPr="00BE01F0">
              <w:t>-33.86</w:t>
            </w:r>
          </w:p>
        </w:tc>
        <w:tc>
          <w:tcPr>
            <w:tcW w:w="0" w:type="auto"/>
            <w:noWrap/>
            <w:hideMark/>
          </w:tcPr>
          <w:p w:rsidR="0066503B" w:rsidRPr="00BE01F0" w:rsidRDefault="0066503B" w:rsidP="000C2DCE">
            <w:pPr>
              <w:pStyle w:val="Tabletextleft"/>
            </w:pPr>
            <w:r w:rsidRPr="00BE01F0">
              <w:t>0.0444</w:t>
            </w:r>
          </w:p>
        </w:tc>
        <w:tc>
          <w:tcPr>
            <w:tcW w:w="0" w:type="auto"/>
            <w:noWrap/>
            <w:hideMark/>
          </w:tcPr>
          <w:p w:rsidR="0066503B" w:rsidRPr="00BE01F0" w:rsidRDefault="0066503B" w:rsidP="000C2DCE">
            <w:pPr>
              <w:pStyle w:val="Tabletextleft"/>
            </w:pPr>
            <w:r w:rsidRPr="00BE01F0">
              <w:t>0.1395</w:t>
            </w:r>
          </w:p>
        </w:tc>
        <w:tc>
          <w:tcPr>
            <w:tcW w:w="0" w:type="auto"/>
            <w:noWrap/>
            <w:hideMark/>
          </w:tcPr>
          <w:p w:rsidR="0066503B" w:rsidRPr="00BE01F0" w:rsidRDefault="0066503B" w:rsidP="000C2DCE">
            <w:pPr>
              <w:pStyle w:val="Tabletextleft"/>
            </w:pPr>
            <w:r w:rsidRPr="00BE01F0">
              <w:t>Taree</w:t>
            </w:r>
          </w:p>
        </w:tc>
        <w:tc>
          <w:tcPr>
            <w:tcW w:w="0" w:type="auto"/>
            <w:noWrap/>
            <w:hideMark/>
          </w:tcPr>
          <w:p w:rsidR="0066503B" w:rsidRPr="00BE01F0" w:rsidRDefault="0066503B" w:rsidP="000C2DCE">
            <w:pPr>
              <w:pStyle w:val="Tabletextleft"/>
            </w:pPr>
            <w:r w:rsidRPr="00BE01F0">
              <w:t>152.45</w:t>
            </w:r>
          </w:p>
        </w:tc>
        <w:tc>
          <w:tcPr>
            <w:tcW w:w="0" w:type="auto"/>
            <w:noWrap/>
            <w:hideMark/>
          </w:tcPr>
          <w:p w:rsidR="0066503B" w:rsidRPr="00BE01F0" w:rsidRDefault="0066503B" w:rsidP="000C2DCE">
            <w:pPr>
              <w:pStyle w:val="Tabletextleft"/>
            </w:pPr>
            <w:r w:rsidRPr="00BE01F0">
              <w:t>-31.91</w:t>
            </w:r>
          </w:p>
        </w:tc>
        <w:tc>
          <w:tcPr>
            <w:tcW w:w="0" w:type="auto"/>
            <w:noWrap/>
            <w:hideMark/>
          </w:tcPr>
          <w:p w:rsidR="0066503B" w:rsidRPr="00BE01F0" w:rsidRDefault="0066503B" w:rsidP="000C2DCE">
            <w:pPr>
              <w:pStyle w:val="Tabletextleft"/>
            </w:pPr>
            <w:r w:rsidRPr="00BE01F0">
              <w:t>0.0295</w:t>
            </w:r>
          </w:p>
        </w:tc>
        <w:tc>
          <w:tcPr>
            <w:tcW w:w="0" w:type="auto"/>
            <w:noWrap/>
            <w:hideMark/>
          </w:tcPr>
          <w:p w:rsidR="0066503B" w:rsidRPr="00BE01F0" w:rsidRDefault="0066503B" w:rsidP="000C2DCE">
            <w:pPr>
              <w:pStyle w:val="Tabletextleft"/>
            </w:pPr>
            <w:r w:rsidRPr="00BE01F0">
              <w:t>0.0861</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Geelong</w:t>
            </w:r>
          </w:p>
        </w:tc>
        <w:tc>
          <w:tcPr>
            <w:tcW w:w="0" w:type="auto"/>
            <w:noWrap/>
            <w:hideMark/>
          </w:tcPr>
          <w:p w:rsidR="0066503B" w:rsidRPr="00BE01F0" w:rsidRDefault="0066503B" w:rsidP="000C2DCE">
            <w:pPr>
              <w:pStyle w:val="Tabletextleft"/>
            </w:pPr>
            <w:r w:rsidRPr="00BE01F0">
              <w:t>144.35</w:t>
            </w:r>
          </w:p>
        </w:tc>
        <w:tc>
          <w:tcPr>
            <w:tcW w:w="0" w:type="auto"/>
            <w:noWrap/>
            <w:hideMark/>
          </w:tcPr>
          <w:p w:rsidR="0066503B" w:rsidRPr="00BE01F0" w:rsidRDefault="0066503B" w:rsidP="000C2DCE">
            <w:pPr>
              <w:pStyle w:val="Tabletextleft"/>
            </w:pPr>
            <w:r w:rsidRPr="00BE01F0">
              <w:t>-38.15</w:t>
            </w:r>
          </w:p>
        </w:tc>
        <w:tc>
          <w:tcPr>
            <w:tcW w:w="0" w:type="auto"/>
            <w:noWrap/>
            <w:hideMark/>
          </w:tcPr>
          <w:p w:rsidR="0066503B" w:rsidRPr="00BE01F0" w:rsidRDefault="0066503B" w:rsidP="000C2DCE">
            <w:pPr>
              <w:pStyle w:val="Tabletextleft"/>
            </w:pPr>
            <w:r w:rsidRPr="00BE01F0">
              <w:t>0.0594</w:t>
            </w:r>
          </w:p>
        </w:tc>
        <w:tc>
          <w:tcPr>
            <w:tcW w:w="0" w:type="auto"/>
            <w:noWrap/>
            <w:hideMark/>
          </w:tcPr>
          <w:p w:rsidR="0066503B" w:rsidRPr="00BE01F0" w:rsidRDefault="0066503B" w:rsidP="000C2DCE">
            <w:pPr>
              <w:pStyle w:val="Tabletextleft"/>
            </w:pPr>
            <w:r w:rsidRPr="00BE01F0">
              <w:t>0.1595</w:t>
            </w:r>
          </w:p>
        </w:tc>
        <w:tc>
          <w:tcPr>
            <w:tcW w:w="0" w:type="auto"/>
            <w:noWrap/>
            <w:hideMark/>
          </w:tcPr>
          <w:p w:rsidR="0066503B" w:rsidRPr="00BE01F0" w:rsidRDefault="0066503B" w:rsidP="000C2DCE">
            <w:pPr>
              <w:pStyle w:val="Tabletextleft"/>
            </w:pPr>
            <w:r w:rsidRPr="00BE01F0">
              <w:t>Tennant Creek</w:t>
            </w:r>
          </w:p>
        </w:tc>
        <w:tc>
          <w:tcPr>
            <w:tcW w:w="0" w:type="auto"/>
            <w:noWrap/>
            <w:hideMark/>
          </w:tcPr>
          <w:p w:rsidR="0066503B" w:rsidRPr="00BE01F0" w:rsidRDefault="0066503B" w:rsidP="000C2DCE">
            <w:pPr>
              <w:pStyle w:val="Tabletextleft"/>
            </w:pPr>
            <w:r w:rsidRPr="00BE01F0">
              <w:t>134.18</w:t>
            </w:r>
          </w:p>
        </w:tc>
        <w:tc>
          <w:tcPr>
            <w:tcW w:w="0" w:type="auto"/>
            <w:noWrap/>
            <w:hideMark/>
          </w:tcPr>
          <w:p w:rsidR="0066503B" w:rsidRPr="00BE01F0" w:rsidRDefault="0066503B" w:rsidP="000C2DCE">
            <w:pPr>
              <w:pStyle w:val="Tabletextleft"/>
            </w:pPr>
            <w:r w:rsidRPr="00BE01F0">
              <w:t>-19.65</w:t>
            </w:r>
          </w:p>
        </w:tc>
        <w:tc>
          <w:tcPr>
            <w:tcW w:w="0" w:type="auto"/>
            <w:noWrap/>
            <w:hideMark/>
          </w:tcPr>
          <w:p w:rsidR="0066503B" w:rsidRPr="00BE01F0" w:rsidRDefault="0066503B" w:rsidP="000C2DCE">
            <w:pPr>
              <w:pStyle w:val="Tabletextleft"/>
            </w:pPr>
            <w:r w:rsidRPr="00BE01F0">
              <w:t>0.1531</w:t>
            </w:r>
          </w:p>
        </w:tc>
        <w:tc>
          <w:tcPr>
            <w:tcW w:w="0" w:type="auto"/>
            <w:noWrap/>
            <w:hideMark/>
          </w:tcPr>
          <w:p w:rsidR="0066503B" w:rsidRPr="00BE01F0" w:rsidRDefault="0066503B" w:rsidP="000C2DCE">
            <w:pPr>
              <w:pStyle w:val="Tabletextleft"/>
            </w:pPr>
            <w:r w:rsidRPr="00BE01F0">
              <w:t>0.3620</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Geraldton</w:t>
            </w:r>
          </w:p>
        </w:tc>
        <w:tc>
          <w:tcPr>
            <w:tcW w:w="0" w:type="auto"/>
            <w:noWrap/>
            <w:hideMark/>
          </w:tcPr>
          <w:p w:rsidR="0066503B" w:rsidRPr="00BE01F0" w:rsidRDefault="0066503B" w:rsidP="000C2DCE">
            <w:pPr>
              <w:pStyle w:val="Tabletextleft"/>
            </w:pPr>
            <w:r w:rsidRPr="00BE01F0">
              <w:t>114.61</w:t>
            </w:r>
          </w:p>
        </w:tc>
        <w:tc>
          <w:tcPr>
            <w:tcW w:w="0" w:type="auto"/>
            <w:noWrap/>
            <w:hideMark/>
          </w:tcPr>
          <w:p w:rsidR="0066503B" w:rsidRPr="00BE01F0" w:rsidRDefault="0066503B" w:rsidP="000C2DCE">
            <w:pPr>
              <w:pStyle w:val="Tabletextleft"/>
            </w:pPr>
            <w:r w:rsidRPr="00BE01F0">
              <w:t>-28.78</w:t>
            </w:r>
          </w:p>
        </w:tc>
        <w:tc>
          <w:tcPr>
            <w:tcW w:w="0" w:type="auto"/>
            <w:noWrap/>
            <w:hideMark/>
          </w:tcPr>
          <w:p w:rsidR="0066503B" w:rsidRPr="00BE01F0" w:rsidRDefault="0066503B" w:rsidP="000C2DCE">
            <w:pPr>
              <w:pStyle w:val="Tabletextleft"/>
            </w:pPr>
            <w:r w:rsidRPr="00BE01F0">
              <w:t>0.0484</w:t>
            </w:r>
          </w:p>
        </w:tc>
        <w:tc>
          <w:tcPr>
            <w:tcW w:w="0" w:type="auto"/>
            <w:noWrap/>
            <w:hideMark/>
          </w:tcPr>
          <w:p w:rsidR="0066503B" w:rsidRPr="00BE01F0" w:rsidRDefault="0066503B" w:rsidP="000C2DCE">
            <w:pPr>
              <w:pStyle w:val="Tabletextleft"/>
            </w:pPr>
            <w:r w:rsidRPr="00BE01F0">
              <w:t>0.1603</w:t>
            </w:r>
          </w:p>
        </w:tc>
        <w:tc>
          <w:tcPr>
            <w:tcW w:w="0" w:type="auto"/>
            <w:noWrap/>
            <w:hideMark/>
          </w:tcPr>
          <w:p w:rsidR="0066503B" w:rsidRPr="00BE01F0" w:rsidRDefault="0066503B" w:rsidP="000C2DCE">
            <w:pPr>
              <w:pStyle w:val="Tabletextleft"/>
            </w:pPr>
            <w:r w:rsidRPr="00BE01F0">
              <w:t>Toowoomba</w:t>
            </w:r>
          </w:p>
        </w:tc>
        <w:tc>
          <w:tcPr>
            <w:tcW w:w="0" w:type="auto"/>
            <w:noWrap/>
            <w:hideMark/>
          </w:tcPr>
          <w:p w:rsidR="0066503B" w:rsidRPr="00BE01F0" w:rsidRDefault="0066503B" w:rsidP="000C2DCE">
            <w:pPr>
              <w:pStyle w:val="Tabletextleft"/>
            </w:pPr>
            <w:r w:rsidRPr="00BE01F0">
              <w:t>151.95</w:t>
            </w:r>
          </w:p>
        </w:tc>
        <w:tc>
          <w:tcPr>
            <w:tcW w:w="0" w:type="auto"/>
            <w:noWrap/>
            <w:hideMark/>
          </w:tcPr>
          <w:p w:rsidR="0066503B" w:rsidRPr="00BE01F0" w:rsidRDefault="0066503B" w:rsidP="000C2DCE">
            <w:pPr>
              <w:pStyle w:val="Tabletextleft"/>
            </w:pPr>
            <w:r w:rsidRPr="00BE01F0">
              <w:t>-27.56</w:t>
            </w:r>
          </w:p>
        </w:tc>
        <w:tc>
          <w:tcPr>
            <w:tcW w:w="0" w:type="auto"/>
            <w:noWrap/>
            <w:hideMark/>
          </w:tcPr>
          <w:p w:rsidR="0066503B" w:rsidRPr="00BE01F0" w:rsidRDefault="0066503B" w:rsidP="000C2DCE">
            <w:pPr>
              <w:pStyle w:val="Tabletextleft"/>
            </w:pPr>
            <w:r w:rsidRPr="00BE01F0">
              <w:t>0.0410</w:t>
            </w:r>
          </w:p>
        </w:tc>
        <w:tc>
          <w:tcPr>
            <w:tcW w:w="0" w:type="auto"/>
            <w:noWrap/>
            <w:hideMark/>
          </w:tcPr>
          <w:p w:rsidR="0066503B" w:rsidRPr="00BE01F0" w:rsidRDefault="0066503B" w:rsidP="000C2DCE">
            <w:pPr>
              <w:pStyle w:val="Tabletextleft"/>
            </w:pPr>
            <w:r w:rsidRPr="00BE01F0">
              <w:t>0.1193</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Gladstone</w:t>
            </w:r>
          </w:p>
        </w:tc>
        <w:tc>
          <w:tcPr>
            <w:tcW w:w="0" w:type="auto"/>
            <w:noWrap/>
            <w:hideMark/>
          </w:tcPr>
          <w:p w:rsidR="0066503B" w:rsidRPr="00BE01F0" w:rsidRDefault="0066503B" w:rsidP="000C2DCE">
            <w:pPr>
              <w:pStyle w:val="Tabletextleft"/>
            </w:pPr>
            <w:r w:rsidRPr="00BE01F0">
              <w:t>151.25</w:t>
            </w:r>
          </w:p>
        </w:tc>
        <w:tc>
          <w:tcPr>
            <w:tcW w:w="0" w:type="auto"/>
            <w:noWrap/>
            <w:hideMark/>
          </w:tcPr>
          <w:p w:rsidR="0066503B" w:rsidRPr="00BE01F0" w:rsidRDefault="0066503B" w:rsidP="000C2DCE">
            <w:pPr>
              <w:pStyle w:val="Tabletextleft"/>
            </w:pPr>
            <w:r w:rsidRPr="00BE01F0">
              <w:t>-23.85</w:t>
            </w:r>
          </w:p>
        </w:tc>
        <w:tc>
          <w:tcPr>
            <w:tcW w:w="0" w:type="auto"/>
            <w:noWrap/>
            <w:hideMark/>
          </w:tcPr>
          <w:p w:rsidR="0066503B" w:rsidRPr="00BE01F0" w:rsidRDefault="0066503B" w:rsidP="000C2DCE">
            <w:pPr>
              <w:pStyle w:val="Tabletextleft"/>
            </w:pPr>
            <w:r w:rsidRPr="00BE01F0">
              <w:t>0.0407</w:t>
            </w:r>
          </w:p>
        </w:tc>
        <w:tc>
          <w:tcPr>
            <w:tcW w:w="0" w:type="auto"/>
            <w:noWrap/>
            <w:hideMark/>
          </w:tcPr>
          <w:p w:rsidR="0066503B" w:rsidRPr="00BE01F0" w:rsidRDefault="0066503B" w:rsidP="000C2DCE">
            <w:pPr>
              <w:pStyle w:val="Tabletextleft"/>
            </w:pPr>
            <w:r w:rsidRPr="00BE01F0">
              <w:t>0.1112</w:t>
            </w:r>
          </w:p>
        </w:tc>
        <w:tc>
          <w:tcPr>
            <w:tcW w:w="0" w:type="auto"/>
            <w:noWrap/>
            <w:hideMark/>
          </w:tcPr>
          <w:p w:rsidR="0066503B" w:rsidRPr="00BE01F0" w:rsidRDefault="0066503B" w:rsidP="000C2DCE">
            <w:pPr>
              <w:pStyle w:val="Tabletextleft"/>
            </w:pPr>
            <w:r w:rsidRPr="00BE01F0">
              <w:t>Townsville</w:t>
            </w:r>
          </w:p>
        </w:tc>
        <w:tc>
          <w:tcPr>
            <w:tcW w:w="0" w:type="auto"/>
            <w:noWrap/>
            <w:hideMark/>
          </w:tcPr>
          <w:p w:rsidR="0066503B" w:rsidRPr="00BE01F0" w:rsidRDefault="0066503B" w:rsidP="000C2DCE">
            <w:pPr>
              <w:pStyle w:val="Tabletextleft"/>
            </w:pPr>
            <w:r w:rsidRPr="00BE01F0">
              <w:t>146.8</w:t>
            </w:r>
          </w:p>
        </w:tc>
        <w:tc>
          <w:tcPr>
            <w:tcW w:w="0" w:type="auto"/>
            <w:noWrap/>
            <w:hideMark/>
          </w:tcPr>
          <w:p w:rsidR="0066503B" w:rsidRPr="00BE01F0" w:rsidRDefault="0066503B" w:rsidP="000C2DCE">
            <w:pPr>
              <w:pStyle w:val="Tabletextleft"/>
            </w:pPr>
            <w:r w:rsidRPr="00BE01F0">
              <w:t>-19.26</w:t>
            </w:r>
          </w:p>
        </w:tc>
        <w:tc>
          <w:tcPr>
            <w:tcW w:w="0" w:type="auto"/>
            <w:noWrap/>
            <w:hideMark/>
          </w:tcPr>
          <w:p w:rsidR="0066503B" w:rsidRPr="00BE01F0" w:rsidRDefault="0066503B" w:rsidP="000C2DCE">
            <w:pPr>
              <w:pStyle w:val="Tabletextleft"/>
            </w:pPr>
            <w:r w:rsidRPr="00BE01F0">
              <w:t>0.0233</w:t>
            </w:r>
          </w:p>
        </w:tc>
        <w:tc>
          <w:tcPr>
            <w:tcW w:w="0" w:type="auto"/>
            <w:noWrap/>
            <w:hideMark/>
          </w:tcPr>
          <w:p w:rsidR="0066503B" w:rsidRPr="00BE01F0" w:rsidRDefault="0066503B" w:rsidP="000C2DCE">
            <w:pPr>
              <w:pStyle w:val="Tabletextleft"/>
            </w:pPr>
            <w:r w:rsidRPr="00BE01F0">
              <w:t>0.0678</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Gold Coast</w:t>
            </w:r>
          </w:p>
        </w:tc>
        <w:tc>
          <w:tcPr>
            <w:tcW w:w="0" w:type="auto"/>
            <w:noWrap/>
            <w:hideMark/>
          </w:tcPr>
          <w:p w:rsidR="0066503B" w:rsidRPr="00BE01F0" w:rsidRDefault="0066503B" w:rsidP="000C2DCE">
            <w:pPr>
              <w:pStyle w:val="Tabletextleft"/>
            </w:pPr>
            <w:r w:rsidRPr="00BE01F0">
              <w:t>153.43</w:t>
            </w:r>
          </w:p>
        </w:tc>
        <w:tc>
          <w:tcPr>
            <w:tcW w:w="0" w:type="auto"/>
            <w:noWrap/>
            <w:hideMark/>
          </w:tcPr>
          <w:p w:rsidR="0066503B" w:rsidRPr="00BE01F0" w:rsidRDefault="0066503B" w:rsidP="000C2DCE">
            <w:pPr>
              <w:pStyle w:val="Tabletextleft"/>
            </w:pPr>
            <w:r w:rsidRPr="00BE01F0">
              <w:t>-28.02</w:t>
            </w:r>
          </w:p>
        </w:tc>
        <w:tc>
          <w:tcPr>
            <w:tcW w:w="0" w:type="auto"/>
            <w:noWrap/>
            <w:hideMark/>
          </w:tcPr>
          <w:p w:rsidR="0066503B" w:rsidRPr="00BE01F0" w:rsidRDefault="0066503B" w:rsidP="000C2DCE">
            <w:pPr>
              <w:pStyle w:val="Tabletextleft"/>
            </w:pPr>
            <w:r w:rsidRPr="00BE01F0">
              <w:t>0.0281</w:t>
            </w:r>
          </w:p>
        </w:tc>
        <w:tc>
          <w:tcPr>
            <w:tcW w:w="0" w:type="auto"/>
            <w:noWrap/>
            <w:hideMark/>
          </w:tcPr>
          <w:p w:rsidR="0066503B" w:rsidRPr="00BE01F0" w:rsidRDefault="0066503B" w:rsidP="000C2DCE">
            <w:pPr>
              <w:pStyle w:val="Tabletextleft"/>
            </w:pPr>
            <w:r w:rsidRPr="00BE01F0">
              <w:t>0.0816</w:t>
            </w:r>
          </w:p>
        </w:tc>
        <w:tc>
          <w:tcPr>
            <w:tcW w:w="0" w:type="auto"/>
            <w:noWrap/>
            <w:hideMark/>
          </w:tcPr>
          <w:p w:rsidR="0066503B" w:rsidRPr="00BE01F0" w:rsidRDefault="0066503B" w:rsidP="000C2DCE">
            <w:pPr>
              <w:pStyle w:val="Tabletextleft"/>
            </w:pPr>
            <w:r w:rsidRPr="00BE01F0">
              <w:t>Tweed</w:t>
            </w:r>
          </w:p>
        </w:tc>
        <w:tc>
          <w:tcPr>
            <w:tcW w:w="0" w:type="auto"/>
            <w:noWrap/>
            <w:hideMark/>
          </w:tcPr>
          <w:p w:rsidR="0066503B" w:rsidRPr="00BE01F0" w:rsidRDefault="0066503B" w:rsidP="000C2DCE">
            <w:pPr>
              <w:pStyle w:val="Tabletextleft"/>
            </w:pPr>
            <w:r w:rsidRPr="00BE01F0">
              <w:t>153.54</w:t>
            </w:r>
          </w:p>
        </w:tc>
        <w:tc>
          <w:tcPr>
            <w:tcW w:w="0" w:type="auto"/>
            <w:noWrap/>
            <w:hideMark/>
          </w:tcPr>
          <w:p w:rsidR="0066503B" w:rsidRPr="00BE01F0" w:rsidRDefault="0066503B" w:rsidP="000C2DCE">
            <w:pPr>
              <w:pStyle w:val="Tabletextleft"/>
            </w:pPr>
            <w:r w:rsidRPr="00BE01F0">
              <w:t>-28.18</w:t>
            </w:r>
          </w:p>
        </w:tc>
        <w:tc>
          <w:tcPr>
            <w:tcW w:w="0" w:type="auto"/>
            <w:noWrap/>
            <w:hideMark/>
          </w:tcPr>
          <w:p w:rsidR="0066503B" w:rsidRPr="00BE01F0" w:rsidRDefault="0066503B" w:rsidP="000C2DCE">
            <w:pPr>
              <w:pStyle w:val="Tabletextleft"/>
            </w:pPr>
            <w:r w:rsidRPr="00BE01F0">
              <w:t>0.0256</w:t>
            </w:r>
          </w:p>
        </w:tc>
        <w:tc>
          <w:tcPr>
            <w:tcW w:w="0" w:type="auto"/>
            <w:noWrap/>
            <w:hideMark/>
          </w:tcPr>
          <w:p w:rsidR="0066503B" w:rsidRPr="00BE01F0" w:rsidRDefault="0066503B" w:rsidP="000C2DCE">
            <w:pPr>
              <w:pStyle w:val="Tabletextleft"/>
            </w:pPr>
            <w:r w:rsidRPr="00BE01F0">
              <w:t>0.0750</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Goomalling</w:t>
            </w:r>
          </w:p>
        </w:tc>
        <w:tc>
          <w:tcPr>
            <w:tcW w:w="0" w:type="auto"/>
            <w:noWrap/>
            <w:hideMark/>
          </w:tcPr>
          <w:p w:rsidR="0066503B" w:rsidRPr="00BE01F0" w:rsidRDefault="0066503B" w:rsidP="000C2DCE">
            <w:pPr>
              <w:pStyle w:val="Tabletextleft"/>
            </w:pPr>
            <w:r w:rsidRPr="00BE01F0">
              <w:t>116.83</w:t>
            </w:r>
          </w:p>
        </w:tc>
        <w:tc>
          <w:tcPr>
            <w:tcW w:w="0" w:type="auto"/>
            <w:noWrap/>
            <w:hideMark/>
          </w:tcPr>
          <w:p w:rsidR="0066503B" w:rsidRPr="00BE01F0" w:rsidRDefault="0066503B" w:rsidP="000C2DCE">
            <w:pPr>
              <w:pStyle w:val="Tabletextleft"/>
            </w:pPr>
            <w:r w:rsidRPr="00BE01F0">
              <w:t>-31.3</w:t>
            </w:r>
          </w:p>
        </w:tc>
        <w:tc>
          <w:tcPr>
            <w:tcW w:w="0" w:type="auto"/>
            <w:noWrap/>
            <w:hideMark/>
          </w:tcPr>
          <w:p w:rsidR="0066503B" w:rsidRPr="00BE01F0" w:rsidRDefault="0066503B" w:rsidP="000C2DCE">
            <w:pPr>
              <w:pStyle w:val="Tabletextleft"/>
            </w:pPr>
            <w:r w:rsidRPr="00BE01F0">
              <w:t>0.0722</w:t>
            </w:r>
          </w:p>
        </w:tc>
        <w:tc>
          <w:tcPr>
            <w:tcW w:w="0" w:type="auto"/>
            <w:noWrap/>
            <w:hideMark/>
          </w:tcPr>
          <w:p w:rsidR="0066503B" w:rsidRPr="00BE01F0" w:rsidRDefault="0066503B" w:rsidP="000C2DCE">
            <w:pPr>
              <w:pStyle w:val="Tabletextleft"/>
            </w:pPr>
            <w:r w:rsidRPr="00BE01F0">
              <w:t>0.2177</w:t>
            </w:r>
          </w:p>
        </w:tc>
        <w:tc>
          <w:tcPr>
            <w:tcW w:w="0" w:type="auto"/>
            <w:noWrap/>
            <w:hideMark/>
          </w:tcPr>
          <w:p w:rsidR="0066503B" w:rsidRPr="00BE01F0" w:rsidRDefault="0066503B" w:rsidP="000C2DCE">
            <w:pPr>
              <w:pStyle w:val="Tabletextleft"/>
            </w:pPr>
            <w:r w:rsidRPr="00BE01F0">
              <w:t>Uluru</w:t>
            </w:r>
          </w:p>
        </w:tc>
        <w:tc>
          <w:tcPr>
            <w:tcW w:w="0" w:type="auto"/>
            <w:noWrap/>
            <w:hideMark/>
          </w:tcPr>
          <w:p w:rsidR="0066503B" w:rsidRPr="00BE01F0" w:rsidRDefault="0066503B" w:rsidP="000C2DCE">
            <w:pPr>
              <w:pStyle w:val="Tabletextleft"/>
            </w:pPr>
            <w:r w:rsidRPr="00BE01F0">
              <w:t>131.01</w:t>
            </w:r>
          </w:p>
        </w:tc>
        <w:tc>
          <w:tcPr>
            <w:tcW w:w="0" w:type="auto"/>
            <w:noWrap/>
            <w:hideMark/>
          </w:tcPr>
          <w:p w:rsidR="0066503B" w:rsidRPr="00BE01F0" w:rsidRDefault="0066503B" w:rsidP="000C2DCE">
            <w:pPr>
              <w:pStyle w:val="Tabletextleft"/>
            </w:pPr>
            <w:r w:rsidRPr="00BE01F0">
              <w:t>-25.28</w:t>
            </w:r>
          </w:p>
        </w:tc>
        <w:tc>
          <w:tcPr>
            <w:tcW w:w="0" w:type="auto"/>
            <w:noWrap/>
            <w:hideMark/>
          </w:tcPr>
          <w:p w:rsidR="0066503B" w:rsidRPr="00BE01F0" w:rsidRDefault="0066503B" w:rsidP="000C2DCE">
            <w:pPr>
              <w:pStyle w:val="Tabletextleft"/>
            </w:pPr>
            <w:r w:rsidRPr="00BE01F0">
              <w:t>0.0572</w:t>
            </w:r>
          </w:p>
        </w:tc>
        <w:tc>
          <w:tcPr>
            <w:tcW w:w="0" w:type="auto"/>
            <w:noWrap/>
            <w:hideMark/>
          </w:tcPr>
          <w:p w:rsidR="0066503B" w:rsidRPr="00BE01F0" w:rsidRDefault="0066503B" w:rsidP="000C2DCE">
            <w:pPr>
              <w:pStyle w:val="Tabletextleft"/>
            </w:pPr>
            <w:r w:rsidRPr="00BE01F0">
              <w:t>0.1867</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Gosford</w:t>
            </w:r>
          </w:p>
        </w:tc>
        <w:tc>
          <w:tcPr>
            <w:tcW w:w="0" w:type="auto"/>
            <w:noWrap/>
            <w:hideMark/>
          </w:tcPr>
          <w:p w:rsidR="0066503B" w:rsidRPr="00BE01F0" w:rsidRDefault="0066503B" w:rsidP="000C2DCE">
            <w:pPr>
              <w:pStyle w:val="Tabletextleft"/>
            </w:pPr>
            <w:r w:rsidRPr="00BE01F0">
              <w:t>151.35</w:t>
            </w:r>
          </w:p>
        </w:tc>
        <w:tc>
          <w:tcPr>
            <w:tcW w:w="0" w:type="auto"/>
            <w:noWrap/>
            <w:hideMark/>
          </w:tcPr>
          <w:p w:rsidR="0066503B" w:rsidRPr="00BE01F0" w:rsidRDefault="0066503B" w:rsidP="000C2DCE">
            <w:pPr>
              <w:pStyle w:val="Tabletextleft"/>
            </w:pPr>
            <w:r w:rsidRPr="00BE01F0">
              <w:t>-33.41</w:t>
            </w:r>
          </w:p>
        </w:tc>
        <w:tc>
          <w:tcPr>
            <w:tcW w:w="0" w:type="auto"/>
            <w:noWrap/>
            <w:hideMark/>
          </w:tcPr>
          <w:p w:rsidR="0066503B" w:rsidRPr="00BE01F0" w:rsidRDefault="0066503B" w:rsidP="000C2DCE">
            <w:pPr>
              <w:pStyle w:val="Tabletextleft"/>
            </w:pPr>
            <w:r w:rsidRPr="00BE01F0">
              <w:t>0.0567</w:t>
            </w:r>
          </w:p>
        </w:tc>
        <w:tc>
          <w:tcPr>
            <w:tcW w:w="0" w:type="auto"/>
            <w:noWrap/>
            <w:hideMark/>
          </w:tcPr>
          <w:p w:rsidR="0066503B" w:rsidRPr="00BE01F0" w:rsidRDefault="0066503B" w:rsidP="000C2DCE">
            <w:pPr>
              <w:pStyle w:val="Tabletextleft"/>
            </w:pPr>
            <w:r w:rsidRPr="00BE01F0">
              <w:t>0.1570</w:t>
            </w:r>
          </w:p>
        </w:tc>
        <w:tc>
          <w:tcPr>
            <w:tcW w:w="0" w:type="auto"/>
            <w:noWrap/>
            <w:hideMark/>
          </w:tcPr>
          <w:p w:rsidR="0066503B" w:rsidRPr="00BE01F0" w:rsidRDefault="0066503B" w:rsidP="000C2DCE">
            <w:pPr>
              <w:pStyle w:val="Tabletextleft"/>
            </w:pPr>
            <w:r w:rsidRPr="00BE01F0">
              <w:t>Wagga Wagga</w:t>
            </w:r>
          </w:p>
        </w:tc>
        <w:tc>
          <w:tcPr>
            <w:tcW w:w="0" w:type="auto"/>
            <w:noWrap/>
            <w:hideMark/>
          </w:tcPr>
          <w:p w:rsidR="0066503B" w:rsidRPr="00BE01F0" w:rsidRDefault="0066503B" w:rsidP="000C2DCE">
            <w:pPr>
              <w:pStyle w:val="Tabletextleft"/>
            </w:pPr>
            <w:r w:rsidRPr="00BE01F0">
              <w:t>147.35</w:t>
            </w:r>
          </w:p>
        </w:tc>
        <w:tc>
          <w:tcPr>
            <w:tcW w:w="0" w:type="auto"/>
            <w:noWrap/>
            <w:hideMark/>
          </w:tcPr>
          <w:p w:rsidR="0066503B" w:rsidRPr="00BE01F0" w:rsidRDefault="0066503B" w:rsidP="000C2DCE">
            <w:pPr>
              <w:pStyle w:val="Tabletextleft"/>
            </w:pPr>
            <w:r w:rsidRPr="00BE01F0">
              <w:t>-35.13</w:t>
            </w:r>
          </w:p>
        </w:tc>
        <w:tc>
          <w:tcPr>
            <w:tcW w:w="0" w:type="auto"/>
            <w:noWrap/>
            <w:hideMark/>
          </w:tcPr>
          <w:p w:rsidR="0066503B" w:rsidRPr="00BE01F0" w:rsidRDefault="0066503B" w:rsidP="000C2DCE">
            <w:pPr>
              <w:pStyle w:val="Tabletextleft"/>
            </w:pPr>
            <w:r w:rsidRPr="00BE01F0">
              <w:t>0.0477</w:t>
            </w:r>
          </w:p>
        </w:tc>
        <w:tc>
          <w:tcPr>
            <w:tcW w:w="0" w:type="auto"/>
            <w:noWrap/>
            <w:hideMark/>
          </w:tcPr>
          <w:p w:rsidR="0066503B" w:rsidRPr="00BE01F0" w:rsidRDefault="0066503B" w:rsidP="000C2DCE">
            <w:pPr>
              <w:pStyle w:val="Tabletextleft"/>
            </w:pPr>
            <w:r w:rsidRPr="00BE01F0">
              <w:t>0.1243</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Goulburn</w:t>
            </w:r>
          </w:p>
        </w:tc>
        <w:tc>
          <w:tcPr>
            <w:tcW w:w="0" w:type="auto"/>
            <w:noWrap/>
            <w:hideMark/>
          </w:tcPr>
          <w:p w:rsidR="0066503B" w:rsidRPr="00BE01F0" w:rsidRDefault="0066503B" w:rsidP="000C2DCE">
            <w:pPr>
              <w:pStyle w:val="Tabletextleft"/>
            </w:pPr>
            <w:r w:rsidRPr="00BE01F0">
              <w:t>149.71</w:t>
            </w:r>
          </w:p>
        </w:tc>
        <w:tc>
          <w:tcPr>
            <w:tcW w:w="0" w:type="auto"/>
            <w:noWrap/>
            <w:hideMark/>
          </w:tcPr>
          <w:p w:rsidR="0066503B" w:rsidRPr="00BE01F0" w:rsidRDefault="0066503B" w:rsidP="000C2DCE">
            <w:pPr>
              <w:pStyle w:val="Tabletextleft"/>
            </w:pPr>
            <w:r w:rsidRPr="00BE01F0">
              <w:t>-34.75</w:t>
            </w:r>
          </w:p>
        </w:tc>
        <w:tc>
          <w:tcPr>
            <w:tcW w:w="0" w:type="auto"/>
            <w:noWrap/>
            <w:hideMark/>
          </w:tcPr>
          <w:p w:rsidR="0066503B" w:rsidRPr="00BE01F0" w:rsidRDefault="0066503B" w:rsidP="000C2DCE">
            <w:pPr>
              <w:pStyle w:val="Tabletextleft"/>
            </w:pPr>
            <w:r w:rsidRPr="00BE01F0">
              <w:t>0.0585</w:t>
            </w:r>
          </w:p>
        </w:tc>
        <w:tc>
          <w:tcPr>
            <w:tcW w:w="0" w:type="auto"/>
            <w:noWrap/>
            <w:hideMark/>
          </w:tcPr>
          <w:p w:rsidR="0066503B" w:rsidRPr="00BE01F0" w:rsidRDefault="0066503B" w:rsidP="000C2DCE">
            <w:pPr>
              <w:pStyle w:val="Tabletextleft"/>
            </w:pPr>
            <w:r w:rsidRPr="00BE01F0">
              <w:t>0.1527</w:t>
            </w:r>
          </w:p>
        </w:tc>
        <w:tc>
          <w:tcPr>
            <w:tcW w:w="0" w:type="auto"/>
            <w:noWrap/>
            <w:hideMark/>
          </w:tcPr>
          <w:p w:rsidR="0066503B" w:rsidRPr="00BE01F0" w:rsidRDefault="0066503B" w:rsidP="000C2DCE">
            <w:pPr>
              <w:pStyle w:val="Tabletextleft"/>
            </w:pPr>
            <w:r w:rsidRPr="00BE01F0">
              <w:t>Wangaratta</w:t>
            </w:r>
          </w:p>
        </w:tc>
        <w:tc>
          <w:tcPr>
            <w:tcW w:w="0" w:type="auto"/>
            <w:noWrap/>
            <w:hideMark/>
          </w:tcPr>
          <w:p w:rsidR="0066503B" w:rsidRPr="00BE01F0" w:rsidRDefault="0066503B" w:rsidP="000C2DCE">
            <w:pPr>
              <w:pStyle w:val="Tabletextleft"/>
            </w:pPr>
            <w:r w:rsidRPr="00BE01F0">
              <w:t>146.31</w:t>
            </w:r>
          </w:p>
        </w:tc>
        <w:tc>
          <w:tcPr>
            <w:tcW w:w="0" w:type="auto"/>
            <w:noWrap/>
            <w:hideMark/>
          </w:tcPr>
          <w:p w:rsidR="0066503B" w:rsidRPr="00BE01F0" w:rsidRDefault="0066503B" w:rsidP="000C2DCE">
            <w:pPr>
              <w:pStyle w:val="Tabletextleft"/>
            </w:pPr>
            <w:r w:rsidRPr="00BE01F0">
              <w:t>-36.36</w:t>
            </w:r>
          </w:p>
        </w:tc>
        <w:tc>
          <w:tcPr>
            <w:tcW w:w="0" w:type="auto"/>
            <w:noWrap/>
            <w:hideMark/>
          </w:tcPr>
          <w:p w:rsidR="0066503B" w:rsidRPr="00BE01F0" w:rsidRDefault="0066503B" w:rsidP="000C2DCE">
            <w:pPr>
              <w:pStyle w:val="Tabletextleft"/>
            </w:pPr>
            <w:r w:rsidRPr="00BE01F0">
              <w:t>0.0552</w:t>
            </w:r>
          </w:p>
        </w:tc>
        <w:tc>
          <w:tcPr>
            <w:tcW w:w="0" w:type="auto"/>
            <w:noWrap/>
            <w:hideMark/>
          </w:tcPr>
          <w:p w:rsidR="0066503B" w:rsidRPr="00BE01F0" w:rsidRDefault="0066503B" w:rsidP="000C2DCE">
            <w:pPr>
              <w:pStyle w:val="Tabletextleft"/>
            </w:pPr>
            <w:r w:rsidRPr="00BE01F0">
              <w:t>0.1511</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Grafton</w:t>
            </w:r>
          </w:p>
        </w:tc>
        <w:tc>
          <w:tcPr>
            <w:tcW w:w="0" w:type="auto"/>
            <w:noWrap/>
            <w:hideMark/>
          </w:tcPr>
          <w:p w:rsidR="0066503B" w:rsidRPr="00BE01F0" w:rsidRDefault="0066503B" w:rsidP="000C2DCE">
            <w:pPr>
              <w:pStyle w:val="Tabletextleft"/>
            </w:pPr>
            <w:r w:rsidRPr="00BE01F0">
              <w:t>152.93</w:t>
            </w:r>
          </w:p>
        </w:tc>
        <w:tc>
          <w:tcPr>
            <w:tcW w:w="0" w:type="auto"/>
            <w:noWrap/>
            <w:hideMark/>
          </w:tcPr>
          <w:p w:rsidR="0066503B" w:rsidRPr="00BE01F0" w:rsidRDefault="0066503B" w:rsidP="000C2DCE">
            <w:pPr>
              <w:pStyle w:val="Tabletextleft"/>
            </w:pPr>
            <w:r w:rsidRPr="00BE01F0">
              <w:t>-29.68</w:t>
            </w:r>
          </w:p>
        </w:tc>
        <w:tc>
          <w:tcPr>
            <w:tcW w:w="0" w:type="auto"/>
            <w:noWrap/>
            <w:hideMark/>
          </w:tcPr>
          <w:p w:rsidR="0066503B" w:rsidRPr="00BE01F0" w:rsidRDefault="0066503B" w:rsidP="000C2DCE">
            <w:pPr>
              <w:pStyle w:val="Tabletextleft"/>
            </w:pPr>
            <w:r w:rsidRPr="00BE01F0">
              <w:t>0.0207</w:t>
            </w:r>
          </w:p>
        </w:tc>
        <w:tc>
          <w:tcPr>
            <w:tcW w:w="0" w:type="auto"/>
            <w:noWrap/>
            <w:hideMark/>
          </w:tcPr>
          <w:p w:rsidR="0066503B" w:rsidRPr="00BE01F0" w:rsidRDefault="0066503B" w:rsidP="000C2DCE">
            <w:pPr>
              <w:pStyle w:val="Tabletextleft"/>
            </w:pPr>
            <w:r w:rsidRPr="00BE01F0">
              <w:t>0.0636</w:t>
            </w:r>
          </w:p>
        </w:tc>
        <w:tc>
          <w:tcPr>
            <w:tcW w:w="0" w:type="auto"/>
            <w:noWrap/>
            <w:hideMark/>
          </w:tcPr>
          <w:p w:rsidR="0066503B" w:rsidRPr="00BE01F0" w:rsidRDefault="0066503B" w:rsidP="000C2DCE">
            <w:pPr>
              <w:pStyle w:val="Tabletextleft"/>
            </w:pPr>
            <w:r w:rsidRPr="00BE01F0">
              <w:t>Penrith</w:t>
            </w:r>
          </w:p>
        </w:tc>
        <w:tc>
          <w:tcPr>
            <w:tcW w:w="0" w:type="auto"/>
            <w:noWrap/>
            <w:hideMark/>
          </w:tcPr>
          <w:p w:rsidR="0066503B" w:rsidRPr="005168A9" w:rsidRDefault="0066503B" w:rsidP="000C2DCE">
            <w:pPr>
              <w:pStyle w:val="Tabletextleft"/>
            </w:pPr>
            <w:r w:rsidRPr="00BE01F0">
              <w:t>150.7</w:t>
            </w:r>
          </w:p>
        </w:tc>
        <w:tc>
          <w:tcPr>
            <w:tcW w:w="0" w:type="auto"/>
            <w:noWrap/>
            <w:hideMark/>
          </w:tcPr>
          <w:p w:rsidR="0066503B" w:rsidRPr="00BE01F0" w:rsidRDefault="0066503B" w:rsidP="000C2DCE">
            <w:pPr>
              <w:pStyle w:val="Tabletextleft"/>
            </w:pPr>
            <w:r w:rsidRPr="00BE01F0">
              <w:t>-33.75</w:t>
            </w:r>
          </w:p>
        </w:tc>
        <w:tc>
          <w:tcPr>
            <w:tcW w:w="0" w:type="auto"/>
            <w:noWrap/>
            <w:hideMark/>
          </w:tcPr>
          <w:p w:rsidR="0066503B" w:rsidRPr="00BE01F0" w:rsidRDefault="0066503B" w:rsidP="000C2DCE">
            <w:pPr>
              <w:pStyle w:val="Tabletextleft"/>
            </w:pPr>
            <w:r w:rsidRPr="00BE01F0">
              <w:t>0.0604</w:t>
            </w:r>
          </w:p>
        </w:tc>
        <w:tc>
          <w:tcPr>
            <w:tcW w:w="0" w:type="auto"/>
            <w:noWrap/>
            <w:hideMark/>
          </w:tcPr>
          <w:p w:rsidR="0066503B" w:rsidRPr="00BE01F0" w:rsidRDefault="0066503B" w:rsidP="000C2DCE">
            <w:pPr>
              <w:pStyle w:val="Tabletextleft"/>
            </w:pPr>
            <w:r w:rsidRPr="00BE01F0">
              <w:t>0.1633</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Kalgoorlie</w:t>
            </w:r>
          </w:p>
        </w:tc>
        <w:tc>
          <w:tcPr>
            <w:tcW w:w="0" w:type="auto"/>
            <w:noWrap/>
            <w:hideMark/>
          </w:tcPr>
          <w:p w:rsidR="0066503B" w:rsidRPr="00BE01F0" w:rsidRDefault="0066503B" w:rsidP="000C2DCE">
            <w:pPr>
              <w:pStyle w:val="Tabletextleft"/>
            </w:pPr>
            <w:r w:rsidRPr="00BE01F0">
              <w:t>121.46</w:t>
            </w:r>
          </w:p>
        </w:tc>
        <w:tc>
          <w:tcPr>
            <w:tcW w:w="0" w:type="auto"/>
            <w:noWrap/>
            <w:hideMark/>
          </w:tcPr>
          <w:p w:rsidR="0066503B" w:rsidRPr="00BE01F0" w:rsidRDefault="0066503B" w:rsidP="000C2DCE">
            <w:pPr>
              <w:pStyle w:val="Tabletextleft"/>
            </w:pPr>
            <w:r w:rsidRPr="00BE01F0">
              <w:t>-30.75</w:t>
            </w:r>
          </w:p>
        </w:tc>
        <w:tc>
          <w:tcPr>
            <w:tcW w:w="0" w:type="auto"/>
            <w:noWrap/>
            <w:hideMark/>
          </w:tcPr>
          <w:p w:rsidR="0066503B" w:rsidRPr="00BE01F0" w:rsidRDefault="0066503B" w:rsidP="000C2DCE">
            <w:pPr>
              <w:pStyle w:val="Tabletextleft"/>
            </w:pPr>
            <w:r w:rsidRPr="00BE01F0">
              <w:t>0.1114</w:t>
            </w:r>
          </w:p>
        </w:tc>
        <w:tc>
          <w:tcPr>
            <w:tcW w:w="0" w:type="auto"/>
            <w:noWrap/>
            <w:hideMark/>
          </w:tcPr>
          <w:p w:rsidR="0066503B" w:rsidRPr="00BE01F0" w:rsidRDefault="0066503B" w:rsidP="000C2DCE">
            <w:pPr>
              <w:pStyle w:val="Tabletextleft"/>
            </w:pPr>
            <w:r w:rsidRPr="00BE01F0">
              <w:t>0.2959</w:t>
            </w:r>
          </w:p>
        </w:tc>
        <w:tc>
          <w:tcPr>
            <w:tcW w:w="0" w:type="auto"/>
            <w:noWrap/>
            <w:hideMark/>
          </w:tcPr>
          <w:p w:rsidR="0066503B" w:rsidRPr="00BE01F0" w:rsidRDefault="0066503B" w:rsidP="000C2DCE">
            <w:pPr>
              <w:pStyle w:val="Tabletextleft"/>
            </w:pPr>
            <w:r w:rsidRPr="00BE01F0">
              <w:t>Warrnambool</w:t>
            </w:r>
          </w:p>
        </w:tc>
        <w:tc>
          <w:tcPr>
            <w:tcW w:w="0" w:type="auto"/>
            <w:noWrap/>
            <w:hideMark/>
          </w:tcPr>
          <w:p w:rsidR="0066503B" w:rsidRPr="00BE01F0" w:rsidRDefault="0066503B" w:rsidP="000C2DCE">
            <w:pPr>
              <w:pStyle w:val="Tabletextleft"/>
            </w:pPr>
            <w:r w:rsidRPr="00BE01F0">
              <w:t>142.48</w:t>
            </w:r>
          </w:p>
        </w:tc>
        <w:tc>
          <w:tcPr>
            <w:tcW w:w="0" w:type="auto"/>
            <w:noWrap/>
            <w:hideMark/>
          </w:tcPr>
          <w:p w:rsidR="0066503B" w:rsidRPr="00BE01F0" w:rsidRDefault="0066503B" w:rsidP="000C2DCE">
            <w:pPr>
              <w:pStyle w:val="Tabletextleft"/>
            </w:pPr>
            <w:r w:rsidRPr="00BE01F0">
              <w:t>-38.38</w:t>
            </w:r>
          </w:p>
        </w:tc>
        <w:tc>
          <w:tcPr>
            <w:tcW w:w="0" w:type="auto"/>
            <w:noWrap/>
            <w:hideMark/>
          </w:tcPr>
          <w:p w:rsidR="0066503B" w:rsidRPr="00BE01F0" w:rsidRDefault="0066503B" w:rsidP="000C2DCE">
            <w:pPr>
              <w:pStyle w:val="Tabletextleft"/>
            </w:pPr>
            <w:r w:rsidRPr="00BE01F0">
              <w:t>0.0610</w:t>
            </w:r>
          </w:p>
        </w:tc>
        <w:tc>
          <w:tcPr>
            <w:tcW w:w="0" w:type="auto"/>
            <w:noWrap/>
            <w:hideMark/>
          </w:tcPr>
          <w:p w:rsidR="0066503B" w:rsidRPr="00BE01F0" w:rsidRDefault="0066503B" w:rsidP="000C2DCE">
            <w:pPr>
              <w:pStyle w:val="Tabletextleft"/>
            </w:pPr>
            <w:r w:rsidRPr="00BE01F0">
              <w:t>0.1719</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Karratha</w:t>
            </w:r>
          </w:p>
        </w:tc>
        <w:tc>
          <w:tcPr>
            <w:tcW w:w="0" w:type="auto"/>
            <w:noWrap/>
            <w:hideMark/>
          </w:tcPr>
          <w:p w:rsidR="0066503B" w:rsidRPr="00BE01F0" w:rsidRDefault="0066503B" w:rsidP="000C2DCE">
            <w:pPr>
              <w:pStyle w:val="Tabletextleft"/>
            </w:pPr>
            <w:r w:rsidRPr="00BE01F0">
              <w:t>116.85</w:t>
            </w:r>
          </w:p>
        </w:tc>
        <w:tc>
          <w:tcPr>
            <w:tcW w:w="0" w:type="auto"/>
            <w:noWrap/>
            <w:hideMark/>
          </w:tcPr>
          <w:p w:rsidR="0066503B" w:rsidRPr="00BE01F0" w:rsidRDefault="0066503B" w:rsidP="000C2DCE">
            <w:pPr>
              <w:pStyle w:val="Tabletextleft"/>
            </w:pPr>
            <w:r w:rsidRPr="00BE01F0">
              <w:t>-20.73</w:t>
            </w:r>
          </w:p>
        </w:tc>
        <w:tc>
          <w:tcPr>
            <w:tcW w:w="0" w:type="auto"/>
            <w:noWrap/>
            <w:hideMark/>
          </w:tcPr>
          <w:p w:rsidR="0066503B" w:rsidRPr="00BE01F0" w:rsidRDefault="0066503B" w:rsidP="000C2DCE">
            <w:pPr>
              <w:pStyle w:val="Tabletextleft"/>
            </w:pPr>
            <w:r w:rsidRPr="00BE01F0">
              <w:t>0.0433</w:t>
            </w:r>
          </w:p>
        </w:tc>
        <w:tc>
          <w:tcPr>
            <w:tcW w:w="0" w:type="auto"/>
            <w:noWrap/>
            <w:hideMark/>
          </w:tcPr>
          <w:p w:rsidR="0066503B" w:rsidRPr="00BE01F0" w:rsidRDefault="0066503B" w:rsidP="000C2DCE">
            <w:pPr>
              <w:pStyle w:val="Tabletextleft"/>
            </w:pPr>
            <w:r w:rsidRPr="00BE01F0">
              <w:t>0.1293</w:t>
            </w:r>
          </w:p>
        </w:tc>
        <w:tc>
          <w:tcPr>
            <w:tcW w:w="0" w:type="auto"/>
            <w:noWrap/>
            <w:hideMark/>
          </w:tcPr>
          <w:p w:rsidR="0066503B" w:rsidRPr="00BE01F0" w:rsidRDefault="0066503B" w:rsidP="000C2DCE">
            <w:pPr>
              <w:pStyle w:val="Tabletextleft"/>
            </w:pPr>
            <w:r w:rsidRPr="00BE01F0">
              <w:t>Whyalla</w:t>
            </w:r>
          </w:p>
        </w:tc>
        <w:tc>
          <w:tcPr>
            <w:tcW w:w="0" w:type="auto"/>
            <w:noWrap/>
            <w:hideMark/>
          </w:tcPr>
          <w:p w:rsidR="0066503B" w:rsidRPr="00BE01F0" w:rsidRDefault="0066503B" w:rsidP="000C2DCE">
            <w:pPr>
              <w:pStyle w:val="Tabletextleft"/>
            </w:pPr>
            <w:r w:rsidRPr="00BE01F0">
              <w:t>137.56</w:t>
            </w:r>
          </w:p>
        </w:tc>
        <w:tc>
          <w:tcPr>
            <w:tcW w:w="0" w:type="auto"/>
            <w:noWrap/>
            <w:hideMark/>
          </w:tcPr>
          <w:p w:rsidR="0066503B" w:rsidRPr="00BE01F0" w:rsidRDefault="0066503B" w:rsidP="000C2DCE">
            <w:pPr>
              <w:pStyle w:val="Tabletextleft"/>
            </w:pPr>
            <w:r w:rsidRPr="00BE01F0">
              <w:t>-33.03</w:t>
            </w:r>
          </w:p>
        </w:tc>
        <w:tc>
          <w:tcPr>
            <w:tcW w:w="0" w:type="auto"/>
            <w:noWrap/>
            <w:hideMark/>
          </w:tcPr>
          <w:p w:rsidR="0066503B" w:rsidRPr="00BE01F0" w:rsidRDefault="0066503B" w:rsidP="000C2DCE">
            <w:pPr>
              <w:pStyle w:val="Tabletextleft"/>
            </w:pPr>
            <w:r w:rsidRPr="00BE01F0">
              <w:t>0.0452</w:t>
            </w:r>
          </w:p>
        </w:tc>
        <w:tc>
          <w:tcPr>
            <w:tcW w:w="0" w:type="auto"/>
            <w:noWrap/>
            <w:hideMark/>
          </w:tcPr>
          <w:p w:rsidR="0066503B" w:rsidRPr="00BE01F0" w:rsidRDefault="0066503B" w:rsidP="000C2DCE">
            <w:pPr>
              <w:pStyle w:val="Tabletextleft"/>
            </w:pPr>
            <w:r w:rsidRPr="00BE01F0">
              <w:t>0.1287</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Katoomba</w:t>
            </w:r>
          </w:p>
        </w:tc>
        <w:tc>
          <w:tcPr>
            <w:tcW w:w="0" w:type="auto"/>
            <w:noWrap/>
            <w:hideMark/>
          </w:tcPr>
          <w:p w:rsidR="0066503B" w:rsidRPr="00BE01F0" w:rsidRDefault="0066503B" w:rsidP="000C2DCE">
            <w:pPr>
              <w:pStyle w:val="Tabletextleft"/>
            </w:pPr>
            <w:r w:rsidRPr="00BE01F0">
              <w:t>150.31</w:t>
            </w:r>
          </w:p>
        </w:tc>
        <w:tc>
          <w:tcPr>
            <w:tcW w:w="0" w:type="auto"/>
            <w:noWrap/>
            <w:hideMark/>
          </w:tcPr>
          <w:p w:rsidR="0066503B" w:rsidRPr="00BE01F0" w:rsidRDefault="0066503B" w:rsidP="000C2DCE">
            <w:pPr>
              <w:pStyle w:val="Tabletextleft"/>
            </w:pPr>
            <w:r w:rsidRPr="00BE01F0">
              <w:t>-33.71</w:t>
            </w:r>
          </w:p>
        </w:tc>
        <w:tc>
          <w:tcPr>
            <w:tcW w:w="0" w:type="auto"/>
            <w:noWrap/>
            <w:hideMark/>
          </w:tcPr>
          <w:p w:rsidR="0066503B" w:rsidRPr="00BE01F0" w:rsidRDefault="0066503B" w:rsidP="000C2DCE">
            <w:pPr>
              <w:pStyle w:val="Tabletextleft"/>
            </w:pPr>
            <w:r w:rsidRPr="00BE01F0">
              <w:t>0.0615</w:t>
            </w:r>
          </w:p>
        </w:tc>
        <w:tc>
          <w:tcPr>
            <w:tcW w:w="0" w:type="auto"/>
            <w:noWrap/>
            <w:hideMark/>
          </w:tcPr>
          <w:p w:rsidR="0066503B" w:rsidRPr="00BE01F0" w:rsidRDefault="0066503B" w:rsidP="000C2DCE">
            <w:pPr>
              <w:pStyle w:val="Tabletextleft"/>
            </w:pPr>
            <w:r w:rsidRPr="00BE01F0">
              <w:t>0.1641</w:t>
            </w:r>
          </w:p>
        </w:tc>
        <w:tc>
          <w:tcPr>
            <w:tcW w:w="0" w:type="auto"/>
            <w:noWrap/>
            <w:hideMark/>
          </w:tcPr>
          <w:p w:rsidR="0066503B" w:rsidRPr="00BE01F0" w:rsidRDefault="0066503B" w:rsidP="000C2DCE">
            <w:pPr>
              <w:pStyle w:val="Tabletextleft"/>
            </w:pPr>
            <w:r w:rsidRPr="00BE01F0">
              <w:t>Wickepin</w:t>
            </w:r>
          </w:p>
        </w:tc>
        <w:tc>
          <w:tcPr>
            <w:tcW w:w="0" w:type="auto"/>
            <w:noWrap/>
            <w:hideMark/>
          </w:tcPr>
          <w:p w:rsidR="0066503B" w:rsidRPr="00BE01F0" w:rsidRDefault="0066503B" w:rsidP="000C2DCE">
            <w:pPr>
              <w:pStyle w:val="Tabletextleft"/>
            </w:pPr>
            <w:r w:rsidRPr="00BE01F0">
              <w:t>117.5</w:t>
            </w:r>
          </w:p>
        </w:tc>
        <w:tc>
          <w:tcPr>
            <w:tcW w:w="0" w:type="auto"/>
            <w:noWrap/>
            <w:hideMark/>
          </w:tcPr>
          <w:p w:rsidR="0066503B" w:rsidRPr="00BE01F0" w:rsidRDefault="0066503B" w:rsidP="000C2DCE">
            <w:pPr>
              <w:pStyle w:val="Tabletextleft"/>
            </w:pPr>
            <w:r w:rsidRPr="00BE01F0">
              <w:t>-32.78</w:t>
            </w:r>
          </w:p>
        </w:tc>
        <w:tc>
          <w:tcPr>
            <w:tcW w:w="0" w:type="auto"/>
            <w:noWrap/>
            <w:hideMark/>
          </w:tcPr>
          <w:p w:rsidR="0066503B" w:rsidRPr="00BE01F0" w:rsidRDefault="0066503B" w:rsidP="000C2DCE">
            <w:pPr>
              <w:pStyle w:val="Tabletextleft"/>
            </w:pPr>
            <w:r w:rsidRPr="00BE01F0">
              <w:t>0.0735</w:t>
            </w:r>
          </w:p>
        </w:tc>
        <w:tc>
          <w:tcPr>
            <w:tcW w:w="0" w:type="auto"/>
            <w:noWrap/>
            <w:hideMark/>
          </w:tcPr>
          <w:p w:rsidR="0066503B" w:rsidRPr="00BE01F0" w:rsidRDefault="0066503B" w:rsidP="000C2DCE">
            <w:pPr>
              <w:pStyle w:val="Tabletextleft"/>
            </w:pPr>
            <w:r w:rsidRPr="00BE01F0">
              <w:t>0.2199</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Kellerberrin</w:t>
            </w:r>
          </w:p>
        </w:tc>
        <w:tc>
          <w:tcPr>
            <w:tcW w:w="0" w:type="auto"/>
            <w:noWrap/>
            <w:hideMark/>
          </w:tcPr>
          <w:p w:rsidR="0066503B" w:rsidRPr="00BE01F0" w:rsidRDefault="0066503B" w:rsidP="000C2DCE">
            <w:pPr>
              <w:pStyle w:val="Tabletextleft"/>
            </w:pPr>
            <w:r w:rsidRPr="00BE01F0">
              <w:t>117.71</w:t>
            </w:r>
          </w:p>
        </w:tc>
        <w:tc>
          <w:tcPr>
            <w:tcW w:w="0" w:type="auto"/>
            <w:noWrap/>
            <w:hideMark/>
          </w:tcPr>
          <w:p w:rsidR="0066503B" w:rsidRPr="00BE01F0" w:rsidRDefault="0066503B" w:rsidP="000C2DCE">
            <w:pPr>
              <w:pStyle w:val="Tabletextleft"/>
            </w:pPr>
            <w:r w:rsidRPr="00BE01F0">
              <w:t>-31.63</w:t>
            </w:r>
          </w:p>
        </w:tc>
        <w:tc>
          <w:tcPr>
            <w:tcW w:w="0" w:type="auto"/>
            <w:noWrap/>
            <w:hideMark/>
          </w:tcPr>
          <w:p w:rsidR="0066503B" w:rsidRPr="00BE01F0" w:rsidRDefault="0066503B" w:rsidP="000C2DCE">
            <w:pPr>
              <w:pStyle w:val="Tabletextleft"/>
            </w:pPr>
            <w:r w:rsidRPr="00BE01F0">
              <w:t>0.0804</w:t>
            </w:r>
          </w:p>
        </w:tc>
        <w:tc>
          <w:tcPr>
            <w:tcW w:w="0" w:type="auto"/>
            <w:noWrap/>
            <w:hideMark/>
          </w:tcPr>
          <w:p w:rsidR="0066503B" w:rsidRPr="00BE01F0" w:rsidRDefault="0066503B" w:rsidP="000C2DCE">
            <w:pPr>
              <w:pStyle w:val="Tabletextleft"/>
            </w:pPr>
            <w:r w:rsidRPr="00BE01F0">
              <w:t>0.2524</w:t>
            </w:r>
          </w:p>
        </w:tc>
        <w:tc>
          <w:tcPr>
            <w:tcW w:w="0" w:type="auto"/>
            <w:noWrap/>
            <w:hideMark/>
          </w:tcPr>
          <w:p w:rsidR="0066503B" w:rsidRPr="00BE01F0" w:rsidRDefault="0066503B" w:rsidP="000C2DCE">
            <w:pPr>
              <w:pStyle w:val="Tabletextleft"/>
            </w:pPr>
            <w:r w:rsidRPr="00BE01F0">
              <w:t>Wivenhoe</w:t>
            </w:r>
          </w:p>
        </w:tc>
        <w:tc>
          <w:tcPr>
            <w:tcW w:w="0" w:type="auto"/>
            <w:noWrap/>
            <w:hideMark/>
          </w:tcPr>
          <w:p w:rsidR="0066503B" w:rsidRPr="00BE01F0" w:rsidRDefault="0066503B" w:rsidP="000C2DCE">
            <w:pPr>
              <w:pStyle w:val="Tabletextleft"/>
            </w:pPr>
            <w:r w:rsidRPr="00BE01F0">
              <w:t>152.61</w:t>
            </w:r>
          </w:p>
        </w:tc>
        <w:tc>
          <w:tcPr>
            <w:tcW w:w="0" w:type="auto"/>
            <w:noWrap/>
            <w:hideMark/>
          </w:tcPr>
          <w:p w:rsidR="0066503B" w:rsidRPr="00BE01F0" w:rsidRDefault="0066503B" w:rsidP="000C2DCE">
            <w:pPr>
              <w:pStyle w:val="Tabletextleft"/>
            </w:pPr>
            <w:r w:rsidRPr="00BE01F0">
              <w:t>-27.41</w:t>
            </w:r>
          </w:p>
        </w:tc>
        <w:tc>
          <w:tcPr>
            <w:tcW w:w="0" w:type="auto"/>
            <w:noWrap/>
            <w:hideMark/>
          </w:tcPr>
          <w:p w:rsidR="0066503B" w:rsidRPr="00BE01F0" w:rsidRDefault="0066503B" w:rsidP="000C2DCE">
            <w:pPr>
              <w:pStyle w:val="Tabletextleft"/>
            </w:pPr>
            <w:r w:rsidRPr="00BE01F0">
              <w:t>0.0475</w:t>
            </w:r>
          </w:p>
        </w:tc>
        <w:tc>
          <w:tcPr>
            <w:tcW w:w="0" w:type="auto"/>
            <w:noWrap/>
            <w:hideMark/>
          </w:tcPr>
          <w:p w:rsidR="0066503B" w:rsidRPr="00BE01F0" w:rsidRDefault="0066503B" w:rsidP="000C2DCE">
            <w:pPr>
              <w:pStyle w:val="Tabletextleft"/>
            </w:pPr>
            <w:r w:rsidRPr="00BE01F0">
              <w:t>0.1440</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Launceston</w:t>
            </w:r>
          </w:p>
        </w:tc>
        <w:tc>
          <w:tcPr>
            <w:tcW w:w="0" w:type="auto"/>
            <w:noWrap/>
            <w:hideMark/>
          </w:tcPr>
          <w:p w:rsidR="0066503B" w:rsidRPr="00BE01F0" w:rsidRDefault="0066503B" w:rsidP="000C2DCE">
            <w:pPr>
              <w:pStyle w:val="Tabletextleft"/>
            </w:pPr>
            <w:r w:rsidRPr="00BE01F0">
              <w:t>147.13</w:t>
            </w:r>
          </w:p>
        </w:tc>
        <w:tc>
          <w:tcPr>
            <w:tcW w:w="0" w:type="auto"/>
            <w:noWrap/>
            <w:hideMark/>
          </w:tcPr>
          <w:p w:rsidR="0066503B" w:rsidRPr="00BE01F0" w:rsidRDefault="0066503B" w:rsidP="000C2DCE">
            <w:pPr>
              <w:pStyle w:val="Tabletextleft"/>
            </w:pPr>
            <w:r w:rsidRPr="00BE01F0">
              <w:t>-41.43</w:t>
            </w:r>
          </w:p>
        </w:tc>
        <w:tc>
          <w:tcPr>
            <w:tcW w:w="0" w:type="auto"/>
            <w:noWrap/>
            <w:hideMark/>
          </w:tcPr>
          <w:p w:rsidR="0066503B" w:rsidRPr="00BE01F0" w:rsidRDefault="0066503B" w:rsidP="000C2DCE">
            <w:pPr>
              <w:pStyle w:val="Tabletextleft"/>
            </w:pPr>
            <w:r w:rsidRPr="00BE01F0">
              <w:t>0.0225</w:t>
            </w:r>
          </w:p>
        </w:tc>
        <w:tc>
          <w:tcPr>
            <w:tcW w:w="0" w:type="auto"/>
            <w:noWrap/>
            <w:hideMark/>
          </w:tcPr>
          <w:p w:rsidR="0066503B" w:rsidRPr="00BE01F0" w:rsidRDefault="0066503B" w:rsidP="000C2DCE">
            <w:pPr>
              <w:pStyle w:val="Tabletextleft"/>
            </w:pPr>
            <w:r w:rsidRPr="00BE01F0">
              <w:t>0.0626</w:t>
            </w:r>
          </w:p>
        </w:tc>
        <w:tc>
          <w:tcPr>
            <w:tcW w:w="0" w:type="auto"/>
            <w:noWrap/>
            <w:hideMark/>
          </w:tcPr>
          <w:p w:rsidR="0066503B" w:rsidRPr="00BE01F0" w:rsidRDefault="0066503B" w:rsidP="000C2DCE">
            <w:pPr>
              <w:pStyle w:val="Tabletextleft"/>
            </w:pPr>
            <w:r w:rsidRPr="00BE01F0">
              <w:t>Wollongong</w:t>
            </w:r>
          </w:p>
        </w:tc>
        <w:tc>
          <w:tcPr>
            <w:tcW w:w="0" w:type="auto"/>
            <w:noWrap/>
            <w:hideMark/>
          </w:tcPr>
          <w:p w:rsidR="0066503B" w:rsidRPr="00BE01F0" w:rsidRDefault="0066503B" w:rsidP="000C2DCE">
            <w:pPr>
              <w:pStyle w:val="Tabletextleft"/>
            </w:pPr>
            <w:r w:rsidRPr="00BE01F0">
              <w:t>150.9</w:t>
            </w:r>
          </w:p>
        </w:tc>
        <w:tc>
          <w:tcPr>
            <w:tcW w:w="0" w:type="auto"/>
            <w:noWrap/>
            <w:hideMark/>
          </w:tcPr>
          <w:p w:rsidR="0066503B" w:rsidRPr="00BE01F0" w:rsidRDefault="0066503B" w:rsidP="000C2DCE">
            <w:pPr>
              <w:pStyle w:val="Tabletextleft"/>
            </w:pPr>
            <w:r w:rsidRPr="00BE01F0">
              <w:t>-34.41</w:t>
            </w:r>
          </w:p>
        </w:tc>
        <w:tc>
          <w:tcPr>
            <w:tcW w:w="0" w:type="auto"/>
            <w:noWrap/>
            <w:hideMark/>
          </w:tcPr>
          <w:p w:rsidR="0066503B" w:rsidRPr="00BE01F0" w:rsidRDefault="0066503B" w:rsidP="000C2DCE">
            <w:pPr>
              <w:pStyle w:val="Tabletextleft"/>
            </w:pPr>
            <w:r w:rsidRPr="00BE01F0">
              <w:t>0.0554</w:t>
            </w:r>
          </w:p>
        </w:tc>
        <w:tc>
          <w:tcPr>
            <w:tcW w:w="0" w:type="auto"/>
            <w:noWrap/>
            <w:hideMark/>
          </w:tcPr>
          <w:p w:rsidR="0066503B" w:rsidRPr="00BE01F0" w:rsidRDefault="0066503B" w:rsidP="000C2DCE">
            <w:pPr>
              <w:pStyle w:val="Tabletextleft"/>
            </w:pPr>
            <w:r w:rsidRPr="00BE01F0">
              <w:t>0.1551</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Lismore</w:t>
            </w:r>
          </w:p>
        </w:tc>
        <w:tc>
          <w:tcPr>
            <w:tcW w:w="0" w:type="auto"/>
            <w:noWrap/>
            <w:hideMark/>
          </w:tcPr>
          <w:p w:rsidR="0066503B" w:rsidRPr="00BE01F0" w:rsidRDefault="0066503B" w:rsidP="000C2DCE">
            <w:pPr>
              <w:pStyle w:val="Tabletextleft"/>
            </w:pPr>
            <w:r w:rsidRPr="00BE01F0">
              <w:t>153.28</w:t>
            </w:r>
          </w:p>
        </w:tc>
        <w:tc>
          <w:tcPr>
            <w:tcW w:w="0" w:type="auto"/>
            <w:noWrap/>
            <w:hideMark/>
          </w:tcPr>
          <w:p w:rsidR="0066503B" w:rsidRPr="00BE01F0" w:rsidRDefault="0066503B" w:rsidP="000C2DCE">
            <w:pPr>
              <w:pStyle w:val="Tabletextleft"/>
            </w:pPr>
            <w:r w:rsidRPr="00BE01F0">
              <w:t>-28.81</w:t>
            </w:r>
          </w:p>
        </w:tc>
        <w:tc>
          <w:tcPr>
            <w:tcW w:w="0" w:type="auto"/>
            <w:noWrap/>
            <w:hideMark/>
          </w:tcPr>
          <w:p w:rsidR="0066503B" w:rsidRPr="00BE01F0" w:rsidRDefault="0066503B" w:rsidP="000C2DCE">
            <w:pPr>
              <w:pStyle w:val="Tabletextleft"/>
            </w:pPr>
            <w:r w:rsidRPr="00BE01F0">
              <w:t>0.0228</w:t>
            </w:r>
          </w:p>
        </w:tc>
        <w:tc>
          <w:tcPr>
            <w:tcW w:w="0" w:type="auto"/>
            <w:noWrap/>
            <w:hideMark/>
          </w:tcPr>
          <w:p w:rsidR="0066503B" w:rsidRPr="00BE01F0" w:rsidRDefault="0066503B" w:rsidP="000C2DCE">
            <w:pPr>
              <w:pStyle w:val="Tabletextleft"/>
            </w:pPr>
            <w:r w:rsidRPr="00BE01F0">
              <w:t>0.0676</w:t>
            </w:r>
          </w:p>
        </w:tc>
        <w:tc>
          <w:tcPr>
            <w:tcW w:w="0" w:type="auto"/>
            <w:noWrap/>
            <w:hideMark/>
          </w:tcPr>
          <w:p w:rsidR="0066503B" w:rsidRPr="00BE01F0" w:rsidRDefault="0066503B" w:rsidP="000C2DCE">
            <w:pPr>
              <w:pStyle w:val="Tabletextleft"/>
            </w:pPr>
            <w:proofErr w:type="spellStart"/>
            <w:r w:rsidRPr="00BE01F0">
              <w:t>Wongan</w:t>
            </w:r>
            <w:proofErr w:type="spellEnd"/>
            <w:r w:rsidRPr="00BE01F0">
              <w:t xml:space="preserve"> Hills</w:t>
            </w:r>
          </w:p>
        </w:tc>
        <w:tc>
          <w:tcPr>
            <w:tcW w:w="0" w:type="auto"/>
            <w:noWrap/>
            <w:hideMark/>
          </w:tcPr>
          <w:p w:rsidR="0066503B" w:rsidRPr="00BE01F0" w:rsidRDefault="0066503B" w:rsidP="000C2DCE">
            <w:pPr>
              <w:pStyle w:val="Tabletextleft"/>
            </w:pPr>
            <w:r w:rsidRPr="00BE01F0">
              <w:t>116.71</w:t>
            </w:r>
          </w:p>
        </w:tc>
        <w:tc>
          <w:tcPr>
            <w:tcW w:w="0" w:type="auto"/>
            <w:noWrap/>
            <w:hideMark/>
          </w:tcPr>
          <w:p w:rsidR="0066503B" w:rsidRPr="00BE01F0" w:rsidRDefault="0066503B" w:rsidP="000C2DCE">
            <w:pPr>
              <w:pStyle w:val="Tabletextleft"/>
            </w:pPr>
            <w:r w:rsidRPr="00BE01F0">
              <w:t>-30.9</w:t>
            </w:r>
          </w:p>
        </w:tc>
        <w:tc>
          <w:tcPr>
            <w:tcW w:w="0" w:type="auto"/>
            <w:noWrap/>
            <w:hideMark/>
          </w:tcPr>
          <w:p w:rsidR="0066503B" w:rsidRPr="00BE01F0" w:rsidRDefault="0066503B" w:rsidP="000C2DCE">
            <w:pPr>
              <w:pStyle w:val="Tabletextleft"/>
            </w:pPr>
            <w:r w:rsidRPr="00BE01F0">
              <w:t>0.0729</w:t>
            </w:r>
          </w:p>
        </w:tc>
        <w:tc>
          <w:tcPr>
            <w:tcW w:w="0" w:type="auto"/>
            <w:noWrap/>
            <w:hideMark/>
          </w:tcPr>
          <w:p w:rsidR="0066503B" w:rsidRPr="00BE01F0" w:rsidRDefault="0066503B" w:rsidP="000C2DCE">
            <w:pPr>
              <w:pStyle w:val="Tabletextleft"/>
            </w:pPr>
            <w:r w:rsidRPr="00BE01F0">
              <w:t>0.2169</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Lorne</w:t>
            </w:r>
          </w:p>
        </w:tc>
        <w:tc>
          <w:tcPr>
            <w:tcW w:w="0" w:type="auto"/>
            <w:noWrap/>
            <w:hideMark/>
          </w:tcPr>
          <w:p w:rsidR="0066503B" w:rsidRPr="00BE01F0" w:rsidRDefault="0066503B" w:rsidP="000C2DCE">
            <w:pPr>
              <w:pStyle w:val="Tabletextleft"/>
            </w:pPr>
            <w:r w:rsidRPr="00BE01F0">
              <w:t>143.98</w:t>
            </w:r>
          </w:p>
        </w:tc>
        <w:tc>
          <w:tcPr>
            <w:tcW w:w="0" w:type="auto"/>
            <w:noWrap/>
            <w:hideMark/>
          </w:tcPr>
          <w:p w:rsidR="0066503B" w:rsidRPr="00BE01F0" w:rsidRDefault="0066503B" w:rsidP="000C2DCE">
            <w:pPr>
              <w:pStyle w:val="Tabletextleft"/>
            </w:pPr>
            <w:r w:rsidRPr="00BE01F0">
              <w:t>-38.53</w:t>
            </w:r>
          </w:p>
        </w:tc>
        <w:tc>
          <w:tcPr>
            <w:tcW w:w="0" w:type="auto"/>
            <w:noWrap/>
            <w:hideMark/>
          </w:tcPr>
          <w:p w:rsidR="0066503B" w:rsidRPr="00BE01F0" w:rsidRDefault="0066503B" w:rsidP="000C2DCE">
            <w:pPr>
              <w:pStyle w:val="Tabletextleft"/>
            </w:pPr>
            <w:r w:rsidRPr="00BE01F0">
              <w:t>0.0629</w:t>
            </w:r>
          </w:p>
        </w:tc>
        <w:tc>
          <w:tcPr>
            <w:tcW w:w="0" w:type="auto"/>
            <w:noWrap/>
            <w:hideMark/>
          </w:tcPr>
          <w:p w:rsidR="0066503B" w:rsidRPr="00BE01F0" w:rsidRDefault="0066503B" w:rsidP="000C2DCE">
            <w:pPr>
              <w:pStyle w:val="Tabletextleft"/>
            </w:pPr>
            <w:r w:rsidRPr="00BE01F0">
              <w:t>0.1709</w:t>
            </w:r>
          </w:p>
        </w:tc>
        <w:tc>
          <w:tcPr>
            <w:tcW w:w="0" w:type="auto"/>
            <w:noWrap/>
            <w:hideMark/>
          </w:tcPr>
          <w:p w:rsidR="0066503B" w:rsidRPr="00BE01F0" w:rsidRDefault="0066503B" w:rsidP="000C2DCE">
            <w:pPr>
              <w:pStyle w:val="Tabletextleft"/>
            </w:pPr>
            <w:r w:rsidRPr="00BE01F0">
              <w:t>Woomera</w:t>
            </w:r>
          </w:p>
        </w:tc>
        <w:tc>
          <w:tcPr>
            <w:tcW w:w="0" w:type="auto"/>
            <w:noWrap/>
            <w:hideMark/>
          </w:tcPr>
          <w:p w:rsidR="0066503B" w:rsidRPr="00BE01F0" w:rsidRDefault="0066503B" w:rsidP="000C2DCE">
            <w:pPr>
              <w:pStyle w:val="Tabletextleft"/>
            </w:pPr>
            <w:r w:rsidRPr="00BE01F0">
              <w:t>136.82</w:t>
            </w:r>
          </w:p>
        </w:tc>
        <w:tc>
          <w:tcPr>
            <w:tcW w:w="0" w:type="auto"/>
            <w:noWrap/>
            <w:hideMark/>
          </w:tcPr>
          <w:p w:rsidR="0066503B" w:rsidRPr="00BE01F0" w:rsidRDefault="0066503B" w:rsidP="000C2DCE">
            <w:pPr>
              <w:pStyle w:val="Tabletextleft"/>
            </w:pPr>
            <w:r w:rsidRPr="00BE01F0">
              <w:t>-31.22</w:t>
            </w:r>
          </w:p>
        </w:tc>
        <w:tc>
          <w:tcPr>
            <w:tcW w:w="0" w:type="auto"/>
            <w:noWrap/>
            <w:hideMark/>
          </w:tcPr>
          <w:p w:rsidR="0066503B" w:rsidRPr="00BE01F0" w:rsidRDefault="0066503B" w:rsidP="000C2DCE">
            <w:pPr>
              <w:pStyle w:val="Tabletextleft"/>
            </w:pPr>
            <w:r w:rsidRPr="00BE01F0">
              <w:t>0.0292</w:t>
            </w:r>
          </w:p>
        </w:tc>
        <w:tc>
          <w:tcPr>
            <w:tcW w:w="0" w:type="auto"/>
            <w:noWrap/>
            <w:hideMark/>
          </w:tcPr>
          <w:p w:rsidR="0066503B" w:rsidRPr="00BE01F0" w:rsidRDefault="0066503B" w:rsidP="000C2DCE">
            <w:pPr>
              <w:pStyle w:val="Tabletextleft"/>
            </w:pPr>
            <w:r w:rsidRPr="00BE01F0">
              <w:t>0.0929</w:t>
            </w:r>
          </w:p>
        </w:tc>
      </w:tr>
      <w:tr w:rsidR="0066503B" w:rsidRPr="0066503B" w:rsidTr="00573851">
        <w:trPr>
          <w:cnfStyle w:val="000000100000" w:firstRow="0" w:lastRow="0" w:firstColumn="0" w:lastColumn="0" w:oddVBand="0" w:evenVBand="0" w:oddHBand="1" w:evenHBand="0"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Mackay</w:t>
            </w:r>
          </w:p>
        </w:tc>
        <w:tc>
          <w:tcPr>
            <w:tcW w:w="0" w:type="auto"/>
            <w:noWrap/>
            <w:hideMark/>
          </w:tcPr>
          <w:p w:rsidR="0066503B" w:rsidRPr="00BE01F0" w:rsidRDefault="0066503B" w:rsidP="000C2DCE">
            <w:pPr>
              <w:pStyle w:val="Tabletextleft"/>
            </w:pPr>
            <w:r w:rsidRPr="00BE01F0">
              <w:t>149.16</w:t>
            </w:r>
          </w:p>
        </w:tc>
        <w:tc>
          <w:tcPr>
            <w:tcW w:w="0" w:type="auto"/>
            <w:noWrap/>
            <w:hideMark/>
          </w:tcPr>
          <w:p w:rsidR="0066503B" w:rsidRPr="00BE01F0" w:rsidRDefault="0066503B" w:rsidP="000C2DCE">
            <w:pPr>
              <w:pStyle w:val="Tabletextleft"/>
            </w:pPr>
            <w:r w:rsidRPr="00BE01F0">
              <w:t>-21.15</w:t>
            </w:r>
          </w:p>
        </w:tc>
        <w:tc>
          <w:tcPr>
            <w:tcW w:w="0" w:type="auto"/>
            <w:noWrap/>
            <w:hideMark/>
          </w:tcPr>
          <w:p w:rsidR="0066503B" w:rsidRPr="00BE01F0" w:rsidRDefault="0066503B" w:rsidP="000C2DCE">
            <w:pPr>
              <w:pStyle w:val="Tabletextleft"/>
            </w:pPr>
            <w:r w:rsidRPr="00BE01F0">
              <w:t>0.0214</w:t>
            </w:r>
          </w:p>
        </w:tc>
        <w:tc>
          <w:tcPr>
            <w:tcW w:w="0" w:type="auto"/>
            <w:noWrap/>
            <w:hideMark/>
          </w:tcPr>
          <w:p w:rsidR="0066503B" w:rsidRPr="00BE01F0" w:rsidRDefault="0066503B" w:rsidP="000C2DCE">
            <w:pPr>
              <w:pStyle w:val="Tabletextleft"/>
            </w:pPr>
            <w:r w:rsidRPr="00BE01F0">
              <w:t>0.0664</w:t>
            </w:r>
          </w:p>
        </w:tc>
        <w:tc>
          <w:tcPr>
            <w:tcW w:w="0" w:type="auto"/>
            <w:noWrap/>
            <w:hideMark/>
          </w:tcPr>
          <w:p w:rsidR="0066503B" w:rsidRPr="00BE01F0" w:rsidRDefault="0066503B" w:rsidP="000C2DCE">
            <w:pPr>
              <w:pStyle w:val="Tabletextleft"/>
            </w:pPr>
            <w:r w:rsidRPr="00BE01F0">
              <w:t>Wyndham</w:t>
            </w:r>
          </w:p>
        </w:tc>
        <w:tc>
          <w:tcPr>
            <w:tcW w:w="0" w:type="auto"/>
            <w:noWrap/>
            <w:hideMark/>
          </w:tcPr>
          <w:p w:rsidR="0066503B" w:rsidRPr="00BE01F0" w:rsidRDefault="0066503B" w:rsidP="000C2DCE">
            <w:pPr>
              <w:pStyle w:val="Tabletextleft"/>
            </w:pPr>
            <w:r w:rsidRPr="00BE01F0">
              <w:t>128.11</w:t>
            </w:r>
          </w:p>
        </w:tc>
        <w:tc>
          <w:tcPr>
            <w:tcW w:w="0" w:type="auto"/>
            <w:noWrap/>
            <w:hideMark/>
          </w:tcPr>
          <w:p w:rsidR="0066503B" w:rsidRPr="00BE01F0" w:rsidRDefault="0066503B" w:rsidP="000C2DCE">
            <w:pPr>
              <w:pStyle w:val="Tabletextleft"/>
            </w:pPr>
            <w:r w:rsidRPr="00BE01F0">
              <w:t>-15.48</w:t>
            </w:r>
          </w:p>
        </w:tc>
        <w:tc>
          <w:tcPr>
            <w:tcW w:w="0" w:type="auto"/>
            <w:noWrap/>
            <w:hideMark/>
          </w:tcPr>
          <w:p w:rsidR="0066503B" w:rsidRPr="00BE01F0" w:rsidRDefault="0066503B" w:rsidP="000C2DCE">
            <w:pPr>
              <w:pStyle w:val="Tabletextleft"/>
            </w:pPr>
            <w:r w:rsidRPr="00BE01F0">
              <w:t>0.0315</w:t>
            </w:r>
          </w:p>
        </w:tc>
        <w:tc>
          <w:tcPr>
            <w:tcW w:w="0" w:type="auto"/>
            <w:noWrap/>
            <w:hideMark/>
          </w:tcPr>
          <w:p w:rsidR="0066503B" w:rsidRPr="00BE01F0" w:rsidRDefault="0066503B" w:rsidP="000C2DCE">
            <w:pPr>
              <w:pStyle w:val="Tabletextleft"/>
            </w:pPr>
            <w:r w:rsidRPr="00BE01F0">
              <w:t>0.1000</w:t>
            </w:r>
          </w:p>
        </w:tc>
      </w:tr>
      <w:tr w:rsidR="0066503B" w:rsidRPr="0066503B" w:rsidTr="00573851">
        <w:trPr>
          <w:cnfStyle w:val="000000010000" w:firstRow="0" w:lastRow="0" w:firstColumn="0" w:lastColumn="0" w:oddVBand="0" w:evenVBand="0" w:oddHBand="0" w:evenHBand="1" w:firstRowFirstColumn="0" w:firstRowLastColumn="0" w:lastRowFirstColumn="0" w:lastRowLastColumn="0"/>
          <w:trHeight w:val="57"/>
        </w:trPr>
        <w:tc>
          <w:tcPr>
            <w:tcW w:w="0" w:type="auto"/>
            <w:noWrap/>
            <w:hideMark/>
          </w:tcPr>
          <w:p w:rsidR="0066503B" w:rsidRPr="00BE01F0" w:rsidRDefault="0066503B" w:rsidP="000C2DCE">
            <w:pPr>
              <w:pStyle w:val="Tabletextleft"/>
            </w:pPr>
            <w:r w:rsidRPr="00BE01F0">
              <w:t>Maitland</w:t>
            </w:r>
          </w:p>
        </w:tc>
        <w:tc>
          <w:tcPr>
            <w:tcW w:w="0" w:type="auto"/>
            <w:noWrap/>
            <w:hideMark/>
          </w:tcPr>
          <w:p w:rsidR="0066503B" w:rsidRPr="00BE01F0" w:rsidRDefault="0066503B" w:rsidP="000C2DCE">
            <w:pPr>
              <w:pStyle w:val="Tabletextleft"/>
            </w:pPr>
            <w:r w:rsidRPr="00BE01F0">
              <w:t>151.55</w:t>
            </w:r>
          </w:p>
        </w:tc>
        <w:tc>
          <w:tcPr>
            <w:tcW w:w="0" w:type="auto"/>
            <w:noWrap/>
            <w:hideMark/>
          </w:tcPr>
          <w:p w:rsidR="0066503B" w:rsidRPr="00BE01F0" w:rsidRDefault="0066503B" w:rsidP="000C2DCE">
            <w:pPr>
              <w:pStyle w:val="Tabletextleft"/>
            </w:pPr>
            <w:r w:rsidRPr="00BE01F0">
              <w:t>-32.73</w:t>
            </w:r>
          </w:p>
        </w:tc>
        <w:tc>
          <w:tcPr>
            <w:tcW w:w="0" w:type="auto"/>
            <w:noWrap/>
            <w:hideMark/>
          </w:tcPr>
          <w:p w:rsidR="0066503B" w:rsidRPr="00BE01F0" w:rsidRDefault="0066503B" w:rsidP="000C2DCE">
            <w:pPr>
              <w:pStyle w:val="Tabletextleft"/>
            </w:pPr>
            <w:r w:rsidRPr="00BE01F0">
              <w:t>0.0549</w:t>
            </w:r>
          </w:p>
        </w:tc>
        <w:tc>
          <w:tcPr>
            <w:tcW w:w="0" w:type="auto"/>
            <w:noWrap/>
            <w:hideMark/>
          </w:tcPr>
          <w:p w:rsidR="0066503B" w:rsidRPr="00BE01F0" w:rsidRDefault="0066503B" w:rsidP="000C2DCE">
            <w:pPr>
              <w:pStyle w:val="Tabletextleft"/>
            </w:pPr>
            <w:r w:rsidRPr="00BE01F0">
              <w:t>0.1584</w:t>
            </w:r>
          </w:p>
        </w:tc>
        <w:tc>
          <w:tcPr>
            <w:tcW w:w="0" w:type="auto"/>
            <w:noWrap/>
            <w:hideMark/>
          </w:tcPr>
          <w:p w:rsidR="0066503B" w:rsidRPr="00BE01F0" w:rsidRDefault="0066503B" w:rsidP="000C2DCE">
            <w:pPr>
              <w:pStyle w:val="Tabletextleft"/>
            </w:pPr>
            <w:r w:rsidRPr="00BE01F0">
              <w:t>York</w:t>
            </w:r>
          </w:p>
        </w:tc>
        <w:tc>
          <w:tcPr>
            <w:tcW w:w="0" w:type="auto"/>
            <w:noWrap/>
            <w:hideMark/>
          </w:tcPr>
          <w:p w:rsidR="0066503B" w:rsidRPr="00BE01F0" w:rsidRDefault="0066503B" w:rsidP="000C2DCE">
            <w:pPr>
              <w:pStyle w:val="Tabletextleft"/>
            </w:pPr>
            <w:r w:rsidRPr="00BE01F0">
              <w:t>116.76</w:t>
            </w:r>
          </w:p>
        </w:tc>
        <w:tc>
          <w:tcPr>
            <w:tcW w:w="0" w:type="auto"/>
            <w:noWrap/>
            <w:hideMark/>
          </w:tcPr>
          <w:p w:rsidR="0066503B" w:rsidRPr="00BE01F0" w:rsidRDefault="0066503B" w:rsidP="000C2DCE">
            <w:pPr>
              <w:pStyle w:val="Tabletextleft"/>
            </w:pPr>
            <w:r w:rsidRPr="00BE01F0">
              <w:t>-31.88</w:t>
            </w:r>
          </w:p>
        </w:tc>
        <w:tc>
          <w:tcPr>
            <w:tcW w:w="0" w:type="auto"/>
            <w:noWrap/>
            <w:hideMark/>
          </w:tcPr>
          <w:p w:rsidR="0066503B" w:rsidRPr="00BE01F0" w:rsidRDefault="0066503B" w:rsidP="000C2DCE">
            <w:pPr>
              <w:pStyle w:val="Tabletextleft"/>
            </w:pPr>
            <w:r w:rsidRPr="00BE01F0">
              <w:t>0.0977</w:t>
            </w:r>
          </w:p>
        </w:tc>
        <w:tc>
          <w:tcPr>
            <w:tcW w:w="0" w:type="auto"/>
            <w:noWrap/>
            <w:hideMark/>
          </w:tcPr>
          <w:p w:rsidR="0066503B" w:rsidRPr="00BE01F0" w:rsidRDefault="0066503B" w:rsidP="000C2DCE">
            <w:pPr>
              <w:pStyle w:val="Tabletextleft"/>
            </w:pPr>
            <w:r w:rsidRPr="00BE01F0">
              <w:t>0.2679</w:t>
            </w:r>
          </w:p>
        </w:tc>
      </w:tr>
    </w:tbl>
    <w:p w:rsidR="006D4695" w:rsidRPr="00FA6184" w:rsidRDefault="00FA6184" w:rsidP="00573851">
      <w:pPr>
        <w:pStyle w:val="Tabletitle"/>
      </w:pPr>
      <w:r>
        <w:br w:type="page"/>
      </w:r>
      <w:bookmarkStart w:id="56" w:name="_Ref372187123"/>
      <w:bookmarkStart w:id="57" w:name="_Toc371577693"/>
      <w:r w:rsidR="006D4695">
        <w:lastRenderedPageBreak/>
        <w:t xml:space="preserve">Table </w:t>
      </w:r>
      <w:r w:rsidR="006220B6">
        <w:fldChar w:fldCharType="begin"/>
      </w:r>
      <w:r w:rsidR="006220B6">
        <w:instrText xml:space="preserve"> SEQ Table \* ARABIC </w:instrText>
      </w:r>
      <w:r w:rsidR="006220B6">
        <w:fldChar w:fldCharType="separate"/>
      </w:r>
      <w:r w:rsidR="00552102">
        <w:rPr>
          <w:noProof/>
        </w:rPr>
        <w:t>4</w:t>
      </w:r>
      <w:r w:rsidR="006220B6">
        <w:rPr>
          <w:noProof/>
        </w:rPr>
        <w:fldChar w:fldCharType="end"/>
      </w:r>
      <w:bookmarkEnd w:id="56"/>
      <w:r w:rsidR="000C2DCE">
        <w:t xml:space="preserve"> </w:t>
      </w:r>
      <w:r w:rsidR="006D4695" w:rsidRPr="00201AF0">
        <w:t xml:space="preserve">The 0.0s SA </w:t>
      </w:r>
      <w:r w:rsidR="00766E87">
        <w:t xml:space="preserve">(PGA) </w:t>
      </w:r>
      <w:r w:rsidR="006D4695">
        <w:t xml:space="preserve">hazard </w:t>
      </w:r>
      <w:r w:rsidR="006D4695" w:rsidRPr="00201AF0">
        <w:t xml:space="preserve">value at 500 and 2500 year </w:t>
      </w:r>
      <w:r w:rsidR="006D4695">
        <w:t>recurrence interval</w:t>
      </w:r>
      <w:r w:rsidR="003E4C1E">
        <w:t>s</w:t>
      </w:r>
      <w:r w:rsidR="006D4695">
        <w:t xml:space="preserve"> for the </w:t>
      </w:r>
      <w:r w:rsidR="00361EF2">
        <w:t>l</w:t>
      </w:r>
      <w:r w:rsidR="006D4695">
        <w:t xml:space="preserve">ocations shown in </w:t>
      </w:r>
      <w:r w:rsidR="006D4695" w:rsidRPr="001932F2">
        <w:rPr>
          <w:rStyle w:val="Hyperlink"/>
        </w:rPr>
        <w:t xml:space="preserve">Figure </w:t>
      </w:r>
      <w:r w:rsidR="00A47DD1" w:rsidRPr="001932F2">
        <w:rPr>
          <w:rStyle w:val="Hyperlink"/>
        </w:rPr>
        <w:t>21</w:t>
      </w:r>
      <w:r w:rsidR="00A47DD1">
        <w:t xml:space="preserve"> and </w:t>
      </w:r>
      <w:r w:rsidR="00A47DD1" w:rsidRPr="001932F2">
        <w:rPr>
          <w:rStyle w:val="Hyperlink"/>
        </w:rPr>
        <w:t>22</w:t>
      </w:r>
      <w:r w:rsidR="00A47DD1">
        <w:t>.</w:t>
      </w:r>
      <w:bookmarkEnd w:id="57"/>
    </w:p>
    <w:tbl>
      <w:tblPr>
        <w:tblStyle w:val="TableGAHeaderRow"/>
        <w:tblW w:w="0" w:type="auto"/>
        <w:tblLook w:val="04A0" w:firstRow="1" w:lastRow="0" w:firstColumn="1" w:lastColumn="0" w:noHBand="0" w:noVBand="1"/>
        <w:tblDescription w:val="This table contains name, latitute, longitude and  0.0 s SA (PGA) hazard value at 500 and 2500 year recurrence intervals for26 locations that typify the range of hazard values in Australia. "/>
      </w:tblPr>
      <w:tblGrid>
        <w:gridCol w:w="944"/>
        <w:gridCol w:w="796"/>
        <w:gridCol w:w="858"/>
        <w:gridCol w:w="858"/>
        <w:gridCol w:w="859"/>
        <w:gridCol w:w="1378"/>
        <w:gridCol w:w="859"/>
        <w:gridCol w:w="859"/>
        <w:gridCol w:w="859"/>
        <w:gridCol w:w="859"/>
      </w:tblGrid>
      <w:tr w:rsidR="00563DD7" w:rsidRPr="00BE01F0" w:rsidTr="00B17F1C">
        <w:trPr>
          <w:cnfStyle w:val="100000000000" w:firstRow="1" w:lastRow="0" w:firstColumn="0" w:lastColumn="0" w:oddVBand="0" w:evenVBand="0" w:oddHBand="0" w:evenHBand="0" w:firstRowFirstColumn="0" w:firstRowLastColumn="0" w:lastRowFirstColumn="0" w:lastRowLastColumn="0"/>
          <w:cantSplit w:val="0"/>
          <w:trHeight w:val="255"/>
          <w:tblHeader/>
        </w:trPr>
        <w:tc>
          <w:tcPr>
            <w:tcW w:w="959" w:type="dxa"/>
            <w:noWrap/>
          </w:tcPr>
          <w:p w:rsidR="00563DD7" w:rsidRPr="00BE01F0" w:rsidRDefault="00563DD7" w:rsidP="005168A9">
            <w:pPr>
              <w:pStyle w:val="Tabletextleft"/>
            </w:pPr>
            <w:r w:rsidRPr="00BE01F0">
              <w:t>Location</w:t>
            </w:r>
          </w:p>
        </w:tc>
        <w:tc>
          <w:tcPr>
            <w:tcW w:w="809" w:type="dxa"/>
            <w:noWrap/>
          </w:tcPr>
          <w:p w:rsidR="00563DD7" w:rsidRPr="00BE01F0" w:rsidRDefault="00563DD7" w:rsidP="005168A9">
            <w:pPr>
              <w:pStyle w:val="Tabletextleft"/>
            </w:pPr>
            <w:r>
              <w:t>L</w:t>
            </w:r>
            <w:r w:rsidRPr="00BE01F0">
              <w:t>ong</w:t>
            </w:r>
            <w:r>
              <w:t>.</w:t>
            </w:r>
          </w:p>
        </w:tc>
        <w:tc>
          <w:tcPr>
            <w:tcW w:w="873" w:type="dxa"/>
            <w:noWrap/>
          </w:tcPr>
          <w:p w:rsidR="00563DD7" w:rsidRPr="00BE01F0" w:rsidRDefault="00563DD7" w:rsidP="005168A9">
            <w:pPr>
              <w:pStyle w:val="Tabletextleft"/>
            </w:pPr>
            <w:r>
              <w:t>L</w:t>
            </w:r>
            <w:r w:rsidRPr="00BE01F0">
              <w:t>at</w:t>
            </w:r>
            <w:r>
              <w:t>.</w:t>
            </w:r>
          </w:p>
        </w:tc>
        <w:tc>
          <w:tcPr>
            <w:tcW w:w="873" w:type="dxa"/>
            <w:noWrap/>
          </w:tcPr>
          <w:p w:rsidR="00563DD7" w:rsidRPr="005168A9" w:rsidRDefault="00563DD7" w:rsidP="005168A9">
            <w:pPr>
              <w:pStyle w:val="Tabletextleft"/>
            </w:pPr>
            <w:r w:rsidRPr="005168A9">
              <w:t xml:space="preserve">500 yr. </w:t>
            </w:r>
            <w:r w:rsidRPr="005168A9">
              <w:br/>
              <w:t>(g)</w:t>
            </w:r>
          </w:p>
        </w:tc>
        <w:tc>
          <w:tcPr>
            <w:tcW w:w="874" w:type="dxa"/>
            <w:noWrap/>
          </w:tcPr>
          <w:p w:rsidR="00563DD7" w:rsidRPr="005168A9" w:rsidRDefault="00563DD7" w:rsidP="005168A9">
            <w:pPr>
              <w:pStyle w:val="Tabletextleft"/>
            </w:pPr>
            <w:r w:rsidRPr="005168A9">
              <w:t>2500 yr.</w:t>
            </w:r>
            <w:r w:rsidRPr="005168A9">
              <w:br/>
              <w:t>(g)</w:t>
            </w:r>
          </w:p>
        </w:tc>
        <w:tc>
          <w:tcPr>
            <w:tcW w:w="1403" w:type="dxa"/>
            <w:noWrap/>
          </w:tcPr>
          <w:p w:rsidR="00563DD7" w:rsidRPr="00BE01F0" w:rsidRDefault="00563DD7" w:rsidP="005168A9">
            <w:pPr>
              <w:pStyle w:val="Tabletextleft"/>
            </w:pPr>
            <w:r w:rsidRPr="00BE01F0">
              <w:t>Location</w:t>
            </w:r>
          </w:p>
        </w:tc>
        <w:tc>
          <w:tcPr>
            <w:tcW w:w="874" w:type="dxa"/>
            <w:noWrap/>
          </w:tcPr>
          <w:p w:rsidR="00563DD7" w:rsidRPr="00BE01F0" w:rsidRDefault="00563DD7" w:rsidP="005168A9">
            <w:pPr>
              <w:pStyle w:val="Tabletextleft"/>
            </w:pPr>
            <w:r>
              <w:t>L</w:t>
            </w:r>
            <w:r w:rsidRPr="00BE01F0">
              <w:t>ong</w:t>
            </w:r>
            <w:r>
              <w:t>.</w:t>
            </w:r>
          </w:p>
        </w:tc>
        <w:tc>
          <w:tcPr>
            <w:tcW w:w="874" w:type="dxa"/>
            <w:noWrap/>
          </w:tcPr>
          <w:p w:rsidR="00563DD7" w:rsidRPr="00BE01F0" w:rsidRDefault="00563DD7" w:rsidP="005168A9">
            <w:pPr>
              <w:pStyle w:val="Tabletextleft"/>
            </w:pPr>
            <w:r>
              <w:t>L</w:t>
            </w:r>
            <w:r w:rsidRPr="00BE01F0">
              <w:t>at</w:t>
            </w:r>
            <w:r>
              <w:t>.</w:t>
            </w:r>
          </w:p>
        </w:tc>
        <w:tc>
          <w:tcPr>
            <w:tcW w:w="874" w:type="dxa"/>
            <w:noWrap/>
          </w:tcPr>
          <w:p w:rsidR="00563DD7" w:rsidRPr="005168A9" w:rsidRDefault="00563DD7" w:rsidP="005168A9">
            <w:pPr>
              <w:pStyle w:val="Tabletextleft"/>
            </w:pPr>
            <w:r w:rsidRPr="005168A9">
              <w:t xml:space="preserve">500 yr. </w:t>
            </w:r>
            <w:r w:rsidRPr="005168A9">
              <w:br/>
              <w:t>(g)</w:t>
            </w:r>
          </w:p>
        </w:tc>
        <w:tc>
          <w:tcPr>
            <w:tcW w:w="874" w:type="dxa"/>
            <w:noWrap/>
          </w:tcPr>
          <w:p w:rsidR="00563DD7" w:rsidRPr="005168A9" w:rsidRDefault="00563DD7" w:rsidP="005168A9">
            <w:pPr>
              <w:pStyle w:val="Tabletextleft"/>
            </w:pPr>
            <w:r w:rsidRPr="005168A9">
              <w:t>2500 yr.</w:t>
            </w:r>
            <w:r w:rsidRPr="005168A9">
              <w:br/>
              <w:t>(g)</w:t>
            </w:r>
          </w:p>
        </w:tc>
      </w:tr>
      <w:tr w:rsidR="00BE01F0" w:rsidRPr="00BE01F0" w:rsidTr="00B17F1C">
        <w:trPr>
          <w:cnfStyle w:val="000000100000" w:firstRow="0" w:lastRow="0" w:firstColumn="0" w:lastColumn="0" w:oddVBand="0" w:evenVBand="0" w:oddHBand="1" w:evenHBand="0" w:firstRowFirstColumn="0" w:firstRowLastColumn="0" w:lastRowFirstColumn="0" w:lastRowLastColumn="0"/>
          <w:trHeight w:val="255"/>
        </w:trPr>
        <w:tc>
          <w:tcPr>
            <w:tcW w:w="959" w:type="dxa"/>
            <w:noWrap/>
            <w:hideMark/>
          </w:tcPr>
          <w:p w:rsidR="00BE01F0" w:rsidRPr="00BE01F0" w:rsidRDefault="00BE01F0" w:rsidP="005168A9">
            <w:pPr>
              <w:pStyle w:val="Tabletextleft"/>
            </w:pPr>
            <w:r w:rsidRPr="00BE01F0">
              <w:t>A</w:t>
            </w:r>
          </w:p>
        </w:tc>
        <w:tc>
          <w:tcPr>
            <w:tcW w:w="809" w:type="dxa"/>
            <w:noWrap/>
            <w:hideMark/>
          </w:tcPr>
          <w:p w:rsidR="00BE01F0" w:rsidRPr="00BE01F0" w:rsidRDefault="00BE01F0" w:rsidP="005168A9">
            <w:pPr>
              <w:pStyle w:val="Tabletextleft"/>
            </w:pPr>
            <w:r w:rsidRPr="00BE01F0">
              <w:t>145.6</w:t>
            </w:r>
          </w:p>
        </w:tc>
        <w:tc>
          <w:tcPr>
            <w:tcW w:w="873" w:type="dxa"/>
            <w:noWrap/>
            <w:hideMark/>
          </w:tcPr>
          <w:p w:rsidR="00BE01F0" w:rsidRPr="00BE01F0" w:rsidRDefault="00BE01F0" w:rsidP="005168A9">
            <w:pPr>
              <w:pStyle w:val="Tabletextleft"/>
            </w:pPr>
            <w:r w:rsidRPr="00BE01F0">
              <w:t>-17</w:t>
            </w:r>
          </w:p>
        </w:tc>
        <w:tc>
          <w:tcPr>
            <w:tcW w:w="873" w:type="dxa"/>
            <w:noWrap/>
            <w:hideMark/>
          </w:tcPr>
          <w:p w:rsidR="00BE01F0" w:rsidRPr="00BE01F0" w:rsidRDefault="00BE01F0" w:rsidP="005168A9">
            <w:pPr>
              <w:pStyle w:val="Tabletextleft"/>
            </w:pPr>
            <w:r w:rsidRPr="00BE01F0">
              <w:t>0.0330</w:t>
            </w:r>
          </w:p>
        </w:tc>
        <w:tc>
          <w:tcPr>
            <w:tcW w:w="874" w:type="dxa"/>
            <w:noWrap/>
            <w:hideMark/>
          </w:tcPr>
          <w:p w:rsidR="00BE01F0" w:rsidRPr="00BE01F0" w:rsidRDefault="00BE01F0" w:rsidP="005168A9">
            <w:pPr>
              <w:pStyle w:val="Tabletextleft"/>
            </w:pPr>
            <w:r w:rsidRPr="00BE01F0">
              <w:t>0.0959</w:t>
            </w:r>
          </w:p>
        </w:tc>
        <w:tc>
          <w:tcPr>
            <w:tcW w:w="1403" w:type="dxa"/>
            <w:noWrap/>
            <w:hideMark/>
          </w:tcPr>
          <w:p w:rsidR="00BE01F0" w:rsidRPr="00BE01F0" w:rsidRDefault="00BE01F0" w:rsidP="005168A9">
            <w:pPr>
              <w:pStyle w:val="Tabletextleft"/>
            </w:pPr>
            <w:r w:rsidRPr="00BE01F0">
              <w:t>N</w:t>
            </w:r>
          </w:p>
        </w:tc>
        <w:tc>
          <w:tcPr>
            <w:tcW w:w="874" w:type="dxa"/>
            <w:noWrap/>
            <w:hideMark/>
          </w:tcPr>
          <w:p w:rsidR="00BE01F0" w:rsidRPr="00BE01F0" w:rsidRDefault="00BE01F0" w:rsidP="005168A9">
            <w:pPr>
              <w:pStyle w:val="Tabletextleft"/>
            </w:pPr>
            <w:r w:rsidRPr="00BE01F0">
              <w:t>136.5</w:t>
            </w:r>
          </w:p>
        </w:tc>
        <w:tc>
          <w:tcPr>
            <w:tcW w:w="874" w:type="dxa"/>
            <w:noWrap/>
            <w:hideMark/>
          </w:tcPr>
          <w:p w:rsidR="00BE01F0" w:rsidRPr="00BE01F0" w:rsidRDefault="00BE01F0" w:rsidP="005168A9">
            <w:pPr>
              <w:pStyle w:val="Tabletextleft"/>
            </w:pPr>
            <w:r w:rsidRPr="00BE01F0">
              <w:t>-28.6</w:t>
            </w:r>
          </w:p>
        </w:tc>
        <w:tc>
          <w:tcPr>
            <w:tcW w:w="874" w:type="dxa"/>
            <w:noWrap/>
            <w:hideMark/>
          </w:tcPr>
          <w:p w:rsidR="00BE01F0" w:rsidRPr="00BE01F0" w:rsidRDefault="00BE01F0" w:rsidP="005168A9">
            <w:pPr>
              <w:pStyle w:val="Tabletextleft"/>
            </w:pPr>
            <w:r w:rsidRPr="00BE01F0">
              <w:t>0.0334</w:t>
            </w:r>
          </w:p>
        </w:tc>
        <w:tc>
          <w:tcPr>
            <w:tcW w:w="874" w:type="dxa"/>
            <w:noWrap/>
            <w:hideMark/>
          </w:tcPr>
          <w:p w:rsidR="00BE01F0" w:rsidRPr="00BE01F0" w:rsidRDefault="00BE01F0" w:rsidP="005168A9">
            <w:pPr>
              <w:pStyle w:val="Tabletextleft"/>
            </w:pPr>
            <w:r w:rsidRPr="00BE01F0">
              <w:t>0.1094</w:t>
            </w:r>
          </w:p>
        </w:tc>
      </w:tr>
      <w:tr w:rsidR="00BE01F0" w:rsidRPr="00BE01F0" w:rsidTr="00B17F1C">
        <w:trPr>
          <w:cnfStyle w:val="000000010000" w:firstRow="0" w:lastRow="0" w:firstColumn="0" w:lastColumn="0" w:oddVBand="0" w:evenVBand="0" w:oddHBand="0" w:evenHBand="1" w:firstRowFirstColumn="0" w:firstRowLastColumn="0" w:lastRowFirstColumn="0" w:lastRowLastColumn="0"/>
          <w:trHeight w:val="255"/>
        </w:trPr>
        <w:tc>
          <w:tcPr>
            <w:tcW w:w="959" w:type="dxa"/>
            <w:noWrap/>
            <w:hideMark/>
          </w:tcPr>
          <w:p w:rsidR="00BE01F0" w:rsidRPr="00BE01F0" w:rsidRDefault="00BE01F0" w:rsidP="005168A9">
            <w:pPr>
              <w:pStyle w:val="Tabletextleft"/>
            </w:pPr>
            <w:r w:rsidRPr="00BE01F0">
              <w:t>B</w:t>
            </w:r>
          </w:p>
        </w:tc>
        <w:tc>
          <w:tcPr>
            <w:tcW w:w="809" w:type="dxa"/>
            <w:noWrap/>
            <w:hideMark/>
          </w:tcPr>
          <w:p w:rsidR="00BE01F0" w:rsidRPr="00BE01F0" w:rsidRDefault="00BE01F0" w:rsidP="005168A9">
            <w:pPr>
              <w:pStyle w:val="Tabletextleft"/>
            </w:pPr>
            <w:r w:rsidRPr="00BE01F0">
              <w:t>149</w:t>
            </w:r>
          </w:p>
        </w:tc>
        <w:tc>
          <w:tcPr>
            <w:tcW w:w="873" w:type="dxa"/>
            <w:noWrap/>
            <w:hideMark/>
          </w:tcPr>
          <w:p w:rsidR="00BE01F0" w:rsidRPr="00BE01F0" w:rsidRDefault="00BE01F0" w:rsidP="005168A9">
            <w:pPr>
              <w:pStyle w:val="Tabletextleft"/>
            </w:pPr>
            <w:r w:rsidRPr="00BE01F0">
              <w:t>-21.2</w:t>
            </w:r>
          </w:p>
        </w:tc>
        <w:tc>
          <w:tcPr>
            <w:tcW w:w="873" w:type="dxa"/>
            <w:noWrap/>
            <w:hideMark/>
          </w:tcPr>
          <w:p w:rsidR="00BE01F0" w:rsidRPr="00BE01F0" w:rsidRDefault="00BE01F0" w:rsidP="005168A9">
            <w:pPr>
              <w:pStyle w:val="Tabletextleft"/>
            </w:pPr>
            <w:r w:rsidRPr="00BE01F0">
              <w:t>0.0213</w:t>
            </w:r>
          </w:p>
        </w:tc>
        <w:tc>
          <w:tcPr>
            <w:tcW w:w="874" w:type="dxa"/>
            <w:noWrap/>
            <w:hideMark/>
          </w:tcPr>
          <w:p w:rsidR="00BE01F0" w:rsidRPr="00BE01F0" w:rsidRDefault="00BE01F0" w:rsidP="005168A9">
            <w:pPr>
              <w:pStyle w:val="Tabletextleft"/>
            </w:pPr>
            <w:r w:rsidRPr="00BE01F0">
              <w:t>0.0664</w:t>
            </w:r>
          </w:p>
        </w:tc>
        <w:tc>
          <w:tcPr>
            <w:tcW w:w="1403" w:type="dxa"/>
            <w:noWrap/>
            <w:hideMark/>
          </w:tcPr>
          <w:p w:rsidR="00BE01F0" w:rsidRPr="00BE01F0" w:rsidRDefault="00BE01F0" w:rsidP="005168A9">
            <w:pPr>
              <w:pStyle w:val="Tabletextleft"/>
            </w:pPr>
            <w:r w:rsidRPr="00BE01F0">
              <w:t>O</w:t>
            </w:r>
          </w:p>
        </w:tc>
        <w:tc>
          <w:tcPr>
            <w:tcW w:w="874" w:type="dxa"/>
            <w:noWrap/>
            <w:hideMark/>
          </w:tcPr>
          <w:p w:rsidR="00BE01F0" w:rsidRPr="00BE01F0" w:rsidRDefault="00BE01F0" w:rsidP="005168A9">
            <w:pPr>
              <w:pStyle w:val="Tabletextleft"/>
            </w:pPr>
            <w:r w:rsidRPr="00BE01F0">
              <w:t>133</w:t>
            </w:r>
          </w:p>
        </w:tc>
        <w:tc>
          <w:tcPr>
            <w:tcW w:w="874" w:type="dxa"/>
            <w:noWrap/>
            <w:hideMark/>
          </w:tcPr>
          <w:p w:rsidR="00BE01F0" w:rsidRPr="00BE01F0" w:rsidRDefault="00BE01F0" w:rsidP="005168A9">
            <w:pPr>
              <w:pStyle w:val="Tabletextleft"/>
            </w:pPr>
            <w:r w:rsidRPr="00BE01F0">
              <w:t>-30</w:t>
            </w:r>
          </w:p>
        </w:tc>
        <w:tc>
          <w:tcPr>
            <w:tcW w:w="874" w:type="dxa"/>
            <w:noWrap/>
            <w:hideMark/>
          </w:tcPr>
          <w:p w:rsidR="00BE01F0" w:rsidRPr="00BE01F0" w:rsidRDefault="00BE01F0" w:rsidP="005168A9">
            <w:pPr>
              <w:pStyle w:val="Tabletextleft"/>
            </w:pPr>
            <w:r w:rsidRPr="00BE01F0">
              <w:t>0.0271</w:t>
            </w:r>
          </w:p>
        </w:tc>
        <w:tc>
          <w:tcPr>
            <w:tcW w:w="874" w:type="dxa"/>
            <w:noWrap/>
            <w:hideMark/>
          </w:tcPr>
          <w:p w:rsidR="00BE01F0" w:rsidRPr="00BE01F0" w:rsidRDefault="00BE01F0" w:rsidP="005168A9">
            <w:pPr>
              <w:pStyle w:val="Tabletextleft"/>
            </w:pPr>
            <w:r w:rsidRPr="00BE01F0">
              <w:t>0.0915</w:t>
            </w:r>
          </w:p>
        </w:tc>
      </w:tr>
      <w:tr w:rsidR="00BE01F0" w:rsidRPr="00BE01F0" w:rsidTr="00B17F1C">
        <w:trPr>
          <w:cnfStyle w:val="000000100000" w:firstRow="0" w:lastRow="0" w:firstColumn="0" w:lastColumn="0" w:oddVBand="0" w:evenVBand="0" w:oddHBand="1" w:evenHBand="0" w:firstRowFirstColumn="0" w:firstRowLastColumn="0" w:lastRowFirstColumn="0" w:lastRowLastColumn="0"/>
          <w:trHeight w:val="255"/>
        </w:trPr>
        <w:tc>
          <w:tcPr>
            <w:tcW w:w="959" w:type="dxa"/>
            <w:noWrap/>
            <w:hideMark/>
          </w:tcPr>
          <w:p w:rsidR="00BE01F0" w:rsidRPr="00BE01F0" w:rsidRDefault="00BE01F0" w:rsidP="005168A9">
            <w:pPr>
              <w:pStyle w:val="Tabletextleft"/>
            </w:pPr>
            <w:r w:rsidRPr="00BE01F0">
              <w:t>C</w:t>
            </w:r>
          </w:p>
        </w:tc>
        <w:tc>
          <w:tcPr>
            <w:tcW w:w="809" w:type="dxa"/>
            <w:noWrap/>
            <w:hideMark/>
          </w:tcPr>
          <w:p w:rsidR="00BE01F0" w:rsidRPr="00BE01F0" w:rsidRDefault="00BE01F0" w:rsidP="005168A9">
            <w:pPr>
              <w:pStyle w:val="Tabletextleft"/>
            </w:pPr>
            <w:r w:rsidRPr="00BE01F0">
              <w:t>145</w:t>
            </w:r>
          </w:p>
        </w:tc>
        <w:tc>
          <w:tcPr>
            <w:tcW w:w="873" w:type="dxa"/>
            <w:noWrap/>
            <w:hideMark/>
          </w:tcPr>
          <w:p w:rsidR="00BE01F0" w:rsidRPr="00BE01F0" w:rsidRDefault="00BE01F0" w:rsidP="005168A9">
            <w:pPr>
              <w:pStyle w:val="Tabletextleft"/>
            </w:pPr>
            <w:r w:rsidRPr="00BE01F0">
              <w:t>-26</w:t>
            </w:r>
          </w:p>
        </w:tc>
        <w:tc>
          <w:tcPr>
            <w:tcW w:w="873" w:type="dxa"/>
            <w:noWrap/>
            <w:hideMark/>
          </w:tcPr>
          <w:p w:rsidR="00BE01F0" w:rsidRPr="00BE01F0" w:rsidRDefault="00BE01F0" w:rsidP="005168A9">
            <w:pPr>
              <w:pStyle w:val="Tabletextleft"/>
            </w:pPr>
            <w:r w:rsidRPr="00BE01F0">
              <w:t>0.0196</w:t>
            </w:r>
          </w:p>
        </w:tc>
        <w:tc>
          <w:tcPr>
            <w:tcW w:w="874" w:type="dxa"/>
            <w:noWrap/>
            <w:hideMark/>
          </w:tcPr>
          <w:p w:rsidR="00BE01F0" w:rsidRPr="00BE01F0" w:rsidRDefault="00BE01F0" w:rsidP="005168A9">
            <w:pPr>
              <w:pStyle w:val="Tabletextleft"/>
            </w:pPr>
            <w:r w:rsidRPr="00BE01F0">
              <w:t>0.0606</w:t>
            </w:r>
          </w:p>
        </w:tc>
        <w:tc>
          <w:tcPr>
            <w:tcW w:w="1403" w:type="dxa"/>
            <w:noWrap/>
            <w:hideMark/>
          </w:tcPr>
          <w:p w:rsidR="00BE01F0" w:rsidRPr="00BE01F0" w:rsidRDefault="00BE01F0" w:rsidP="005168A9">
            <w:pPr>
              <w:pStyle w:val="Tabletextleft"/>
            </w:pPr>
            <w:r w:rsidRPr="00BE01F0">
              <w:t>P</w:t>
            </w:r>
          </w:p>
        </w:tc>
        <w:tc>
          <w:tcPr>
            <w:tcW w:w="874" w:type="dxa"/>
            <w:noWrap/>
            <w:hideMark/>
          </w:tcPr>
          <w:p w:rsidR="00BE01F0" w:rsidRPr="00BE01F0" w:rsidRDefault="00BE01F0" w:rsidP="005168A9">
            <w:pPr>
              <w:pStyle w:val="Tabletextleft"/>
            </w:pPr>
            <w:r w:rsidRPr="00BE01F0">
              <w:t>129</w:t>
            </w:r>
          </w:p>
        </w:tc>
        <w:tc>
          <w:tcPr>
            <w:tcW w:w="874" w:type="dxa"/>
            <w:noWrap/>
            <w:hideMark/>
          </w:tcPr>
          <w:p w:rsidR="00BE01F0" w:rsidRPr="00BE01F0" w:rsidRDefault="00BE01F0" w:rsidP="005168A9">
            <w:pPr>
              <w:pStyle w:val="Tabletextleft"/>
            </w:pPr>
            <w:r w:rsidRPr="00BE01F0">
              <w:t>-22</w:t>
            </w:r>
          </w:p>
        </w:tc>
        <w:tc>
          <w:tcPr>
            <w:tcW w:w="874" w:type="dxa"/>
            <w:noWrap/>
            <w:hideMark/>
          </w:tcPr>
          <w:p w:rsidR="00BE01F0" w:rsidRPr="00BE01F0" w:rsidRDefault="00BE01F0" w:rsidP="005168A9">
            <w:pPr>
              <w:pStyle w:val="Tabletextleft"/>
            </w:pPr>
            <w:r w:rsidRPr="00BE01F0">
              <w:t>0.0599</w:t>
            </w:r>
          </w:p>
        </w:tc>
        <w:tc>
          <w:tcPr>
            <w:tcW w:w="874" w:type="dxa"/>
            <w:noWrap/>
            <w:hideMark/>
          </w:tcPr>
          <w:p w:rsidR="00BE01F0" w:rsidRPr="00BE01F0" w:rsidRDefault="00BE01F0" w:rsidP="005168A9">
            <w:pPr>
              <w:pStyle w:val="Tabletextleft"/>
            </w:pPr>
            <w:r w:rsidRPr="00BE01F0">
              <w:t>0.1919</w:t>
            </w:r>
          </w:p>
        </w:tc>
      </w:tr>
      <w:tr w:rsidR="00BE01F0" w:rsidRPr="00BE01F0" w:rsidTr="00B17F1C">
        <w:trPr>
          <w:cnfStyle w:val="000000010000" w:firstRow="0" w:lastRow="0" w:firstColumn="0" w:lastColumn="0" w:oddVBand="0" w:evenVBand="0" w:oddHBand="0" w:evenHBand="1" w:firstRowFirstColumn="0" w:firstRowLastColumn="0" w:lastRowFirstColumn="0" w:lastRowLastColumn="0"/>
          <w:trHeight w:val="255"/>
        </w:trPr>
        <w:tc>
          <w:tcPr>
            <w:tcW w:w="959" w:type="dxa"/>
            <w:noWrap/>
            <w:hideMark/>
          </w:tcPr>
          <w:p w:rsidR="00BE01F0" w:rsidRPr="00BE01F0" w:rsidRDefault="00BE01F0" w:rsidP="005168A9">
            <w:pPr>
              <w:pStyle w:val="Tabletextleft"/>
            </w:pPr>
            <w:r w:rsidRPr="00BE01F0">
              <w:t>D</w:t>
            </w:r>
          </w:p>
        </w:tc>
        <w:tc>
          <w:tcPr>
            <w:tcW w:w="809" w:type="dxa"/>
            <w:noWrap/>
            <w:hideMark/>
          </w:tcPr>
          <w:p w:rsidR="00BE01F0" w:rsidRPr="00BE01F0" w:rsidRDefault="00BE01F0" w:rsidP="005168A9">
            <w:pPr>
              <w:pStyle w:val="Tabletextleft"/>
            </w:pPr>
            <w:r w:rsidRPr="00BE01F0">
              <w:t>152.3</w:t>
            </w:r>
          </w:p>
        </w:tc>
        <w:tc>
          <w:tcPr>
            <w:tcW w:w="873" w:type="dxa"/>
            <w:noWrap/>
            <w:hideMark/>
          </w:tcPr>
          <w:p w:rsidR="00BE01F0" w:rsidRPr="00BE01F0" w:rsidRDefault="00BE01F0" w:rsidP="005168A9">
            <w:pPr>
              <w:pStyle w:val="Tabletextleft"/>
            </w:pPr>
            <w:r w:rsidRPr="00BE01F0">
              <w:t>-25.2</w:t>
            </w:r>
          </w:p>
        </w:tc>
        <w:tc>
          <w:tcPr>
            <w:tcW w:w="873" w:type="dxa"/>
            <w:noWrap/>
            <w:hideMark/>
          </w:tcPr>
          <w:p w:rsidR="00BE01F0" w:rsidRPr="00BE01F0" w:rsidRDefault="00BE01F0" w:rsidP="005168A9">
            <w:pPr>
              <w:pStyle w:val="Tabletextleft"/>
            </w:pPr>
            <w:r w:rsidRPr="00BE01F0">
              <w:t>0.0565</w:t>
            </w:r>
          </w:p>
        </w:tc>
        <w:tc>
          <w:tcPr>
            <w:tcW w:w="874" w:type="dxa"/>
            <w:noWrap/>
            <w:hideMark/>
          </w:tcPr>
          <w:p w:rsidR="00BE01F0" w:rsidRPr="00BE01F0" w:rsidRDefault="00BE01F0" w:rsidP="005168A9">
            <w:pPr>
              <w:pStyle w:val="Tabletextleft"/>
            </w:pPr>
            <w:r w:rsidRPr="00BE01F0">
              <w:t>0.1580</w:t>
            </w:r>
          </w:p>
        </w:tc>
        <w:tc>
          <w:tcPr>
            <w:tcW w:w="1403" w:type="dxa"/>
            <w:noWrap/>
            <w:hideMark/>
          </w:tcPr>
          <w:p w:rsidR="00BE01F0" w:rsidRPr="00BE01F0" w:rsidRDefault="00BE01F0" w:rsidP="005168A9">
            <w:pPr>
              <w:pStyle w:val="Tabletextleft"/>
            </w:pPr>
            <w:r w:rsidRPr="00BE01F0">
              <w:t>Q</w:t>
            </w:r>
          </w:p>
        </w:tc>
        <w:tc>
          <w:tcPr>
            <w:tcW w:w="874" w:type="dxa"/>
            <w:noWrap/>
            <w:hideMark/>
          </w:tcPr>
          <w:p w:rsidR="00BE01F0" w:rsidRPr="00BE01F0" w:rsidRDefault="00BE01F0" w:rsidP="005168A9">
            <w:pPr>
              <w:pStyle w:val="Tabletextleft"/>
            </w:pPr>
            <w:r w:rsidRPr="00BE01F0">
              <w:t>124.4</w:t>
            </w:r>
          </w:p>
        </w:tc>
        <w:tc>
          <w:tcPr>
            <w:tcW w:w="874" w:type="dxa"/>
            <w:noWrap/>
            <w:hideMark/>
          </w:tcPr>
          <w:p w:rsidR="00BE01F0" w:rsidRPr="00BE01F0" w:rsidRDefault="00BE01F0" w:rsidP="005168A9">
            <w:pPr>
              <w:pStyle w:val="Tabletextleft"/>
            </w:pPr>
            <w:r w:rsidRPr="00BE01F0">
              <w:t>-29.6</w:t>
            </w:r>
          </w:p>
        </w:tc>
        <w:tc>
          <w:tcPr>
            <w:tcW w:w="874" w:type="dxa"/>
            <w:noWrap/>
            <w:hideMark/>
          </w:tcPr>
          <w:p w:rsidR="00BE01F0" w:rsidRPr="00BE01F0" w:rsidRDefault="00BE01F0" w:rsidP="005168A9">
            <w:pPr>
              <w:pStyle w:val="Tabletextleft"/>
            </w:pPr>
            <w:r w:rsidRPr="00BE01F0">
              <w:t>0.0719</w:t>
            </w:r>
          </w:p>
        </w:tc>
        <w:tc>
          <w:tcPr>
            <w:tcW w:w="874" w:type="dxa"/>
            <w:noWrap/>
            <w:hideMark/>
          </w:tcPr>
          <w:p w:rsidR="00BE01F0" w:rsidRPr="00BE01F0" w:rsidRDefault="00BE01F0" w:rsidP="005168A9">
            <w:pPr>
              <w:pStyle w:val="Tabletextleft"/>
            </w:pPr>
            <w:r w:rsidRPr="00BE01F0">
              <w:t>0.2274</w:t>
            </w:r>
          </w:p>
        </w:tc>
      </w:tr>
      <w:tr w:rsidR="00BE01F0" w:rsidRPr="00BE01F0" w:rsidTr="00B17F1C">
        <w:trPr>
          <w:cnfStyle w:val="000000100000" w:firstRow="0" w:lastRow="0" w:firstColumn="0" w:lastColumn="0" w:oddVBand="0" w:evenVBand="0" w:oddHBand="1" w:evenHBand="0" w:firstRowFirstColumn="0" w:firstRowLastColumn="0" w:lastRowFirstColumn="0" w:lastRowLastColumn="0"/>
          <w:trHeight w:val="255"/>
        </w:trPr>
        <w:tc>
          <w:tcPr>
            <w:tcW w:w="959" w:type="dxa"/>
            <w:noWrap/>
            <w:hideMark/>
          </w:tcPr>
          <w:p w:rsidR="00BE01F0" w:rsidRPr="00BE01F0" w:rsidRDefault="00BE01F0" w:rsidP="005168A9">
            <w:pPr>
              <w:pStyle w:val="Tabletextleft"/>
            </w:pPr>
            <w:r w:rsidRPr="00BE01F0">
              <w:t>E</w:t>
            </w:r>
          </w:p>
        </w:tc>
        <w:tc>
          <w:tcPr>
            <w:tcW w:w="809" w:type="dxa"/>
            <w:noWrap/>
            <w:hideMark/>
          </w:tcPr>
          <w:p w:rsidR="00BE01F0" w:rsidRPr="00BE01F0" w:rsidRDefault="00BE01F0" w:rsidP="005168A9">
            <w:pPr>
              <w:pStyle w:val="Tabletextleft"/>
            </w:pPr>
            <w:r w:rsidRPr="00BE01F0">
              <w:t>150.3</w:t>
            </w:r>
          </w:p>
        </w:tc>
        <w:tc>
          <w:tcPr>
            <w:tcW w:w="873" w:type="dxa"/>
            <w:noWrap/>
            <w:hideMark/>
          </w:tcPr>
          <w:p w:rsidR="00BE01F0" w:rsidRPr="00BE01F0" w:rsidRDefault="00BE01F0" w:rsidP="005168A9">
            <w:pPr>
              <w:pStyle w:val="Tabletextleft"/>
            </w:pPr>
            <w:r w:rsidRPr="00BE01F0">
              <w:t>-29.1</w:t>
            </w:r>
          </w:p>
        </w:tc>
        <w:tc>
          <w:tcPr>
            <w:tcW w:w="873" w:type="dxa"/>
            <w:noWrap/>
            <w:hideMark/>
          </w:tcPr>
          <w:p w:rsidR="00BE01F0" w:rsidRPr="00BE01F0" w:rsidRDefault="00BE01F0" w:rsidP="005168A9">
            <w:pPr>
              <w:pStyle w:val="Tabletextleft"/>
            </w:pPr>
            <w:r w:rsidRPr="00BE01F0">
              <w:t>0.0245</w:t>
            </w:r>
          </w:p>
        </w:tc>
        <w:tc>
          <w:tcPr>
            <w:tcW w:w="874" w:type="dxa"/>
            <w:noWrap/>
            <w:hideMark/>
          </w:tcPr>
          <w:p w:rsidR="00BE01F0" w:rsidRPr="00BE01F0" w:rsidRDefault="00BE01F0" w:rsidP="005168A9">
            <w:pPr>
              <w:pStyle w:val="Tabletextleft"/>
            </w:pPr>
            <w:r w:rsidRPr="00BE01F0">
              <w:t>0.0719</w:t>
            </w:r>
          </w:p>
        </w:tc>
        <w:tc>
          <w:tcPr>
            <w:tcW w:w="1403" w:type="dxa"/>
            <w:noWrap/>
            <w:hideMark/>
          </w:tcPr>
          <w:p w:rsidR="00BE01F0" w:rsidRPr="00BE01F0" w:rsidRDefault="00BE01F0" w:rsidP="005168A9">
            <w:pPr>
              <w:pStyle w:val="Tabletextleft"/>
            </w:pPr>
            <w:r w:rsidRPr="00BE01F0">
              <w:t>R</w:t>
            </w:r>
          </w:p>
        </w:tc>
        <w:tc>
          <w:tcPr>
            <w:tcW w:w="874" w:type="dxa"/>
            <w:noWrap/>
            <w:hideMark/>
          </w:tcPr>
          <w:p w:rsidR="00BE01F0" w:rsidRPr="00BE01F0" w:rsidRDefault="00BE01F0" w:rsidP="005168A9">
            <w:pPr>
              <w:pStyle w:val="Tabletextleft"/>
            </w:pPr>
            <w:r w:rsidRPr="00BE01F0">
              <w:t>117.5</w:t>
            </w:r>
          </w:p>
        </w:tc>
        <w:tc>
          <w:tcPr>
            <w:tcW w:w="874" w:type="dxa"/>
            <w:noWrap/>
            <w:hideMark/>
          </w:tcPr>
          <w:p w:rsidR="00BE01F0" w:rsidRPr="00BE01F0" w:rsidRDefault="00BE01F0" w:rsidP="005168A9">
            <w:pPr>
              <w:pStyle w:val="Tabletextleft"/>
            </w:pPr>
            <w:r w:rsidRPr="00BE01F0">
              <w:t>-32.5</w:t>
            </w:r>
          </w:p>
        </w:tc>
        <w:tc>
          <w:tcPr>
            <w:tcW w:w="874" w:type="dxa"/>
            <w:noWrap/>
            <w:hideMark/>
          </w:tcPr>
          <w:p w:rsidR="00BE01F0" w:rsidRPr="00BE01F0" w:rsidRDefault="00BE01F0" w:rsidP="005168A9">
            <w:pPr>
              <w:pStyle w:val="Tabletextleft"/>
            </w:pPr>
            <w:r w:rsidRPr="00BE01F0">
              <w:t>0.0736</w:t>
            </w:r>
          </w:p>
        </w:tc>
        <w:tc>
          <w:tcPr>
            <w:tcW w:w="874" w:type="dxa"/>
            <w:noWrap/>
            <w:hideMark/>
          </w:tcPr>
          <w:p w:rsidR="00BE01F0" w:rsidRPr="00BE01F0" w:rsidRDefault="00BE01F0" w:rsidP="005168A9">
            <w:pPr>
              <w:pStyle w:val="Tabletextleft"/>
            </w:pPr>
            <w:r w:rsidRPr="00BE01F0">
              <w:t>0.2198</w:t>
            </w:r>
          </w:p>
        </w:tc>
      </w:tr>
      <w:tr w:rsidR="00BE01F0" w:rsidRPr="00BE01F0" w:rsidTr="00B17F1C">
        <w:trPr>
          <w:cnfStyle w:val="000000010000" w:firstRow="0" w:lastRow="0" w:firstColumn="0" w:lastColumn="0" w:oddVBand="0" w:evenVBand="0" w:oddHBand="0" w:evenHBand="1" w:firstRowFirstColumn="0" w:firstRowLastColumn="0" w:lastRowFirstColumn="0" w:lastRowLastColumn="0"/>
          <w:trHeight w:val="255"/>
        </w:trPr>
        <w:tc>
          <w:tcPr>
            <w:tcW w:w="959" w:type="dxa"/>
            <w:noWrap/>
            <w:hideMark/>
          </w:tcPr>
          <w:p w:rsidR="00BE01F0" w:rsidRPr="00BE01F0" w:rsidRDefault="00BE01F0" w:rsidP="005168A9">
            <w:pPr>
              <w:pStyle w:val="Tabletextleft"/>
            </w:pPr>
            <w:r w:rsidRPr="00BE01F0">
              <w:t>F</w:t>
            </w:r>
          </w:p>
        </w:tc>
        <w:tc>
          <w:tcPr>
            <w:tcW w:w="809" w:type="dxa"/>
            <w:noWrap/>
            <w:hideMark/>
          </w:tcPr>
          <w:p w:rsidR="00BE01F0" w:rsidRPr="00BE01F0" w:rsidRDefault="00BE01F0" w:rsidP="005168A9">
            <w:pPr>
              <w:pStyle w:val="Tabletextleft"/>
            </w:pPr>
            <w:r w:rsidRPr="00BE01F0">
              <w:t>150</w:t>
            </w:r>
          </w:p>
        </w:tc>
        <w:tc>
          <w:tcPr>
            <w:tcW w:w="873" w:type="dxa"/>
            <w:noWrap/>
            <w:hideMark/>
          </w:tcPr>
          <w:p w:rsidR="00BE01F0" w:rsidRPr="00BE01F0" w:rsidRDefault="00BE01F0" w:rsidP="005168A9">
            <w:pPr>
              <w:pStyle w:val="Tabletextleft"/>
            </w:pPr>
            <w:r w:rsidRPr="00BE01F0">
              <w:t>-33.5</w:t>
            </w:r>
          </w:p>
        </w:tc>
        <w:tc>
          <w:tcPr>
            <w:tcW w:w="873" w:type="dxa"/>
            <w:noWrap/>
            <w:hideMark/>
          </w:tcPr>
          <w:p w:rsidR="00BE01F0" w:rsidRPr="00BE01F0" w:rsidRDefault="00BE01F0" w:rsidP="005168A9">
            <w:pPr>
              <w:pStyle w:val="Tabletextleft"/>
            </w:pPr>
            <w:r w:rsidRPr="00BE01F0">
              <w:t>0.0625</w:t>
            </w:r>
          </w:p>
        </w:tc>
        <w:tc>
          <w:tcPr>
            <w:tcW w:w="874" w:type="dxa"/>
            <w:noWrap/>
            <w:hideMark/>
          </w:tcPr>
          <w:p w:rsidR="00BE01F0" w:rsidRPr="00BE01F0" w:rsidRDefault="00BE01F0" w:rsidP="005168A9">
            <w:pPr>
              <w:pStyle w:val="Tabletextleft"/>
            </w:pPr>
            <w:r w:rsidRPr="00BE01F0">
              <w:t>0.1652</w:t>
            </w:r>
          </w:p>
        </w:tc>
        <w:tc>
          <w:tcPr>
            <w:tcW w:w="1403" w:type="dxa"/>
            <w:noWrap/>
            <w:hideMark/>
          </w:tcPr>
          <w:p w:rsidR="00BE01F0" w:rsidRPr="00BE01F0" w:rsidRDefault="00BE01F0" w:rsidP="005168A9">
            <w:pPr>
              <w:pStyle w:val="Tabletextleft"/>
            </w:pPr>
            <w:r w:rsidRPr="00BE01F0">
              <w:t>S</w:t>
            </w:r>
          </w:p>
        </w:tc>
        <w:tc>
          <w:tcPr>
            <w:tcW w:w="874" w:type="dxa"/>
            <w:noWrap/>
            <w:hideMark/>
          </w:tcPr>
          <w:p w:rsidR="00BE01F0" w:rsidRPr="00BE01F0" w:rsidRDefault="00BE01F0" w:rsidP="005168A9">
            <w:pPr>
              <w:pStyle w:val="Tabletextleft"/>
            </w:pPr>
            <w:r w:rsidRPr="00BE01F0">
              <w:t>113.9</w:t>
            </w:r>
          </w:p>
        </w:tc>
        <w:tc>
          <w:tcPr>
            <w:tcW w:w="874" w:type="dxa"/>
            <w:noWrap/>
            <w:hideMark/>
          </w:tcPr>
          <w:p w:rsidR="00BE01F0" w:rsidRPr="00BE01F0" w:rsidRDefault="00BE01F0" w:rsidP="005168A9">
            <w:pPr>
              <w:pStyle w:val="Tabletextleft"/>
            </w:pPr>
            <w:r w:rsidRPr="00BE01F0">
              <w:t>-25</w:t>
            </w:r>
          </w:p>
        </w:tc>
        <w:tc>
          <w:tcPr>
            <w:tcW w:w="874" w:type="dxa"/>
            <w:noWrap/>
            <w:hideMark/>
          </w:tcPr>
          <w:p w:rsidR="00BE01F0" w:rsidRPr="00BE01F0" w:rsidRDefault="00BE01F0" w:rsidP="005168A9">
            <w:pPr>
              <w:pStyle w:val="Tabletextleft"/>
            </w:pPr>
            <w:r w:rsidRPr="00BE01F0">
              <w:t>0.0581</w:t>
            </w:r>
          </w:p>
        </w:tc>
        <w:tc>
          <w:tcPr>
            <w:tcW w:w="874" w:type="dxa"/>
            <w:noWrap/>
            <w:hideMark/>
          </w:tcPr>
          <w:p w:rsidR="00BE01F0" w:rsidRPr="00BE01F0" w:rsidRDefault="00BE01F0" w:rsidP="005168A9">
            <w:pPr>
              <w:pStyle w:val="Tabletextleft"/>
            </w:pPr>
            <w:r w:rsidRPr="00BE01F0">
              <w:t>0.1734</w:t>
            </w:r>
          </w:p>
        </w:tc>
      </w:tr>
      <w:tr w:rsidR="00BE01F0" w:rsidRPr="00BE01F0" w:rsidTr="00B17F1C">
        <w:trPr>
          <w:cnfStyle w:val="000000100000" w:firstRow="0" w:lastRow="0" w:firstColumn="0" w:lastColumn="0" w:oddVBand="0" w:evenVBand="0" w:oddHBand="1" w:evenHBand="0" w:firstRowFirstColumn="0" w:firstRowLastColumn="0" w:lastRowFirstColumn="0" w:lastRowLastColumn="0"/>
          <w:trHeight w:val="255"/>
        </w:trPr>
        <w:tc>
          <w:tcPr>
            <w:tcW w:w="959" w:type="dxa"/>
            <w:noWrap/>
            <w:hideMark/>
          </w:tcPr>
          <w:p w:rsidR="00BE01F0" w:rsidRPr="00BE01F0" w:rsidRDefault="00BE01F0" w:rsidP="005168A9">
            <w:pPr>
              <w:pStyle w:val="Tabletextleft"/>
            </w:pPr>
            <w:r w:rsidRPr="00BE01F0">
              <w:t>J</w:t>
            </w:r>
          </w:p>
        </w:tc>
        <w:tc>
          <w:tcPr>
            <w:tcW w:w="809" w:type="dxa"/>
            <w:noWrap/>
            <w:hideMark/>
          </w:tcPr>
          <w:p w:rsidR="00BE01F0" w:rsidRPr="00BE01F0" w:rsidRDefault="00BE01F0" w:rsidP="005168A9">
            <w:pPr>
              <w:pStyle w:val="Tabletextleft"/>
            </w:pPr>
            <w:r w:rsidRPr="00BE01F0">
              <w:t>144</w:t>
            </w:r>
          </w:p>
        </w:tc>
        <w:tc>
          <w:tcPr>
            <w:tcW w:w="873" w:type="dxa"/>
            <w:noWrap/>
            <w:hideMark/>
          </w:tcPr>
          <w:p w:rsidR="00BE01F0" w:rsidRPr="00BE01F0" w:rsidRDefault="00BE01F0" w:rsidP="005168A9">
            <w:pPr>
              <w:pStyle w:val="Tabletextleft"/>
            </w:pPr>
            <w:r w:rsidRPr="00BE01F0">
              <w:t>-37</w:t>
            </w:r>
          </w:p>
        </w:tc>
        <w:tc>
          <w:tcPr>
            <w:tcW w:w="873" w:type="dxa"/>
            <w:noWrap/>
            <w:hideMark/>
          </w:tcPr>
          <w:p w:rsidR="00BE01F0" w:rsidRPr="00BE01F0" w:rsidRDefault="00BE01F0" w:rsidP="005168A9">
            <w:pPr>
              <w:pStyle w:val="Tabletextleft"/>
            </w:pPr>
            <w:r w:rsidRPr="00BE01F0">
              <w:t>0.0372</w:t>
            </w:r>
          </w:p>
        </w:tc>
        <w:tc>
          <w:tcPr>
            <w:tcW w:w="874" w:type="dxa"/>
            <w:noWrap/>
            <w:hideMark/>
          </w:tcPr>
          <w:p w:rsidR="00BE01F0" w:rsidRPr="00BE01F0" w:rsidRDefault="00BE01F0" w:rsidP="005168A9">
            <w:pPr>
              <w:pStyle w:val="Tabletextleft"/>
            </w:pPr>
            <w:r w:rsidRPr="00BE01F0">
              <w:t>0.0952</w:t>
            </w:r>
          </w:p>
        </w:tc>
        <w:tc>
          <w:tcPr>
            <w:tcW w:w="1403" w:type="dxa"/>
            <w:noWrap/>
            <w:hideMark/>
          </w:tcPr>
          <w:p w:rsidR="00BE01F0" w:rsidRPr="00BE01F0" w:rsidRDefault="00BE01F0" w:rsidP="005168A9">
            <w:pPr>
              <w:pStyle w:val="Tabletextleft"/>
            </w:pPr>
            <w:r w:rsidRPr="00BE01F0">
              <w:t>T</w:t>
            </w:r>
          </w:p>
        </w:tc>
        <w:tc>
          <w:tcPr>
            <w:tcW w:w="874" w:type="dxa"/>
            <w:noWrap/>
            <w:hideMark/>
          </w:tcPr>
          <w:p w:rsidR="00BE01F0" w:rsidRPr="00BE01F0" w:rsidRDefault="00BE01F0" w:rsidP="005168A9">
            <w:pPr>
              <w:pStyle w:val="Tabletextleft"/>
            </w:pPr>
            <w:r w:rsidRPr="00BE01F0">
              <w:t>115.6</w:t>
            </w:r>
          </w:p>
        </w:tc>
        <w:tc>
          <w:tcPr>
            <w:tcW w:w="874" w:type="dxa"/>
            <w:noWrap/>
            <w:hideMark/>
          </w:tcPr>
          <w:p w:rsidR="00BE01F0" w:rsidRPr="00BE01F0" w:rsidRDefault="00BE01F0" w:rsidP="005168A9">
            <w:pPr>
              <w:pStyle w:val="Tabletextleft"/>
            </w:pPr>
            <w:r w:rsidRPr="00BE01F0">
              <w:t>-24.4</w:t>
            </w:r>
          </w:p>
        </w:tc>
        <w:tc>
          <w:tcPr>
            <w:tcW w:w="874" w:type="dxa"/>
            <w:noWrap/>
            <w:hideMark/>
          </w:tcPr>
          <w:p w:rsidR="00BE01F0" w:rsidRPr="00BE01F0" w:rsidRDefault="00BE01F0" w:rsidP="005168A9">
            <w:pPr>
              <w:pStyle w:val="Tabletextleft"/>
            </w:pPr>
            <w:r w:rsidRPr="00BE01F0">
              <w:t>0.0843</w:t>
            </w:r>
          </w:p>
        </w:tc>
        <w:tc>
          <w:tcPr>
            <w:tcW w:w="874" w:type="dxa"/>
            <w:noWrap/>
            <w:hideMark/>
          </w:tcPr>
          <w:p w:rsidR="00BE01F0" w:rsidRPr="00BE01F0" w:rsidRDefault="00BE01F0" w:rsidP="005168A9">
            <w:pPr>
              <w:pStyle w:val="Tabletextleft"/>
            </w:pPr>
            <w:r w:rsidRPr="00BE01F0">
              <w:t>0.2596</w:t>
            </w:r>
          </w:p>
        </w:tc>
      </w:tr>
      <w:tr w:rsidR="00BE01F0" w:rsidRPr="00BE01F0" w:rsidTr="00B17F1C">
        <w:trPr>
          <w:cnfStyle w:val="000000010000" w:firstRow="0" w:lastRow="0" w:firstColumn="0" w:lastColumn="0" w:oddVBand="0" w:evenVBand="0" w:oddHBand="0" w:evenHBand="1" w:firstRowFirstColumn="0" w:firstRowLastColumn="0" w:lastRowFirstColumn="0" w:lastRowLastColumn="0"/>
          <w:trHeight w:val="255"/>
        </w:trPr>
        <w:tc>
          <w:tcPr>
            <w:tcW w:w="959" w:type="dxa"/>
            <w:noWrap/>
            <w:hideMark/>
          </w:tcPr>
          <w:p w:rsidR="00BE01F0" w:rsidRPr="00BE01F0" w:rsidRDefault="00BE01F0" w:rsidP="005168A9">
            <w:pPr>
              <w:pStyle w:val="Tabletextleft"/>
            </w:pPr>
            <w:r w:rsidRPr="00BE01F0">
              <w:t>G</w:t>
            </w:r>
          </w:p>
        </w:tc>
        <w:tc>
          <w:tcPr>
            <w:tcW w:w="809" w:type="dxa"/>
            <w:noWrap/>
            <w:hideMark/>
          </w:tcPr>
          <w:p w:rsidR="00BE01F0" w:rsidRPr="00BE01F0" w:rsidRDefault="00BE01F0" w:rsidP="005168A9">
            <w:pPr>
              <w:pStyle w:val="Tabletextleft"/>
            </w:pPr>
            <w:r w:rsidRPr="00BE01F0">
              <w:t>146.7</w:t>
            </w:r>
          </w:p>
        </w:tc>
        <w:tc>
          <w:tcPr>
            <w:tcW w:w="873" w:type="dxa"/>
            <w:noWrap/>
            <w:hideMark/>
          </w:tcPr>
          <w:p w:rsidR="00BE01F0" w:rsidRPr="00BE01F0" w:rsidRDefault="00BE01F0" w:rsidP="005168A9">
            <w:pPr>
              <w:pStyle w:val="Tabletextleft"/>
            </w:pPr>
            <w:r w:rsidRPr="00BE01F0">
              <w:t>-37.1</w:t>
            </w:r>
          </w:p>
        </w:tc>
        <w:tc>
          <w:tcPr>
            <w:tcW w:w="873" w:type="dxa"/>
            <w:noWrap/>
            <w:hideMark/>
          </w:tcPr>
          <w:p w:rsidR="00BE01F0" w:rsidRPr="00BE01F0" w:rsidRDefault="00BE01F0" w:rsidP="005168A9">
            <w:pPr>
              <w:pStyle w:val="Tabletextleft"/>
            </w:pPr>
            <w:r w:rsidRPr="00BE01F0">
              <w:t>0.0640</w:t>
            </w:r>
          </w:p>
        </w:tc>
        <w:tc>
          <w:tcPr>
            <w:tcW w:w="874" w:type="dxa"/>
            <w:noWrap/>
            <w:hideMark/>
          </w:tcPr>
          <w:p w:rsidR="00BE01F0" w:rsidRPr="00BE01F0" w:rsidRDefault="00BE01F0" w:rsidP="005168A9">
            <w:pPr>
              <w:pStyle w:val="Tabletextleft"/>
            </w:pPr>
            <w:r w:rsidRPr="00BE01F0">
              <w:t>0.1693</w:t>
            </w:r>
          </w:p>
        </w:tc>
        <w:tc>
          <w:tcPr>
            <w:tcW w:w="1403" w:type="dxa"/>
            <w:noWrap/>
            <w:hideMark/>
          </w:tcPr>
          <w:p w:rsidR="00BE01F0" w:rsidRPr="00BE01F0" w:rsidRDefault="00BE01F0" w:rsidP="005168A9">
            <w:pPr>
              <w:pStyle w:val="Tabletextleft"/>
            </w:pPr>
            <w:r w:rsidRPr="00BE01F0">
              <w:t>U</w:t>
            </w:r>
          </w:p>
        </w:tc>
        <w:tc>
          <w:tcPr>
            <w:tcW w:w="874" w:type="dxa"/>
            <w:noWrap/>
            <w:hideMark/>
          </w:tcPr>
          <w:p w:rsidR="00BE01F0" w:rsidRPr="00BE01F0" w:rsidRDefault="00BE01F0" w:rsidP="005168A9">
            <w:pPr>
              <w:pStyle w:val="Tabletextleft"/>
            </w:pPr>
            <w:r w:rsidRPr="00BE01F0">
              <w:t>120</w:t>
            </w:r>
          </w:p>
        </w:tc>
        <w:tc>
          <w:tcPr>
            <w:tcW w:w="874" w:type="dxa"/>
            <w:noWrap/>
            <w:hideMark/>
          </w:tcPr>
          <w:p w:rsidR="00BE01F0" w:rsidRPr="00BE01F0" w:rsidRDefault="00BE01F0" w:rsidP="005168A9">
            <w:pPr>
              <w:pStyle w:val="Tabletextleft"/>
            </w:pPr>
            <w:r w:rsidRPr="00BE01F0">
              <w:t>-26</w:t>
            </w:r>
          </w:p>
        </w:tc>
        <w:tc>
          <w:tcPr>
            <w:tcW w:w="874" w:type="dxa"/>
            <w:noWrap/>
            <w:hideMark/>
          </w:tcPr>
          <w:p w:rsidR="00BE01F0" w:rsidRPr="00BE01F0" w:rsidRDefault="00BE01F0" w:rsidP="005168A9">
            <w:pPr>
              <w:pStyle w:val="Tabletextleft"/>
            </w:pPr>
            <w:r w:rsidRPr="00BE01F0">
              <w:t>0.0287</w:t>
            </w:r>
          </w:p>
        </w:tc>
        <w:tc>
          <w:tcPr>
            <w:tcW w:w="874" w:type="dxa"/>
            <w:noWrap/>
            <w:hideMark/>
          </w:tcPr>
          <w:p w:rsidR="00BE01F0" w:rsidRPr="00BE01F0" w:rsidRDefault="00BE01F0" w:rsidP="005168A9">
            <w:pPr>
              <w:pStyle w:val="Tabletextleft"/>
            </w:pPr>
            <w:r w:rsidRPr="00BE01F0">
              <w:t>0.0929</w:t>
            </w:r>
          </w:p>
        </w:tc>
      </w:tr>
      <w:tr w:rsidR="00BE01F0" w:rsidRPr="00BE01F0" w:rsidTr="00B17F1C">
        <w:trPr>
          <w:cnfStyle w:val="000000100000" w:firstRow="0" w:lastRow="0" w:firstColumn="0" w:lastColumn="0" w:oddVBand="0" w:evenVBand="0" w:oddHBand="1" w:evenHBand="0" w:firstRowFirstColumn="0" w:firstRowLastColumn="0" w:lastRowFirstColumn="0" w:lastRowLastColumn="0"/>
          <w:trHeight w:val="255"/>
        </w:trPr>
        <w:tc>
          <w:tcPr>
            <w:tcW w:w="959" w:type="dxa"/>
            <w:noWrap/>
            <w:hideMark/>
          </w:tcPr>
          <w:p w:rsidR="00BE01F0" w:rsidRPr="00BE01F0" w:rsidRDefault="00BE01F0" w:rsidP="005168A9">
            <w:pPr>
              <w:pStyle w:val="Tabletextleft"/>
            </w:pPr>
            <w:r w:rsidRPr="00BE01F0">
              <w:t>H</w:t>
            </w:r>
          </w:p>
        </w:tc>
        <w:tc>
          <w:tcPr>
            <w:tcW w:w="809" w:type="dxa"/>
            <w:noWrap/>
            <w:hideMark/>
          </w:tcPr>
          <w:p w:rsidR="00BE01F0" w:rsidRPr="00BE01F0" w:rsidRDefault="00BE01F0" w:rsidP="005168A9">
            <w:pPr>
              <w:pStyle w:val="Tabletextleft"/>
            </w:pPr>
            <w:r w:rsidRPr="00BE01F0">
              <w:t>144</w:t>
            </w:r>
          </w:p>
        </w:tc>
        <w:tc>
          <w:tcPr>
            <w:tcW w:w="873" w:type="dxa"/>
            <w:noWrap/>
            <w:hideMark/>
          </w:tcPr>
          <w:p w:rsidR="00BE01F0" w:rsidRPr="00BE01F0" w:rsidRDefault="00BE01F0" w:rsidP="005168A9">
            <w:pPr>
              <w:pStyle w:val="Tabletextleft"/>
            </w:pPr>
            <w:r w:rsidRPr="00BE01F0">
              <w:t>-38.5</w:t>
            </w:r>
          </w:p>
        </w:tc>
        <w:tc>
          <w:tcPr>
            <w:tcW w:w="873" w:type="dxa"/>
            <w:noWrap/>
            <w:hideMark/>
          </w:tcPr>
          <w:p w:rsidR="00BE01F0" w:rsidRPr="00BE01F0" w:rsidRDefault="00BE01F0" w:rsidP="005168A9">
            <w:pPr>
              <w:pStyle w:val="Tabletextleft"/>
            </w:pPr>
            <w:r w:rsidRPr="00BE01F0">
              <w:t>0.0627</w:t>
            </w:r>
          </w:p>
        </w:tc>
        <w:tc>
          <w:tcPr>
            <w:tcW w:w="874" w:type="dxa"/>
            <w:noWrap/>
            <w:hideMark/>
          </w:tcPr>
          <w:p w:rsidR="00BE01F0" w:rsidRPr="00BE01F0" w:rsidRDefault="00BE01F0" w:rsidP="005168A9">
            <w:pPr>
              <w:pStyle w:val="Tabletextleft"/>
            </w:pPr>
            <w:r w:rsidRPr="00BE01F0">
              <w:t>0.1704</w:t>
            </w:r>
          </w:p>
        </w:tc>
        <w:tc>
          <w:tcPr>
            <w:tcW w:w="1403" w:type="dxa"/>
            <w:noWrap/>
            <w:hideMark/>
          </w:tcPr>
          <w:p w:rsidR="00BE01F0" w:rsidRPr="00BE01F0" w:rsidRDefault="00BE01F0" w:rsidP="005168A9">
            <w:pPr>
              <w:pStyle w:val="Tabletextleft"/>
            </w:pPr>
            <w:r w:rsidRPr="00BE01F0">
              <w:t>V</w:t>
            </w:r>
          </w:p>
        </w:tc>
        <w:tc>
          <w:tcPr>
            <w:tcW w:w="874" w:type="dxa"/>
            <w:noWrap/>
            <w:hideMark/>
          </w:tcPr>
          <w:p w:rsidR="00BE01F0" w:rsidRPr="00BE01F0" w:rsidRDefault="00BE01F0" w:rsidP="005168A9">
            <w:pPr>
              <w:pStyle w:val="Tabletextleft"/>
            </w:pPr>
            <w:r w:rsidRPr="00BE01F0">
              <w:t>121.1</w:t>
            </w:r>
          </w:p>
        </w:tc>
        <w:tc>
          <w:tcPr>
            <w:tcW w:w="874" w:type="dxa"/>
            <w:noWrap/>
            <w:hideMark/>
          </w:tcPr>
          <w:p w:rsidR="00BE01F0" w:rsidRPr="00BE01F0" w:rsidRDefault="00BE01F0" w:rsidP="005168A9">
            <w:pPr>
              <w:pStyle w:val="Tabletextleft"/>
            </w:pPr>
            <w:r w:rsidRPr="00BE01F0">
              <w:t>-19.5</w:t>
            </w:r>
          </w:p>
        </w:tc>
        <w:tc>
          <w:tcPr>
            <w:tcW w:w="874" w:type="dxa"/>
            <w:noWrap/>
            <w:hideMark/>
          </w:tcPr>
          <w:p w:rsidR="00BE01F0" w:rsidRPr="00BE01F0" w:rsidRDefault="00BE01F0" w:rsidP="005168A9">
            <w:pPr>
              <w:pStyle w:val="Tabletextleft"/>
            </w:pPr>
            <w:r w:rsidRPr="00BE01F0">
              <w:t>0.0605</w:t>
            </w:r>
          </w:p>
        </w:tc>
        <w:tc>
          <w:tcPr>
            <w:tcW w:w="874" w:type="dxa"/>
            <w:noWrap/>
            <w:hideMark/>
          </w:tcPr>
          <w:p w:rsidR="00BE01F0" w:rsidRPr="00BE01F0" w:rsidRDefault="00BE01F0" w:rsidP="005168A9">
            <w:pPr>
              <w:pStyle w:val="Tabletextleft"/>
            </w:pPr>
            <w:r w:rsidRPr="00BE01F0">
              <w:t>0.1911</w:t>
            </w:r>
          </w:p>
        </w:tc>
      </w:tr>
      <w:tr w:rsidR="00BE01F0" w:rsidRPr="00BE01F0" w:rsidTr="00B17F1C">
        <w:trPr>
          <w:cnfStyle w:val="000000010000" w:firstRow="0" w:lastRow="0" w:firstColumn="0" w:lastColumn="0" w:oddVBand="0" w:evenVBand="0" w:oddHBand="0" w:evenHBand="1" w:firstRowFirstColumn="0" w:firstRowLastColumn="0" w:lastRowFirstColumn="0" w:lastRowLastColumn="0"/>
          <w:trHeight w:val="255"/>
        </w:trPr>
        <w:tc>
          <w:tcPr>
            <w:tcW w:w="959" w:type="dxa"/>
            <w:noWrap/>
            <w:hideMark/>
          </w:tcPr>
          <w:p w:rsidR="00BE01F0" w:rsidRPr="00BE01F0" w:rsidRDefault="00BE01F0" w:rsidP="005168A9">
            <w:pPr>
              <w:pStyle w:val="Tabletextleft"/>
            </w:pPr>
            <w:r w:rsidRPr="00BE01F0">
              <w:t>I</w:t>
            </w:r>
          </w:p>
        </w:tc>
        <w:tc>
          <w:tcPr>
            <w:tcW w:w="809" w:type="dxa"/>
            <w:noWrap/>
            <w:hideMark/>
          </w:tcPr>
          <w:p w:rsidR="00BE01F0" w:rsidRPr="00BE01F0" w:rsidRDefault="00BE01F0" w:rsidP="005168A9">
            <w:pPr>
              <w:pStyle w:val="Tabletextleft"/>
            </w:pPr>
            <w:r w:rsidRPr="00BE01F0">
              <w:t>145.8</w:t>
            </w:r>
          </w:p>
        </w:tc>
        <w:tc>
          <w:tcPr>
            <w:tcW w:w="873" w:type="dxa"/>
            <w:noWrap/>
            <w:hideMark/>
          </w:tcPr>
          <w:p w:rsidR="00BE01F0" w:rsidRPr="00BE01F0" w:rsidRDefault="00BE01F0" w:rsidP="005168A9">
            <w:pPr>
              <w:pStyle w:val="Tabletextleft"/>
            </w:pPr>
            <w:r w:rsidRPr="00BE01F0">
              <w:t>-41.8</w:t>
            </w:r>
          </w:p>
        </w:tc>
        <w:tc>
          <w:tcPr>
            <w:tcW w:w="873" w:type="dxa"/>
            <w:noWrap/>
            <w:hideMark/>
          </w:tcPr>
          <w:p w:rsidR="00BE01F0" w:rsidRPr="00BE01F0" w:rsidRDefault="00BE01F0" w:rsidP="005168A9">
            <w:pPr>
              <w:pStyle w:val="Tabletextleft"/>
            </w:pPr>
            <w:r w:rsidRPr="00BE01F0">
              <w:t>0.0241</w:t>
            </w:r>
          </w:p>
        </w:tc>
        <w:tc>
          <w:tcPr>
            <w:tcW w:w="874" w:type="dxa"/>
            <w:noWrap/>
            <w:hideMark/>
          </w:tcPr>
          <w:p w:rsidR="00BE01F0" w:rsidRPr="00BE01F0" w:rsidRDefault="00BE01F0" w:rsidP="005168A9">
            <w:pPr>
              <w:pStyle w:val="Tabletextleft"/>
            </w:pPr>
            <w:r w:rsidRPr="00BE01F0">
              <w:t>0.0670</w:t>
            </w:r>
          </w:p>
        </w:tc>
        <w:tc>
          <w:tcPr>
            <w:tcW w:w="1403" w:type="dxa"/>
            <w:noWrap/>
            <w:hideMark/>
          </w:tcPr>
          <w:p w:rsidR="00BE01F0" w:rsidRPr="00BE01F0" w:rsidRDefault="00BE01F0" w:rsidP="005168A9">
            <w:pPr>
              <w:pStyle w:val="Tabletextleft"/>
            </w:pPr>
            <w:r w:rsidRPr="00BE01F0">
              <w:t>W</w:t>
            </w:r>
          </w:p>
        </w:tc>
        <w:tc>
          <w:tcPr>
            <w:tcW w:w="874" w:type="dxa"/>
            <w:noWrap/>
            <w:hideMark/>
          </w:tcPr>
          <w:p w:rsidR="00BE01F0" w:rsidRPr="00BE01F0" w:rsidRDefault="00BE01F0" w:rsidP="005168A9">
            <w:pPr>
              <w:pStyle w:val="Tabletextleft"/>
            </w:pPr>
            <w:r w:rsidRPr="00BE01F0">
              <w:t>120.2</w:t>
            </w:r>
          </w:p>
        </w:tc>
        <w:tc>
          <w:tcPr>
            <w:tcW w:w="874" w:type="dxa"/>
            <w:noWrap/>
            <w:hideMark/>
          </w:tcPr>
          <w:p w:rsidR="00BE01F0" w:rsidRPr="00BE01F0" w:rsidRDefault="00BE01F0" w:rsidP="005168A9">
            <w:pPr>
              <w:pStyle w:val="Tabletextleft"/>
            </w:pPr>
            <w:r w:rsidRPr="00BE01F0">
              <w:t>-16.6</w:t>
            </w:r>
          </w:p>
        </w:tc>
        <w:tc>
          <w:tcPr>
            <w:tcW w:w="874" w:type="dxa"/>
            <w:noWrap/>
            <w:hideMark/>
          </w:tcPr>
          <w:p w:rsidR="00BE01F0" w:rsidRPr="00BE01F0" w:rsidRDefault="00BE01F0" w:rsidP="005168A9">
            <w:pPr>
              <w:pStyle w:val="Tabletextleft"/>
            </w:pPr>
            <w:r w:rsidRPr="00BE01F0">
              <w:t>0.0407</w:t>
            </w:r>
          </w:p>
        </w:tc>
        <w:tc>
          <w:tcPr>
            <w:tcW w:w="874" w:type="dxa"/>
            <w:noWrap/>
            <w:hideMark/>
          </w:tcPr>
          <w:p w:rsidR="00BE01F0" w:rsidRPr="00BE01F0" w:rsidRDefault="00BE01F0" w:rsidP="005168A9">
            <w:pPr>
              <w:pStyle w:val="Tabletextleft"/>
            </w:pPr>
            <w:r w:rsidRPr="00BE01F0">
              <w:t>0.1361</w:t>
            </w:r>
          </w:p>
        </w:tc>
      </w:tr>
      <w:tr w:rsidR="00BE01F0" w:rsidRPr="00BE01F0" w:rsidTr="00B17F1C">
        <w:trPr>
          <w:cnfStyle w:val="000000100000" w:firstRow="0" w:lastRow="0" w:firstColumn="0" w:lastColumn="0" w:oddVBand="0" w:evenVBand="0" w:oddHBand="1" w:evenHBand="0" w:firstRowFirstColumn="0" w:firstRowLastColumn="0" w:lastRowFirstColumn="0" w:lastRowLastColumn="0"/>
          <w:trHeight w:val="255"/>
        </w:trPr>
        <w:tc>
          <w:tcPr>
            <w:tcW w:w="959" w:type="dxa"/>
            <w:noWrap/>
            <w:hideMark/>
          </w:tcPr>
          <w:p w:rsidR="00BE01F0" w:rsidRPr="00BE01F0" w:rsidRDefault="00BE01F0" w:rsidP="005168A9">
            <w:pPr>
              <w:pStyle w:val="Tabletextleft"/>
            </w:pPr>
            <w:r w:rsidRPr="00BE01F0">
              <w:t>K</w:t>
            </w:r>
          </w:p>
        </w:tc>
        <w:tc>
          <w:tcPr>
            <w:tcW w:w="809" w:type="dxa"/>
            <w:noWrap/>
            <w:hideMark/>
          </w:tcPr>
          <w:p w:rsidR="00BE01F0" w:rsidRPr="00BE01F0" w:rsidRDefault="00BE01F0" w:rsidP="005168A9">
            <w:pPr>
              <w:pStyle w:val="Tabletextleft"/>
            </w:pPr>
            <w:r w:rsidRPr="00BE01F0">
              <w:t>145</w:t>
            </w:r>
          </w:p>
        </w:tc>
        <w:tc>
          <w:tcPr>
            <w:tcW w:w="873" w:type="dxa"/>
            <w:noWrap/>
            <w:hideMark/>
          </w:tcPr>
          <w:p w:rsidR="00BE01F0" w:rsidRPr="00BE01F0" w:rsidRDefault="00BE01F0" w:rsidP="005168A9">
            <w:pPr>
              <w:pStyle w:val="Tabletextleft"/>
            </w:pPr>
            <w:r w:rsidRPr="00BE01F0">
              <w:t>-32</w:t>
            </w:r>
          </w:p>
        </w:tc>
        <w:tc>
          <w:tcPr>
            <w:tcW w:w="873" w:type="dxa"/>
            <w:noWrap/>
            <w:hideMark/>
          </w:tcPr>
          <w:p w:rsidR="00BE01F0" w:rsidRPr="00BE01F0" w:rsidRDefault="00BE01F0" w:rsidP="005168A9">
            <w:pPr>
              <w:pStyle w:val="Tabletextleft"/>
            </w:pPr>
            <w:r w:rsidRPr="00BE01F0">
              <w:t>0.0198</w:t>
            </w:r>
          </w:p>
        </w:tc>
        <w:tc>
          <w:tcPr>
            <w:tcW w:w="874" w:type="dxa"/>
            <w:noWrap/>
            <w:hideMark/>
          </w:tcPr>
          <w:p w:rsidR="00BE01F0" w:rsidRPr="00BE01F0" w:rsidRDefault="00BE01F0" w:rsidP="005168A9">
            <w:pPr>
              <w:pStyle w:val="Tabletextleft"/>
            </w:pPr>
            <w:r w:rsidRPr="00BE01F0">
              <w:t>0.0605</w:t>
            </w:r>
          </w:p>
        </w:tc>
        <w:tc>
          <w:tcPr>
            <w:tcW w:w="1403" w:type="dxa"/>
            <w:noWrap/>
            <w:hideMark/>
          </w:tcPr>
          <w:p w:rsidR="00BE01F0" w:rsidRPr="00BE01F0" w:rsidRDefault="00BE01F0" w:rsidP="005168A9">
            <w:pPr>
              <w:pStyle w:val="Tabletextleft"/>
            </w:pPr>
            <w:r w:rsidRPr="00BE01F0">
              <w:t>X</w:t>
            </w:r>
          </w:p>
        </w:tc>
        <w:tc>
          <w:tcPr>
            <w:tcW w:w="874" w:type="dxa"/>
            <w:noWrap/>
            <w:hideMark/>
          </w:tcPr>
          <w:p w:rsidR="00BE01F0" w:rsidRPr="00BE01F0" w:rsidRDefault="00BE01F0" w:rsidP="005168A9">
            <w:pPr>
              <w:pStyle w:val="Tabletextleft"/>
            </w:pPr>
            <w:r w:rsidRPr="00BE01F0">
              <w:t>127</w:t>
            </w:r>
          </w:p>
        </w:tc>
        <w:tc>
          <w:tcPr>
            <w:tcW w:w="874" w:type="dxa"/>
            <w:noWrap/>
            <w:hideMark/>
          </w:tcPr>
          <w:p w:rsidR="00BE01F0" w:rsidRPr="00BE01F0" w:rsidRDefault="00BE01F0" w:rsidP="005168A9">
            <w:pPr>
              <w:pStyle w:val="Tabletextleft"/>
            </w:pPr>
            <w:r w:rsidRPr="00BE01F0">
              <w:t>-18.1</w:t>
            </w:r>
          </w:p>
        </w:tc>
        <w:tc>
          <w:tcPr>
            <w:tcW w:w="874" w:type="dxa"/>
            <w:noWrap/>
            <w:hideMark/>
          </w:tcPr>
          <w:p w:rsidR="00BE01F0" w:rsidRPr="00BE01F0" w:rsidRDefault="00BE01F0" w:rsidP="005168A9">
            <w:pPr>
              <w:pStyle w:val="Tabletextleft"/>
            </w:pPr>
            <w:r w:rsidRPr="00BE01F0">
              <w:t>0.0431</w:t>
            </w:r>
          </w:p>
        </w:tc>
        <w:tc>
          <w:tcPr>
            <w:tcW w:w="874" w:type="dxa"/>
            <w:noWrap/>
            <w:hideMark/>
          </w:tcPr>
          <w:p w:rsidR="00BE01F0" w:rsidRPr="00BE01F0" w:rsidRDefault="00BE01F0" w:rsidP="005168A9">
            <w:pPr>
              <w:pStyle w:val="Tabletextleft"/>
            </w:pPr>
            <w:r w:rsidRPr="00BE01F0">
              <w:t>0.1408</w:t>
            </w:r>
          </w:p>
        </w:tc>
      </w:tr>
      <w:tr w:rsidR="00BE01F0" w:rsidRPr="00BE01F0" w:rsidTr="00B17F1C">
        <w:trPr>
          <w:cnfStyle w:val="000000010000" w:firstRow="0" w:lastRow="0" w:firstColumn="0" w:lastColumn="0" w:oddVBand="0" w:evenVBand="0" w:oddHBand="0" w:evenHBand="1" w:firstRowFirstColumn="0" w:firstRowLastColumn="0" w:lastRowFirstColumn="0" w:lastRowLastColumn="0"/>
          <w:trHeight w:val="255"/>
        </w:trPr>
        <w:tc>
          <w:tcPr>
            <w:tcW w:w="959" w:type="dxa"/>
            <w:noWrap/>
            <w:hideMark/>
          </w:tcPr>
          <w:p w:rsidR="00BE01F0" w:rsidRPr="00BE01F0" w:rsidRDefault="00BE01F0" w:rsidP="005168A9">
            <w:pPr>
              <w:pStyle w:val="Tabletextleft"/>
            </w:pPr>
            <w:r w:rsidRPr="00BE01F0">
              <w:t>L</w:t>
            </w:r>
          </w:p>
        </w:tc>
        <w:tc>
          <w:tcPr>
            <w:tcW w:w="809" w:type="dxa"/>
            <w:noWrap/>
            <w:hideMark/>
          </w:tcPr>
          <w:p w:rsidR="00BE01F0" w:rsidRPr="00BE01F0" w:rsidRDefault="00BE01F0" w:rsidP="005168A9">
            <w:pPr>
              <w:pStyle w:val="Tabletextleft"/>
            </w:pPr>
            <w:r w:rsidRPr="00BE01F0">
              <w:t>136.5</w:t>
            </w:r>
          </w:p>
        </w:tc>
        <w:tc>
          <w:tcPr>
            <w:tcW w:w="873" w:type="dxa"/>
            <w:noWrap/>
            <w:hideMark/>
          </w:tcPr>
          <w:p w:rsidR="00BE01F0" w:rsidRPr="00BE01F0" w:rsidRDefault="00BE01F0" w:rsidP="005168A9">
            <w:pPr>
              <w:pStyle w:val="Tabletextleft"/>
            </w:pPr>
            <w:r w:rsidRPr="00BE01F0">
              <w:t>-34</w:t>
            </w:r>
          </w:p>
        </w:tc>
        <w:tc>
          <w:tcPr>
            <w:tcW w:w="873" w:type="dxa"/>
            <w:noWrap/>
            <w:hideMark/>
          </w:tcPr>
          <w:p w:rsidR="00BE01F0" w:rsidRPr="00BE01F0" w:rsidRDefault="00BE01F0" w:rsidP="005168A9">
            <w:pPr>
              <w:pStyle w:val="Tabletextleft"/>
            </w:pPr>
            <w:r w:rsidRPr="00BE01F0">
              <w:t>0.0544</w:t>
            </w:r>
          </w:p>
        </w:tc>
        <w:tc>
          <w:tcPr>
            <w:tcW w:w="874" w:type="dxa"/>
            <w:noWrap/>
            <w:hideMark/>
          </w:tcPr>
          <w:p w:rsidR="00BE01F0" w:rsidRPr="00BE01F0" w:rsidRDefault="00BE01F0" w:rsidP="005168A9">
            <w:pPr>
              <w:pStyle w:val="Tabletextleft"/>
            </w:pPr>
            <w:r w:rsidRPr="00BE01F0">
              <w:t>0.1734</w:t>
            </w:r>
          </w:p>
        </w:tc>
        <w:tc>
          <w:tcPr>
            <w:tcW w:w="1403" w:type="dxa"/>
            <w:noWrap/>
            <w:hideMark/>
          </w:tcPr>
          <w:p w:rsidR="00BE01F0" w:rsidRPr="00BE01F0" w:rsidRDefault="00BE01F0" w:rsidP="005168A9">
            <w:pPr>
              <w:pStyle w:val="Tabletextleft"/>
            </w:pPr>
            <w:r w:rsidRPr="00BE01F0">
              <w:t>Y</w:t>
            </w:r>
          </w:p>
        </w:tc>
        <w:tc>
          <w:tcPr>
            <w:tcW w:w="874" w:type="dxa"/>
            <w:noWrap/>
            <w:hideMark/>
          </w:tcPr>
          <w:p w:rsidR="00BE01F0" w:rsidRPr="00BE01F0" w:rsidRDefault="00BE01F0" w:rsidP="005168A9">
            <w:pPr>
              <w:pStyle w:val="Tabletextleft"/>
            </w:pPr>
            <w:r w:rsidRPr="00BE01F0">
              <w:t>132</w:t>
            </w:r>
          </w:p>
        </w:tc>
        <w:tc>
          <w:tcPr>
            <w:tcW w:w="874" w:type="dxa"/>
            <w:noWrap/>
            <w:hideMark/>
          </w:tcPr>
          <w:p w:rsidR="00BE01F0" w:rsidRPr="00BE01F0" w:rsidRDefault="00BE01F0" w:rsidP="005168A9">
            <w:pPr>
              <w:pStyle w:val="Tabletextleft"/>
            </w:pPr>
            <w:r w:rsidRPr="00BE01F0">
              <w:t>-15</w:t>
            </w:r>
          </w:p>
        </w:tc>
        <w:tc>
          <w:tcPr>
            <w:tcW w:w="874" w:type="dxa"/>
            <w:noWrap/>
            <w:hideMark/>
          </w:tcPr>
          <w:p w:rsidR="00BE01F0" w:rsidRPr="00BE01F0" w:rsidRDefault="00BE01F0" w:rsidP="005168A9">
            <w:pPr>
              <w:pStyle w:val="Tabletextleft"/>
            </w:pPr>
            <w:r w:rsidRPr="00BE01F0">
              <w:t>0.0280</w:t>
            </w:r>
          </w:p>
        </w:tc>
        <w:tc>
          <w:tcPr>
            <w:tcW w:w="874" w:type="dxa"/>
            <w:noWrap/>
            <w:hideMark/>
          </w:tcPr>
          <w:p w:rsidR="00BE01F0" w:rsidRPr="00BE01F0" w:rsidRDefault="00BE01F0" w:rsidP="005168A9">
            <w:pPr>
              <w:pStyle w:val="Tabletextleft"/>
            </w:pPr>
            <w:r w:rsidRPr="00BE01F0">
              <w:t>0.0935</w:t>
            </w:r>
          </w:p>
        </w:tc>
      </w:tr>
      <w:tr w:rsidR="00BE01F0" w:rsidRPr="00BE01F0" w:rsidTr="00B17F1C">
        <w:trPr>
          <w:cnfStyle w:val="000000100000" w:firstRow="0" w:lastRow="0" w:firstColumn="0" w:lastColumn="0" w:oddVBand="0" w:evenVBand="0" w:oddHBand="1" w:evenHBand="0" w:firstRowFirstColumn="0" w:firstRowLastColumn="0" w:lastRowFirstColumn="0" w:lastRowLastColumn="0"/>
          <w:trHeight w:val="255"/>
        </w:trPr>
        <w:tc>
          <w:tcPr>
            <w:tcW w:w="959" w:type="dxa"/>
            <w:noWrap/>
            <w:hideMark/>
          </w:tcPr>
          <w:p w:rsidR="00BE01F0" w:rsidRPr="00BE01F0" w:rsidRDefault="00BE01F0" w:rsidP="005168A9">
            <w:pPr>
              <w:pStyle w:val="Tabletextleft"/>
            </w:pPr>
            <w:r w:rsidRPr="00BE01F0">
              <w:t>M</w:t>
            </w:r>
          </w:p>
        </w:tc>
        <w:tc>
          <w:tcPr>
            <w:tcW w:w="809" w:type="dxa"/>
            <w:noWrap/>
            <w:hideMark/>
          </w:tcPr>
          <w:p w:rsidR="00BE01F0" w:rsidRPr="00BE01F0" w:rsidRDefault="00BE01F0" w:rsidP="005168A9">
            <w:pPr>
              <w:pStyle w:val="Tabletextleft"/>
            </w:pPr>
            <w:r w:rsidRPr="00BE01F0">
              <w:t>138.5</w:t>
            </w:r>
          </w:p>
        </w:tc>
        <w:tc>
          <w:tcPr>
            <w:tcW w:w="873" w:type="dxa"/>
            <w:noWrap/>
            <w:hideMark/>
          </w:tcPr>
          <w:p w:rsidR="00BE01F0" w:rsidRPr="00BE01F0" w:rsidRDefault="00BE01F0" w:rsidP="005168A9">
            <w:pPr>
              <w:pStyle w:val="Tabletextleft"/>
            </w:pPr>
            <w:r w:rsidRPr="00BE01F0">
              <w:t>-32.2</w:t>
            </w:r>
          </w:p>
        </w:tc>
        <w:tc>
          <w:tcPr>
            <w:tcW w:w="873" w:type="dxa"/>
            <w:noWrap/>
            <w:hideMark/>
          </w:tcPr>
          <w:p w:rsidR="00BE01F0" w:rsidRPr="00BE01F0" w:rsidRDefault="00BE01F0" w:rsidP="005168A9">
            <w:pPr>
              <w:pStyle w:val="Tabletextleft"/>
            </w:pPr>
            <w:r w:rsidRPr="00BE01F0">
              <w:t>0.0620</w:t>
            </w:r>
          </w:p>
        </w:tc>
        <w:tc>
          <w:tcPr>
            <w:tcW w:w="874" w:type="dxa"/>
            <w:noWrap/>
            <w:hideMark/>
          </w:tcPr>
          <w:p w:rsidR="00BE01F0" w:rsidRPr="00BE01F0" w:rsidRDefault="00BE01F0" w:rsidP="005168A9">
            <w:pPr>
              <w:pStyle w:val="Tabletextleft"/>
            </w:pPr>
            <w:r w:rsidRPr="00BE01F0">
              <w:t>0.1625</w:t>
            </w:r>
          </w:p>
        </w:tc>
        <w:tc>
          <w:tcPr>
            <w:tcW w:w="1403" w:type="dxa"/>
            <w:noWrap/>
            <w:hideMark/>
          </w:tcPr>
          <w:p w:rsidR="00BE01F0" w:rsidRPr="00BE01F0" w:rsidRDefault="00BE01F0" w:rsidP="005168A9">
            <w:pPr>
              <w:pStyle w:val="Tabletextleft"/>
            </w:pPr>
            <w:r w:rsidRPr="00BE01F0">
              <w:t>Z</w:t>
            </w:r>
          </w:p>
        </w:tc>
        <w:tc>
          <w:tcPr>
            <w:tcW w:w="874" w:type="dxa"/>
            <w:noWrap/>
            <w:hideMark/>
          </w:tcPr>
          <w:p w:rsidR="00BE01F0" w:rsidRPr="00BE01F0" w:rsidRDefault="00BE01F0" w:rsidP="005168A9">
            <w:pPr>
              <w:pStyle w:val="Tabletextleft"/>
            </w:pPr>
            <w:r w:rsidRPr="00BE01F0">
              <w:t>140</w:t>
            </w:r>
          </w:p>
        </w:tc>
        <w:tc>
          <w:tcPr>
            <w:tcW w:w="874" w:type="dxa"/>
            <w:noWrap/>
            <w:hideMark/>
          </w:tcPr>
          <w:p w:rsidR="00BE01F0" w:rsidRPr="00BE01F0" w:rsidRDefault="00BE01F0" w:rsidP="005168A9">
            <w:pPr>
              <w:pStyle w:val="Tabletextleft"/>
            </w:pPr>
            <w:r w:rsidRPr="00BE01F0">
              <w:t>-21</w:t>
            </w:r>
          </w:p>
        </w:tc>
        <w:tc>
          <w:tcPr>
            <w:tcW w:w="874" w:type="dxa"/>
            <w:noWrap/>
            <w:hideMark/>
          </w:tcPr>
          <w:p w:rsidR="00BE01F0" w:rsidRPr="00BE01F0" w:rsidRDefault="00BE01F0" w:rsidP="005168A9">
            <w:pPr>
              <w:pStyle w:val="Tabletextleft"/>
            </w:pPr>
            <w:r w:rsidRPr="00BE01F0">
              <w:t>0.0272</w:t>
            </w:r>
          </w:p>
        </w:tc>
        <w:tc>
          <w:tcPr>
            <w:tcW w:w="874" w:type="dxa"/>
            <w:noWrap/>
            <w:hideMark/>
          </w:tcPr>
          <w:p w:rsidR="00BE01F0" w:rsidRPr="00BE01F0" w:rsidRDefault="00BE01F0" w:rsidP="005168A9">
            <w:pPr>
              <w:pStyle w:val="Tabletextleft"/>
            </w:pPr>
            <w:r w:rsidRPr="00BE01F0">
              <w:t>0.0928</w:t>
            </w:r>
          </w:p>
        </w:tc>
      </w:tr>
    </w:tbl>
    <w:p w:rsidR="00BE01F0" w:rsidRDefault="0056708B" w:rsidP="0056708B">
      <w:pPr>
        <w:pStyle w:val="Heading1"/>
      </w:pPr>
      <w:bookmarkStart w:id="58" w:name="_Toc371577706"/>
      <w:r>
        <w:lastRenderedPageBreak/>
        <w:t>Erratum to GA record 2012/71</w:t>
      </w:r>
      <w:bookmarkEnd w:id="58"/>
    </w:p>
    <w:p w:rsidR="0056708B" w:rsidRDefault="0056708B" w:rsidP="00DA2B98">
      <w:pPr>
        <w:pStyle w:val="BodyText"/>
      </w:pPr>
      <w:r>
        <w:t>After the publication of the GA reco</w:t>
      </w:r>
      <w:r w:rsidR="00A40425">
        <w:t>rd 2012/71, the following issues</w:t>
      </w:r>
      <w:r>
        <w:t xml:space="preserve"> </w:t>
      </w:r>
      <w:r w:rsidR="00A40425">
        <w:t>were identified</w:t>
      </w:r>
      <w:r w:rsidR="00105294">
        <w:t xml:space="preserve"> in the report</w:t>
      </w:r>
      <w:r>
        <w:t>. They are listed here for reference and should be read in conjunction with the GA record itself.</w:t>
      </w:r>
    </w:p>
    <w:p w:rsidR="0056708B" w:rsidRPr="00150B52" w:rsidRDefault="0056708B" w:rsidP="00F53C13">
      <w:pPr>
        <w:pStyle w:val="Listbulletlevel1numbered"/>
      </w:pPr>
      <w:r w:rsidRPr="00150B52">
        <w:t>Page 2, Figure 2 caption.</w:t>
      </w:r>
      <w:r w:rsidR="00105294" w:rsidRPr="00150B52">
        <w:t xml:space="preserve"> </w:t>
      </w:r>
      <w:r w:rsidRPr="00150B52">
        <w:t xml:space="preserve">The line ”…10% chance of being exceeded per annum” should </w:t>
      </w:r>
      <w:r w:rsidR="00105294" w:rsidRPr="00150B52">
        <w:t>be</w:t>
      </w:r>
      <w:r w:rsidRPr="00150B52">
        <w:t xml:space="preserve"> “..10% chance of being exceeded per 50 years”.</w:t>
      </w:r>
    </w:p>
    <w:p w:rsidR="000C2DCE" w:rsidRDefault="0056708B" w:rsidP="00F53C13">
      <w:pPr>
        <w:pStyle w:val="Listbulletlevel1numbered"/>
      </w:pPr>
      <w:r w:rsidRPr="00150B52">
        <w:t>Page 28. The sentence beginning “After the stakeholder workshop in February 2012…” should read as follows:</w:t>
      </w:r>
    </w:p>
    <w:p w:rsidR="0056708B" w:rsidRPr="00150B52" w:rsidRDefault="0056708B" w:rsidP="00F53C13">
      <w:pPr>
        <w:pStyle w:val="Listbulletlevel2numbered"/>
      </w:pPr>
      <w:r w:rsidRPr="00150B52">
        <w:t>“After the stakeholder workshop in 2012, where 0.6 was considered too low, the acceptable range of b-values was modified to a range of 0.69 to 1.1 for the regional and background layer and 0.82 to 1.15 for the hotspot layer.”</w:t>
      </w:r>
    </w:p>
    <w:p w:rsidR="0056708B" w:rsidRPr="00150B52" w:rsidRDefault="0056708B" w:rsidP="00F53C13">
      <w:pPr>
        <w:pStyle w:val="Listbulletlevel1numbered"/>
      </w:pPr>
      <w:r w:rsidRPr="00150B52">
        <w:t>Page 41. Table 11</w:t>
      </w:r>
      <w:r w:rsidR="00105294" w:rsidRPr="00150B52">
        <w:t xml:space="preserve"> </w:t>
      </w:r>
      <w:r w:rsidRPr="00150B52">
        <w:t>caption. The sentence “…A</w:t>
      </w:r>
      <w:r w:rsidRPr="00150B52">
        <w:rPr>
          <w:rStyle w:val="Subscript"/>
        </w:rPr>
        <w:t>5.5</w:t>
      </w:r>
      <w:r w:rsidRPr="00150B52">
        <w:t xml:space="preserve"> is the number of earthquakes per 1,0 00 years per 10,000 km</w:t>
      </w:r>
      <w:r w:rsidRPr="00150B52">
        <w:rPr>
          <w:rStyle w:val="Superscript"/>
        </w:rPr>
        <w:t>2</w:t>
      </w:r>
      <w:r w:rsidRPr="00150B52">
        <w:t>” should be “…A</w:t>
      </w:r>
      <w:r w:rsidRPr="00150B52">
        <w:rPr>
          <w:rStyle w:val="Subscript"/>
        </w:rPr>
        <w:t>3.5</w:t>
      </w:r>
      <w:r w:rsidRPr="00150B52">
        <w:t xml:space="preserve"> is the number of earthquakes per 1,000 years per 10,000 km</w:t>
      </w:r>
      <w:r w:rsidRPr="00150B52">
        <w:rPr>
          <w:rStyle w:val="Superscript"/>
        </w:rPr>
        <w:t>2</w:t>
      </w:r>
      <w:r w:rsidRPr="00150B52">
        <w:t>”</w:t>
      </w:r>
      <w:r w:rsidR="00105294" w:rsidRPr="00150B52">
        <w:t>.</w:t>
      </w:r>
    </w:p>
    <w:p w:rsidR="000C2DCE" w:rsidRDefault="00105294" w:rsidP="00F53C13">
      <w:pPr>
        <w:pStyle w:val="Listbulletlevel1numbered"/>
      </w:pPr>
      <w:r w:rsidRPr="00150B52">
        <w:t>Page 42 and 43. Tables 12 and 13. The column labelled “M</w:t>
      </w:r>
      <w:r w:rsidRPr="00150B52">
        <w:rPr>
          <w:rStyle w:val="Subscript"/>
        </w:rPr>
        <w:t>C</w:t>
      </w:r>
      <w:r w:rsidRPr="00150B52">
        <w:t>” should read “Models for M</w:t>
      </w:r>
      <w:r w:rsidRPr="00150B52">
        <w:rPr>
          <w:rStyle w:val="Subscript"/>
        </w:rPr>
        <w:t>C</w:t>
      </w:r>
      <w:r w:rsidRPr="00150B52">
        <w:t>”.</w:t>
      </w:r>
    </w:p>
    <w:p w:rsidR="00105294" w:rsidRPr="00DA2B98" w:rsidRDefault="00E6775B" w:rsidP="00F53C13">
      <w:pPr>
        <w:pStyle w:val="Listbulletlevel1numbered"/>
      </w:pPr>
      <w:r w:rsidRPr="00DA2B98">
        <w:t>Page 42. Table 12. T</w:t>
      </w:r>
      <w:r w:rsidR="00105294" w:rsidRPr="00DA2B98">
        <w:t>here was a change in the model numbers between the draft and final documents</w:t>
      </w:r>
      <w:r w:rsidRPr="00DA2B98">
        <w:t xml:space="preserve"> of the report</w:t>
      </w:r>
      <w:r w:rsidR="00105294" w:rsidRPr="00DA2B98">
        <w:t xml:space="preserve"> and the wrong version of the model numbers were used in the </w:t>
      </w:r>
      <w:r w:rsidRPr="00DA2B98">
        <w:t>Table 12</w:t>
      </w:r>
      <w:r w:rsidR="00105294" w:rsidRPr="00DA2B98">
        <w:t xml:space="preserve">. MC models 5, 9 &amp; 91 </w:t>
      </w:r>
      <w:r w:rsidRPr="00DA2B98">
        <w:t>in Table</w:t>
      </w:r>
      <w:r w:rsidR="00CE49DF" w:rsidRPr="00DA2B98">
        <w:t xml:space="preserve"> 12</w:t>
      </w:r>
      <w:r w:rsidR="00105294" w:rsidRPr="00DA2B98">
        <w:t xml:space="preserve"> </w:t>
      </w:r>
      <w:r w:rsidRPr="00DA2B98">
        <w:t>are</w:t>
      </w:r>
      <w:r w:rsidR="00105294" w:rsidRPr="00DA2B98">
        <w:t xml:space="preserve"> the listed in Table 4 as MC model 1. MC model 7 </w:t>
      </w:r>
      <w:r w:rsidR="00CE49DF" w:rsidRPr="00DA2B98">
        <w:t xml:space="preserve">in Table 12 </w:t>
      </w:r>
      <w:r w:rsidR="00105294" w:rsidRPr="00DA2B98">
        <w:t>is listed MC model 2</w:t>
      </w:r>
      <w:r w:rsidR="00CE49DF" w:rsidRPr="00DA2B98">
        <w:t xml:space="preserve"> in Table 4</w:t>
      </w:r>
      <w:r w:rsidR="00105294" w:rsidRPr="00DA2B98">
        <w:t xml:space="preserve">. MC model 102 </w:t>
      </w:r>
      <w:r w:rsidR="00CE49DF" w:rsidRPr="00DA2B98">
        <w:t xml:space="preserve">in Table 12 </w:t>
      </w:r>
      <w:r w:rsidR="00105294" w:rsidRPr="00DA2B98">
        <w:t>is missing from Table 4. It is a single corner model which is complete above M5.0 since 1963.</w:t>
      </w:r>
      <w:r w:rsidR="000C2DCE">
        <w:t xml:space="preserve"> </w:t>
      </w:r>
      <w:r w:rsidR="00105294" w:rsidRPr="00DA2B98">
        <w:t xml:space="preserve">MC model 103 </w:t>
      </w:r>
      <w:r w:rsidR="00CE49DF" w:rsidRPr="00DA2B98">
        <w:t xml:space="preserve">in Table 12 </w:t>
      </w:r>
      <w:r w:rsidR="00105294" w:rsidRPr="00DA2B98">
        <w:t>is complete above M5 from 1995.</w:t>
      </w:r>
    </w:p>
    <w:p w:rsidR="00105294" w:rsidRPr="00150B52" w:rsidRDefault="00105294" w:rsidP="00F53C13">
      <w:pPr>
        <w:pStyle w:val="Listbulletlevel1numbered"/>
      </w:pPr>
      <w:r w:rsidRPr="00150B52">
        <w:t>Page 43. The following sentence should be added to the caption. “A</w:t>
      </w:r>
      <w:r w:rsidRPr="00150B52">
        <w:rPr>
          <w:rStyle w:val="Subscript"/>
        </w:rPr>
        <w:t xml:space="preserve">3.5 </w:t>
      </w:r>
      <w:r w:rsidRPr="00150B52">
        <w:t>is the number of earthquakes above M3.5 per year in the zone”.</w:t>
      </w:r>
    </w:p>
    <w:p w:rsidR="00150B52" w:rsidRPr="00150B52" w:rsidRDefault="00105294" w:rsidP="00F53C13">
      <w:pPr>
        <w:pStyle w:val="Listbulletlevel1numbered"/>
      </w:pPr>
      <w:r w:rsidRPr="00150B52">
        <w:t>Page 55. Dot point 6. It should read as follows: “Ground motions were calculated out to a distance of 100 km for each earthquake”.</w:t>
      </w:r>
    </w:p>
    <w:p w:rsidR="00150B52" w:rsidRPr="00150B52" w:rsidRDefault="00105294" w:rsidP="00F53C13">
      <w:pPr>
        <w:pStyle w:val="Listbulletlevel1numbered"/>
      </w:pPr>
      <w:r w:rsidRPr="00150B52">
        <w:t>Page 57. Figure 35 caption. The sentence “…with a 300 km Gaussian spatial filter…” should read “…with a 240 km Gaussian spatial filter”.</w:t>
      </w:r>
    </w:p>
    <w:p w:rsidR="00150B52" w:rsidRPr="00150B52" w:rsidRDefault="00105294" w:rsidP="00F53C13">
      <w:pPr>
        <w:pStyle w:val="Listbulletlevel1numbered"/>
      </w:pPr>
      <w:r w:rsidRPr="00150B52">
        <w:t>Page 60, Figure 38 caption. The sentence “A 240 km Gaussian spatial filter…” should be “A 120 km Gaussian spatial filter…”</w:t>
      </w:r>
    </w:p>
    <w:p w:rsidR="000C2DCE" w:rsidRDefault="00E86F2B" w:rsidP="00F53C13">
      <w:pPr>
        <w:pStyle w:val="Listbulletlevel1numbered"/>
      </w:pPr>
      <w:r w:rsidRPr="00150B52">
        <w:t>Page 104, Figure E 3 caption. “…based on the centroid of each zone in Figure 2”</w:t>
      </w:r>
      <w:r w:rsidR="000C2DCE">
        <w:t xml:space="preserve"> </w:t>
      </w:r>
      <w:r w:rsidRPr="00150B52">
        <w:t>should be ““…based on the centroid of each zone in Figure E 2”.</w:t>
      </w:r>
    </w:p>
    <w:p w:rsidR="00CE52F5" w:rsidRDefault="00CE52F5" w:rsidP="00552102">
      <w:pPr>
        <w:pStyle w:val="Heading1"/>
      </w:pPr>
      <w:bookmarkStart w:id="59" w:name="_Toc371577707"/>
      <w:r>
        <w:lastRenderedPageBreak/>
        <w:t>References</w:t>
      </w:r>
      <w:bookmarkEnd w:id="19"/>
      <w:bookmarkEnd w:id="20"/>
      <w:bookmarkEnd w:id="59"/>
    </w:p>
    <w:p w:rsidR="000C2DCE" w:rsidRDefault="007C03FF" w:rsidP="00150B52">
      <w:pPr>
        <w:pStyle w:val="References"/>
      </w:pPr>
      <w:r w:rsidRPr="003E4704">
        <w:t>Allen, T.I., 2012</w:t>
      </w:r>
      <w:r>
        <w:t>a</w:t>
      </w:r>
      <w:r w:rsidRPr="003E4704">
        <w:t xml:space="preserve">. </w:t>
      </w:r>
      <w:r w:rsidRPr="003B22AE">
        <w:t xml:space="preserve">Stochastic ground-motion prediction equations for </w:t>
      </w:r>
      <w:proofErr w:type="spellStart"/>
      <w:r w:rsidRPr="003B22AE">
        <w:t>southeastern</w:t>
      </w:r>
      <w:proofErr w:type="spellEnd"/>
      <w:r w:rsidRPr="003B22AE">
        <w:t xml:space="preserve"> Australian earthquakes using updated source and attenuation parameters</w:t>
      </w:r>
      <w:r w:rsidR="001D46A9">
        <w:t>.</w:t>
      </w:r>
      <w:r w:rsidRPr="003E4704">
        <w:t xml:space="preserve"> </w:t>
      </w:r>
      <w:r w:rsidR="00A40425">
        <w:rPr>
          <w:rStyle w:val="ReferencesItalic"/>
        </w:rPr>
        <w:t>R</w:t>
      </w:r>
      <w:r w:rsidRPr="00150B52">
        <w:rPr>
          <w:rStyle w:val="ReferencesItalic"/>
        </w:rPr>
        <w:t>ecord</w:t>
      </w:r>
      <w:r w:rsidRPr="003E4704">
        <w:t xml:space="preserve"> 2012/69.</w:t>
      </w:r>
      <w:r w:rsidR="00A40425">
        <w:t xml:space="preserve"> </w:t>
      </w:r>
      <w:r w:rsidR="00A40425" w:rsidRPr="00580856">
        <w:t>Geoscience Australia</w:t>
      </w:r>
    </w:p>
    <w:p w:rsidR="007C03FF" w:rsidRDefault="007C03FF" w:rsidP="00150B52">
      <w:pPr>
        <w:pStyle w:val="References"/>
      </w:pPr>
      <w:r w:rsidRPr="003E4704">
        <w:t xml:space="preserve">Allen, T. I., </w:t>
      </w:r>
      <w:proofErr w:type="spellStart"/>
      <w:r w:rsidRPr="003E4704">
        <w:t>Dhu</w:t>
      </w:r>
      <w:proofErr w:type="spellEnd"/>
      <w:r w:rsidRPr="003E4704">
        <w:t>,</w:t>
      </w:r>
      <w:r w:rsidR="001D46A9" w:rsidRPr="001D46A9">
        <w:t xml:space="preserve"> </w:t>
      </w:r>
      <w:r w:rsidR="001D46A9">
        <w:t>T.,</w:t>
      </w:r>
      <w:r w:rsidRPr="003E4704">
        <w:t xml:space="preserve"> </w:t>
      </w:r>
      <w:r w:rsidR="00A40425">
        <w:t>Cummins,</w:t>
      </w:r>
      <w:r w:rsidR="001D46A9">
        <w:t xml:space="preserve"> </w:t>
      </w:r>
      <w:r w:rsidR="001D46A9" w:rsidRPr="003E4704">
        <w:t>P. R</w:t>
      </w:r>
      <w:r w:rsidR="001D46A9">
        <w:t xml:space="preserve">. and </w:t>
      </w:r>
      <w:r w:rsidR="00A40425">
        <w:t>Schneider</w:t>
      </w:r>
      <w:r w:rsidR="001D46A9">
        <w:t xml:space="preserve"> J. F.,</w:t>
      </w:r>
      <w:r w:rsidR="00A40425">
        <w:t xml:space="preserve"> 2006</w:t>
      </w:r>
      <w:r w:rsidRPr="003E4704">
        <w:t>. Empirical attenuation of ground-motion spectral amplitudes in</w:t>
      </w:r>
      <w:r w:rsidR="001D46A9">
        <w:t xml:space="preserve"> </w:t>
      </w:r>
      <w:proofErr w:type="spellStart"/>
      <w:r w:rsidR="001D46A9">
        <w:t>southwestern</w:t>
      </w:r>
      <w:proofErr w:type="spellEnd"/>
      <w:r w:rsidR="001D46A9">
        <w:t xml:space="preserve"> Western Australia.</w:t>
      </w:r>
      <w:r w:rsidRPr="003E4704">
        <w:t xml:space="preserve"> </w:t>
      </w:r>
      <w:r w:rsidRPr="00150B52">
        <w:rPr>
          <w:rStyle w:val="ReferencesItalic"/>
        </w:rPr>
        <w:t>Bull. Seism. Soc. Am</w:t>
      </w:r>
      <w:r w:rsidRPr="003E4704">
        <w:t xml:space="preserve">. </w:t>
      </w:r>
      <w:r w:rsidRPr="00150B52">
        <w:rPr>
          <w:rStyle w:val="ReferencesItalic"/>
        </w:rPr>
        <w:t>96,</w:t>
      </w:r>
      <w:r w:rsidRPr="003E4704">
        <w:t xml:space="preserve"> 572–585.</w:t>
      </w:r>
    </w:p>
    <w:p w:rsidR="000C2DCE" w:rsidRDefault="007C03FF" w:rsidP="00150B52">
      <w:pPr>
        <w:pStyle w:val="References"/>
      </w:pPr>
      <w:r w:rsidRPr="003E4704">
        <w:t>Allen, T.I.</w:t>
      </w:r>
      <w:r>
        <w:t>, Leonard</w:t>
      </w:r>
      <w:r w:rsidR="001D46A9">
        <w:t>,</w:t>
      </w:r>
      <w:r>
        <w:t xml:space="preserve"> M. and Collins</w:t>
      </w:r>
      <w:r w:rsidR="001D46A9">
        <w:t>,</w:t>
      </w:r>
      <w:r>
        <w:t xml:space="preserve"> C. D. N.</w:t>
      </w:r>
      <w:r w:rsidRPr="003E4704">
        <w:t>, 2012</w:t>
      </w:r>
      <w:r>
        <w:t>a. Ground Motion Prediction Equations.</w:t>
      </w:r>
      <w:r w:rsidRPr="007274DF">
        <w:t xml:space="preserve"> In: </w:t>
      </w:r>
      <w:r>
        <w:t>D. R. Burbidge</w:t>
      </w:r>
      <w:r w:rsidRPr="007274DF">
        <w:t xml:space="preserve"> (ed.), </w:t>
      </w:r>
      <w:r>
        <w:t>The 2012 Australian Earthquake Hazard Map</w:t>
      </w:r>
      <w:r w:rsidRPr="003E4704">
        <w:t xml:space="preserve">. </w:t>
      </w:r>
      <w:r w:rsidRPr="00150B52">
        <w:rPr>
          <w:rStyle w:val="ReferencesItalic"/>
        </w:rPr>
        <w:t xml:space="preserve">Record </w:t>
      </w:r>
      <w:r>
        <w:t>2012/71, 5-16</w:t>
      </w:r>
      <w:r w:rsidRPr="003E4704">
        <w:t>.</w:t>
      </w:r>
      <w:r w:rsidR="00A40425" w:rsidRPr="00A40425">
        <w:rPr>
          <w:rStyle w:val="ReferencesItalic"/>
        </w:rPr>
        <w:t xml:space="preserve"> </w:t>
      </w:r>
      <w:r w:rsidR="00A40425" w:rsidRPr="00580856">
        <w:t>Geoscience Australia</w:t>
      </w:r>
    </w:p>
    <w:p w:rsidR="000C2DCE" w:rsidRDefault="001D46A9" w:rsidP="00150B52">
      <w:pPr>
        <w:pStyle w:val="References"/>
      </w:pPr>
      <w:r>
        <w:t>Burbidge, D. R. (ed.), 2012</w:t>
      </w:r>
      <w:r w:rsidR="007C03FF">
        <w:t>.</w:t>
      </w:r>
      <w:r w:rsidR="007C03FF" w:rsidRPr="007274DF">
        <w:t xml:space="preserve"> </w:t>
      </w:r>
      <w:r w:rsidR="007C03FF">
        <w:t>The 2012 Australian Earthquake Hazard Map</w:t>
      </w:r>
      <w:r w:rsidR="007C03FF" w:rsidRPr="00150B52">
        <w:rPr>
          <w:rStyle w:val="ReferencesItalic"/>
        </w:rPr>
        <w:t>. Record</w:t>
      </w:r>
      <w:r w:rsidR="0034584B">
        <w:t xml:space="preserve"> 2012/71</w:t>
      </w:r>
      <w:r w:rsidR="007C03FF">
        <w:t>.</w:t>
      </w:r>
      <w:r w:rsidR="00A40425">
        <w:t xml:space="preserve"> </w:t>
      </w:r>
      <w:r w:rsidR="00A40425" w:rsidRPr="00580856">
        <w:t>Geoscience Australia</w:t>
      </w:r>
    </w:p>
    <w:p w:rsidR="000C2DCE" w:rsidRDefault="00C21A0B" w:rsidP="00150B52">
      <w:pPr>
        <w:pStyle w:val="References"/>
      </w:pPr>
      <w:r>
        <w:t xml:space="preserve">Burbidge, D.R., Leonard, M., Robinson, D. and </w:t>
      </w:r>
      <w:proofErr w:type="spellStart"/>
      <w:r>
        <w:t>Gray</w:t>
      </w:r>
      <w:proofErr w:type="spellEnd"/>
      <w:r>
        <w:t xml:space="preserve">, D., </w:t>
      </w:r>
      <w:r w:rsidR="001D46A9">
        <w:t xml:space="preserve">2012. </w:t>
      </w:r>
      <w:r>
        <w:t>The 2012 Australian Earthquake Hazard Map, in Burbidge, D. R. (ed.), 2012 .</w:t>
      </w:r>
      <w:r w:rsidRPr="007274DF">
        <w:t xml:space="preserve"> </w:t>
      </w:r>
      <w:r>
        <w:t>The 2012 Australian Earthquake Hazard Map</w:t>
      </w:r>
      <w:r w:rsidR="0034584B">
        <w:rPr>
          <w:rStyle w:val="ReferencesItalic"/>
        </w:rPr>
        <w:t>.</w:t>
      </w:r>
      <w:r w:rsidR="000C2DCE">
        <w:rPr>
          <w:rStyle w:val="ReferencesItalic"/>
        </w:rPr>
        <w:t xml:space="preserve"> </w:t>
      </w:r>
      <w:r w:rsidRPr="00150B52">
        <w:rPr>
          <w:rStyle w:val="ReferencesItalic"/>
        </w:rPr>
        <w:t>Record</w:t>
      </w:r>
      <w:r w:rsidR="0034584B">
        <w:t xml:space="preserve"> 2012/71</w:t>
      </w:r>
      <w:r w:rsidR="00A40425">
        <w:t xml:space="preserve"> </w:t>
      </w:r>
      <w:r w:rsidR="00A40425" w:rsidRPr="00580856">
        <w:t>Geoscience Australia</w:t>
      </w:r>
    </w:p>
    <w:p w:rsidR="000C2DCE" w:rsidRDefault="007C03FF" w:rsidP="00150B52">
      <w:pPr>
        <w:pStyle w:val="References"/>
      </w:pPr>
      <w:r w:rsidRPr="003E4704">
        <w:t>Clark, D., McPherson, A. and Collins, C. D. N.</w:t>
      </w:r>
      <w:r w:rsidR="001D46A9">
        <w:t>,</w:t>
      </w:r>
      <w:r w:rsidRPr="003E4704">
        <w:t xml:space="preserve"> 2011. Australia’s </w:t>
      </w:r>
      <w:proofErr w:type="spellStart"/>
      <w:r w:rsidRPr="003E4704">
        <w:t>seismogenic</w:t>
      </w:r>
      <w:proofErr w:type="spellEnd"/>
      <w:r w:rsidRPr="003E4704">
        <w:t xml:space="preserve"> </w:t>
      </w:r>
      <w:proofErr w:type="spellStart"/>
      <w:r w:rsidRPr="003E4704">
        <w:t>neotectonic</w:t>
      </w:r>
      <w:proofErr w:type="spellEnd"/>
      <w:r w:rsidRPr="003E4704">
        <w:t xml:space="preserve"> record: a case for heterogeneous </w:t>
      </w:r>
      <w:proofErr w:type="spellStart"/>
      <w:r w:rsidRPr="003E4704">
        <w:t>intraplate</w:t>
      </w:r>
      <w:proofErr w:type="spellEnd"/>
      <w:r w:rsidRPr="003E4704">
        <w:t xml:space="preserve"> deformation. </w:t>
      </w:r>
      <w:r w:rsidRPr="00150B52">
        <w:rPr>
          <w:rStyle w:val="ReferencesItalic"/>
        </w:rPr>
        <w:t>Record</w:t>
      </w:r>
      <w:r w:rsidR="0034584B">
        <w:t xml:space="preserve"> 2011/11</w:t>
      </w:r>
      <w:r w:rsidRPr="003E4704">
        <w:t>.</w:t>
      </w:r>
      <w:r w:rsidR="00A40425">
        <w:t xml:space="preserve"> </w:t>
      </w:r>
      <w:r w:rsidR="00A40425" w:rsidRPr="00580856">
        <w:t>Geoscience Australia</w:t>
      </w:r>
    </w:p>
    <w:p w:rsidR="007C03FF" w:rsidRDefault="007C03FF" w:rsidP="00150B52">
      <w:pPr>
        <w:pStyle w:val="References"/>
      </w:pPr>
      <w:r w:rsidRPr="003E4704">
        <w:t xml:space="preserve">Clark, D., McPherson, A. and Van </w:t>
      </w:r>
      <w:proofErr w:type="spellStart"/>
      <w:r w:rsidR="00A40425">
        <w:t>Dissen</w:t>
      </w:r>
      <w:proofErr w:type="spellEnd"/>
      <w:r w:rsidR="00A40425">
        <w:t>, R.</w:t>
      </w:r>
      <w:r w:rsidR="001D46A9">
        <w:t>,</w:t>
      </w:r>
      <w:r w:rsidR="00A40425">
        <w:t xml:space="preserve"> 2012</w:t>
      </w:r>
      <w:r w:rsidR="001D46A9">
        <w:t>.</w:t>
      </w:r>
      <w:r w:rsidRPr="003E4704">
        <w:t xml:space="preserve"> Long-term behaviour of Australian Stable Continental Region (SCR) faults. </w:t>
      </w:r>
      <w:proofErr w:type="spellStart"/>
      <w:r w:rsidRPr="00150B52">
        <w:rPr>
          <w:rStyle w:val="ReferencesItalic"/>
        </w:rPr>
        <w:t>Tectonophysics</w:t>
      </w:r>
      <w:proofErr w:type="spellEnd"/>
      <w:r w:rsidRPr="003E4704">
        <w:t xml:space="preserve"> </w:t>
      </w:r>
      <w:r w:rsidRPr="007C03FF">
        <w:t>566-567</w:t>
      </w:r>
      <w:r w:rsidRPr="003E4704">
        <w:t>, 1-30.</w:t>
      </w:r>
    </w:p>
    <w:p w:rsidR="007C03FF" w:rsidRDefault="007C03FF" w:rsidP="003E4C1E">
      <w:pPr>
        <w:pStyle w:val="References"/>
      </w:pPr>
      <w:r w:rsidRPr="003E4704">
        <w:t>Leonard M.</w:t>
      </w:r>
      <w:r w:rsidR="001D46A9">
        <w:t>,</w:t>
      </w:r>
      <w:r w:rsidRPr="003E4704">
        <w:t xml:space="preserve"> 2008. One hundred years of eart</w:t>
      </w:r>
      <w:r w:rsidR="001D46A9">
        <w:t>hquake recording in Australia.</w:t>
      </w:r>
      <w:r w:rsidRPr="003E4704">
        <w:t xml:space="preserve"> </w:t>
      </w:r>
      <w:r w:rsidRPr="00150B52">
        <w:rPr>
          <w:rStyle w:val="ReferencesItalic"/>
        </w:rPr>
        <w:t>Bull. Seism. Soc. Am.</w:t>
      </w:r>
      <w:r w:rsidRPr="003E4704">
        <w:t xml:space="preserve"> </w:t>
      </w:r>
      <w:r w:rsidRPr="007C03FF">
        <w:t>98</w:t>
      </w:r>
      <w:r w:rsidRPr="003E4704">
        <w:t>, 1458-1470.</w:t>
      </w:r>
    </w:p>
    <w:p w:rsidR="000C2DCE" w:rsidRDefault="006D4695" w:rsidP="00150B52">
      <w:pPr>
        <w:pStyle w:val="References"/>
      </w:pPr>
      <w:r>
        <w:t>Leonard M.</w:t>
      </w:r>
      <w:r w:rsidR="001D46A9">
        <w:t>,</w:t>
      </w:r>
      <w:r>
        <w:t xml:space="preserve"> 2012a</w:t>
      </w:r>
      <w:r w:rsidR="001D46A9">
        <w:t>.</w:t>
      </w:r>
      <w:r>
        <w:t xml:space="preserve"> Earthquake Recurrence Parameterisation.</w:t>
      </w:r>
      <w:r w:rsidRPr="007274DF">
        <w:t xml:space="preserve"> In: </w:t>
      </w:r>
      <w:r>
        <w:t>D. R. Burbidge</w:t>
      </w:r>
      <w:r w:rsidRPr="007274DF">
        <w:t xml:space="preserve"> (ed.), </w:t>
      </w:r>
      <w:r>
        <w:t>The 2012 Australian Earthquake Hazard Map</w:t>
      </w:r>
      <w:r w:rsidRPr="003E4704">
        <w:t xml:space="preserve">. </w:t>
      </w:r>
      <w:r w:rsidRPr="00150B52">
        <w:rPr>
          <w:rStyle w:val="ReferencesItalic"/>
        </w:rPr>
        <w:t>Record</w:t>
      </w:r>
      <w:r>
        <w:t xml:space="preserve"> 2012/71, 27-43</w:t>
      </w:r>
      <w:r w:rsidRPr="003E4704">
        <w:t xml:space="preserve">. </w:t>
      </w:r>
      <w:r w:rsidR="0034584B" w:rsidRPr="00580856">
        <w:t>Geoscience Australia</w:t>
      </w:r>
    </w:p>
    <w:p w:rsidR="000C2DCE" w:rsidRDefault="007C03FF" w:rsidP="00150B52">
      <w:pPr>
        <w:pStyle w:val="References"/>
      </w:pPr>
      <w:r>
        <w:t>Leonard</w:t>
      </w:r>
      <w:r w:rsidR="001D46A9">
        <w:t>,</w:t>
      </w:r>
      <w:r>
        <w:t xml:space="preserve"> M., McPherson</w:t>
      </w:r>
      <w:r w:rsidR="001D46A9">
        <w:t>,</w:t>
      </w:r>
      <w:r>
        <w:t xml:space="preserve"> A. and Clark</w:t>
      </w:r>
      <w:r w:rsidR="001D46A9">
        <w:t>,</w:t>
      </w:r>
      <w:r>
        <w:t xml:space="preserve"> D.</w:t>
      </w:r>
      <w:r w:rsidR="001D46A9">
        <w:t>,</w:t>
      </w:r>
      <w:r>
        <w:t xml:space="preserve"> 2012</w:t>
      </w:r>
      <w:r w:rsidRPr="007274DF">
        <w:t xml:space="preserve">. </w:t>
      </w:r>
      <w:r>
        <w:t>Source Zonation</w:t>
      </w:r>
      <w:r w:rsidRPr="007274DF">
        <w:t xml:space="preserve"> In: </w:t>
      </w:r>
      <w:r>
        <w:t>D. R. Burbidge</w:t>
      </w:r>
      <w:r w:rsidRPr="007274DF">
        <w:t xml:space="preserve"> (ed.), </w:t>
      </w:r>
      <w:r>
        <w:t>The 2012 Australian Earthquake Hazard Map</w:t>
      </w:r>
      <w:r w:rsidRPr="00150B52">
        <w:rPr>
          <w:rStyle w:val="ReferencesItalic"/>
        </w:rPr>
        <w:t>. Record</w:t>
      </w:r>
      <w:r>
        <w:t xml:space="preserve"> 2012/71, 17-26</w:t>
      </w:r>
      <w:r w:rsidRPr="003E4704">
        <w:t>.</w:t>
      </w:r>
      <w:r w:rsidR="0034584B">
        <w:t xml:space="preserve"> </w:t>
      </w:r>
      <w:r w:rsidR="0034584B" w:rsidRPr="00580856">
        <w:t>Geoscience Australia</w:t>
      </w:r>
    </w:p>
    <w:p w:rsidR="000C2DCE" w:rsidRDefault="00086609" w:rsidP="00150B52">
      <w:pPr>
        <w:pStyle w:val="References"/>
      </w:pPr>
      <w:r>
        <w:t>Leonard M.</w:t>
      </w:r>
      <w:r w:rsidR="001D46A9">
        <w:t>,</w:t>
      </w:r>
      <w:r>
        <w:t xml:space="preserve"> 2013</w:t>
      </w:r>
      <w:r w:rsidRPr="003E4704">
        <w:t xml:space="preserve">. </w:t>
      </w:r>
      <w:r w:rsidRPr="007C03FF">
        <w:t>The challenges of probabilistic seismic hazard assessment in stable continental interiors - an Australian example.</w:t>
      </w:r>
      <w:r w:rsidRPr="003E4704">
        <w:t xml:space="preserve"> </w:t>
      </w:r>
      <w:r w:rsidRPr="00150B52">
        <w:rPr>
          <w:rStyle w:val="ReferencesItalic"/>
        </w:rPr>
        <w:t>Bull. Seism. Soc. Am.</w:t>
      </w:r>
      <w:r w:rsidRPr="007C03FF">
        <w:t xml:space="preserve"> </w:t>
      </w:r>
      <w:r w:rsidR="00A40425">
        <w:t>submitted</w:t>
      </w:r>
    </w:p>
    <w:p w:rsidR="007C03FF" w:rsidRDefault="00C31A30" w:rsidP="003D538D">
      <w:pPr>
        <w:pStyle w:val="References"/>
      </w:pPr>
      <w:r>
        <w:t>Reiter L.</w:t>
      </w:r>
      <w:r w:rsidR="001D46A9">
        <w:t>,</w:t>
      </w:r>
      <w:r>
        <w:t xml:space="preserve"> 1990</w:t>
      </w:r>
      <w:r w:rsidR="001D46A9">
        <w:t>.</w:t>
      </w:r>
      <w:r>
        <w:t xml:space="preserve"> Earthquake Haza</w:t>
      </w:r>
      <w:r w:rsidR="001D46A9">
        <w:t>rd Analysis Issues and Insights.</w:t>
      </w:r>
      <w:r>
        <w:t xml:space="preserve"> Columbia University Press.</w:t>
      </w:r>
    </w:p>
    <w:sectPr w:rsidR="007C03FF" w:rsidSect="00703F29">
      <w:pgSz w:w="11907" w:h="16840" w:code="9"/>
      <w:pgMar w:top="1985" w:right="1134" w:bottom="1418" w:left="1701" w:header="720" w:footer="39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75CE" w:rsidRPr="00F40070" w:rsidRDefault="00FA75CE" w:rsidP="00F40070">
      <w:pPr>
        <w:pStyle w:val="Footer"/>
      </w:pPr>
    </w:p>
  </w:endnote>
  <w:endnote w:type="continuationSeparator" w:id="0">
    <w:p w:rsidR="00FA75CE" w:rsidRPr="00F40070" w:rsidRDefault="00FA75CE" w:rsidP="00F40070">
      <w:pPr>
        <w:pStyle w:val="Footer"/>
      </w:pPr>
    </w:p>
  </w:endnote>
  <w:endnote w:type="continuationNotice" w:id="1">
    <w:p w:rsidR="00FA75CE" w:rsidRPr="00F40070" w:rsidRDefault="00FA75CE" w:rsidP="00F40070">
      <w:pPr>
        <w:pStyle w:val="Foote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1974522"/>
      <w:docPartObj>
        <w:docPartGallery w:val="Page Numbers (Bottom of Page)"/>
        <w:docPartUnique/>
      </w:docPartObj>
    </w:sdtPr>
    <w:sdtEndPr>
      <w:rPr>
        <w:rStyle w:val="PageNumber"/>
      </w:rPr>
    </w:sdtEndPr>
    <w:sdtContent>
      <w:p w:rsidR="00FA75CE" w:rsidRPr="005A6F6C" w:rsidRDefault="00FA75CE" w:rsidP="00952C11">
        <w:pPr>
          <w:pStyle w:val="Footer"/>
          <w:rPr>
            <w:rStyle w:val="PageNumber"/>
            <w:b w:val="0"/>
          </w:rPr>
        </w:pPr>
        <w:r w:rsidRPr="005A6F6C">
          <w:rPr>
            <w:rStyle w:val="PageNumber"/>
            <w:b w:val="0"/>
          </w:rPr>
          <w:fldChar w:fldCharType="begin"/>
        </w:r>
        <w:r w:rsidRPr="005A6F6C">
          <w:rPr>
            <w:rStyle w:val="PageNumber"/>
          </w:rPr>
          <w:instrText xml:space="preserve"> PAGE   \* MERGEFORMAT </w:instrText>
        </w:r>
        <w:r w:rsidRPr="005A6F6C">
          <w:rPr>
            <w:rStyle w:val="PageNumber"/>
            <w:b w:val="0"/>
          </w:rPr>
          <w:fldChar w:fldCharType="separate"/>
        </w:r>
        <w:r w:rsidR="006220B6">
          <w:rPr>
            <w:rStyle w:val="PageNumber"/>
            <w:noProof/>
          </w:rPr>
          <w:t>38</w:t>
        </w:r>
        <w:r w:rsidRPr="005A6F6C">
          <w:rPr>
            <w:rStyle w:val="PageNumber"/>
            <w:b w:val="0"/>
          </w:rPr>
          <w:fldChar w:fldCharType="end"/>
        </w:r>
        <w:r w:rsidRPr="005A6F6C">
          <w:rPr>
            <w:rStyle w:val="PageNumber"/>
          </w:rPr>
          <w:tab/>
        </w:r>
        <w:r>
          <w:rPr>
            <w:rStyle w:val="Bodytextitalic"/>
            <w:i w:val="0"/>
          </w:rPr>
          <w:t xml:space="preserve"> Atlas of Seismic Hazard Maps of Australia</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1133999"/>
      <w:docPartObj>
        <w:docPartGallery w:val="Page Numbers (Bottom of Page)"/>
        <w:docPartUnique/>
      </w:docPartObj>
    </w:sdtPr>
    <w:sdtEndPr/>
    <w:sdtContent>
      <w:p w:rsidR="00FA75CE" w:rsidRPr="005A6F6C" w:rsidRDefault="00FA75CE" w:rsidP="00952C11">
        <w:pPr>
          <w:pStyle w:val="Footer"/>
        </w:pPr>
        <w:r>
          <w:rPr>
            <w:rStyle w:val="Bodytextitalic"/>
            <w:i w:val="0"/>
          </w:rPr>
          <w:t>Atlas of Seismic Hazard Maps of Australia</w:t>
        </w:r>
        <w:r w:rsidRPr="005A6F6C">
          <w:tab/>
        </w:r>
        <w:r w:rsidRPr="005A6F6C">
          <w:rPr>
            <w:rStyle w:val="PageNumber"/>
            <w:b w:val="0"/>
          </w:rPr>
          <w:fldChar w:fldCharType="begin"/>
        </w:r>
        <w:r w:rsidRPr="005A6F6C">
          <w:rPr>
            <w:rStyle w:val="PageNumber"/>
          </w:rPr>
          <w:instrText xml:space="preserve"> PAGE   \* MERGEFORMAT </w:instrText>
        </w:r>
        <w:r w:rsidRPr="005A6F6C">
          <w:rPr>
            <w:rStyle w:val="PageNumber"/>
            <w:b w:val="0"/>
          </w:rPr>
          <w:fldChar w:fldCharType="separate"/>
        </w:r>
        <w:r w:rsidR="006220B6">
          <w:rPr>
            <w:rStyle w:val="PageNumber"/>
            <w:noProof/>
          </w:rPr>
          <w:t>39</w:t>
        </w:r>
        <w:r w:rsidRPr="005A6F6C">
          <w:rPr>
            <w:rStyle w:val="PageNumber"/>
            <w:b w:val="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75CE" w:rsidRPr="00F40070" w:rsidRDefault="00FA75CE" w:rsidP="00F40070">
      <w:pPr>
        <w:pStyle w:val="Footer"/>
      </w:pPr>
    </w:p>
  </w:footnote>
  <w:footnote w:type="continuationSeparator" w:id="0">
    <w:p w:rsidR="00FA75CE" w:rsidRPr="00F40070" w:rsidRDefault="00FA75CE" w:rsidP="00F40070">
      <w:pPr>
        <w:pStyle w:val="Footer"/>
      </w:pPr>
    </w:p>
  </w:footnote>
  <w:footnote w:type="continuationNotice" w:id="1">
    <w:p w:rsidR="00FA75CE" w:rsidRPr="00F40070" w:rsidRDefault="00FA75CE" w:rsidP="00F40070">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75CE" w:rsidRPr="00E1079C" w:rsidRDefault="00FA75CE" w:rsidP="00150B52">
    <w:pPr>
      <w:pStyle w:val="BodyTex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75CE" w:rsidRPr="00F5164C" w:rsidRDefault="00FA75CE" w:rsidP="00150B52">
    <w:pPr>
      <w:pStyle w:val="BodyTex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75CE" w:rsidRDefault="00FA75CE" w:rsidP="00150B5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3B0BD8"/>
    <w:multiLevelType w:val="multilevel"/>
    <w:tmpl w:val="7C369B30"/>
    <w:styleLink w:val="Bulletnew"/>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2">
    <w:nsid w:val="00D62FE1"/>
    <w:multiLevelType w:val="multilevel"/>
    <w:tmpl w:val="A4B8C762"/>
    <w:styleLink w:val="GAAppendices"/>
    <w:lvl w:ilvl="0">
      <w:start w:val="1"/>
      <w:numFmt w:val="upperLetter"/>
      <w:pStyle w:val="Heading9"/>
      <w:suff w:val="space"/>
      <w:lvlText w:val="Appendix %1"/>
      <w:lvlJc w:val="left"/>
      <w:pPr>
        <w:ind w:left="0" w:firstLine="0"/>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0" w:firstLine="0"/>
      </w:pPr>
      <w:rPr>
        <w:rFonts w:hint="default"/>
      </w:rPr>
    </w:lvl>
    <w:lvl w:ilvl="2">
      <w:start w:val="1"/>
      <w:numFmt w:val="decimal"/>
      <w:pStyle w:val="Headingappendix3"/>
      <w:suff w:val="space"/>
      <w:lvlText w:val="%1.%2.%3"/>
      <w:lvlJc w:val="left"/>
      <w:pPr>
        <w:ind w:left="0" w:firstLine="0"/>
      </w:pPr>
      <w:rPr>
        <w:rFonts w:hint="default"/>
      </w:rPr>
    </w:lvl>
    <w:lvl w:ilvl="3">
      <w:start w:val="1"/>
      <w:numFmt w:val="decimal"/>
      <w:pStyle w:val="Headingappendix4"/>
      <w:suff w:val="space"/>
      <w:lvlText w:val="%1.%2.%3.%4"/>
      <w:lvlJc w:val="left"/>
      <w:pPr>
        <w:ind w:left="0" w:firstLine="0"/>
      </w:pPr>
      <w:rPr>
        <w:rFonts w:hint="default"/>
      </w:rPr>
    </w:lvl>
    <w:lvl w:ilvl="4">
      <w:start w:val="1"/>
      <w:numFmt w:val="decimal"/>
      <w:pStyle w:val="Headingappendix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3">
    <w:nsid w:val="01C80A0C"/>
    <w:multiLevelType w:val="multilevel"/>
    <w:tmpl w:val="49E65A48"/>
    <w:lvl w:ilvl="0">
      <w:start w:val="1"/>
      <w:numFmt w:val="bullet"/>
      <w:pStyle w:val="Listbulletlevel1"/>
      <w:lvlText w:val=""/>
      <w:lvlJc w:val="left"/>
      <w:pPr>
        <w:tabs>
          <w:tab w:val="num" w:pos="567"/>
        </w:tabs>
        <w:ind w:left="567" w:hanging="283"/>
      </w:pPr>
      <w:rPr>
        <w:rFonts w:ascii="Symbol" w:hAnsi="Symbol" w:hint="default"/>
        <w:color w:val="auto"/>
      </w:rPr>
    </w:lvl>
    <w:lvl w:ilvl="1">
      <w:start w:val="1"/>
      <w:numFmt w:val="bullet"/>
      <w:pStyle w:val="List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4">
    <w:nsid w:val="0207720D"/>
    <w:multiLevelType w:val="multilevel"/>
    <w:tmpl w:val="7C123498"/>
    <w:lvl w:ilvl="0">
      <w:start w:val="1"/>
      <w:numFmt w:val="decimal"/>
      <w:pStyle w:val="Listbulletlevel1numbered"/>
      <w:lvlText w:val="%1."/>
      <w:lvlJc w:val="left"/>
      <w:pPr>
        <w:tabs>
          <w:tab w:val="num" w:pos="709"/>
        </w:tabs>
        <w:ind w:left="709" w:hanging="425"/>
      </w:pPr>
      <w:rPr>
        <w:rFonts w:hint="default"/>
      </w:rPr>
    </w:lvl>
    <w:lvl w:ilvl="1">
      <w:start w:val="1"/>
      <w:numFmt w:val="lowerLetter"/>
      <w:pStyle w:val="List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5">
    <w:nsid w:val="06C30F69"/>
    <w:multiLevelType w:val="multilevel"/>
    <w:tmpl w:val="4E30F72C"/>
    <w:styleLink w:val="BulletsNumbered"/>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6">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7">
    <w:nsid w:val="1F71600B"/>
    <w:multiLevelType w:val="multilevel"/>
    <w:tmpl w:val="F90AB092"/>
    <w:styleLink w:val="GAMultilevelList"/>
    <w:lvl w:ilvl="0">
      <w:start w:val="1"/>
      <w:numFmt w:val="decimal"/>
      <w:pStyle w:val="Heading1"/>
      <w:suff w:val="space"/>
      <w:lvlText w:val="%1 "/>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8">
    <w:nsid w:val="270778A5"/>
    <w:multiLevelType w:val="multilevel"/>
    <w:tmpl w:val="F90AB092"/>
    <w:numStyleLink w:val="GAMultilevelList"/>
  </w:abstractNum>
  <w:abstractNum w:abstractNumId="19">
    <w:nsid w:val="288A71F2"/>
    <w:multiLevelType w:val="multilevel"/>
    <w:tmpl w:val="57FCD7EE"/>
    <w:styleLink w:val="BulletsG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1">
    <w:nsid w:val="449E3173"/>
    <w:multiLevelType w:val="multilevel"/>
    <w:tmpl w:val="3446CB5C"/>
    <w:styleLink w:val="HeadingsNumbered"/>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2">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3">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20"/>
  </w:num>
  <w:num w:numId="2">
    <w:abstractNumId w:val="11"/>
  </w:num>
  <w:num w:numId="3">
    <w:abstractNumId w:val="19"/>
  </w:num>
  <w:num w:numId="4">
    <w:abstractNumId w:val="15"/>
  </w:num>
  <w:num w:numId="5">
    <w:abstractNumId w:val="21"/>
  </w:num>
  <w:num w:numId="6">
    <w:abstractNumId w:val="22"/>
  </w:num>
  <w:num w:numId="7">
    <w:abstractNumId w:val="16"/>
  </w:num>
  <w:num w:numId="8">
    <w:abstractNumId w:val="23"/>
  </w:num>
  <w:num w:numId="9">
    <w:abstractNumId w:val="12"/>
  </w:num>
  <w:num w:numId="10">
    <w:abstractNumId w:val="17"/>
  </w:num>
  <w:num w:numId="11">
    <w:abstractNumId w:val="18"/>
  </w:num>
  <w:num w:numId="12">
    <w:abstractNumId w:val="12"/>
  </w:num>
  <w:num w:numId="13">
    <w:abstractNumId w:val="9"/>
  </w:num>
  <w:num w:numId="14">
    <w:abstractNumId w:val="7"/>
  </w:num>
  <w:num w:numId="15">
    <w:abstractNumId w:val="6"/>
  </w:num>
  <w:num w:numId="16">
    <w:abstractNumId w:val="5"/>
  </w:num>
  <w:num w:numId="17">
    <w:abstractNumId w:val="4"/>
  </w:num>
  <w:num w:numId="18">
    <w:abstractNumId w:val="13"/>
  </w:num>
  <w:num w:numId="19">
    <w:abstractNumId w:val="14"/>
  </w:num>
  <w:num w:numId="20">
    <w:abstractNumId w:val="8"/>
  </w:num>
  <w:num w:numId="21">
    <w:abstractNumId w:val="3"/>
  </w:num>
  <w:num w:numId="22">
    <w:abstractNumId w:val="2"/>
  </w:num>
  <w:num w:numId="23">
    <w:abstractNumId w:val="1"/>
  </w:num>
  <w:num w:numId="24">
    <w:abstractNumId w:val="0"/>
  </w:num>
  <w:num w:numId="25">
    <w:abstractNumId w:val="1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embedSystemFonts/>
  <w:mirrorMargins/>
  <w:proofState w:spelling="clean" w:grammar="clean"/>
  <w:stylePaneFormatFilter w:val="1708" w:allStyles="0" w:customStyles="0" w:latentStyles="0" w:stylesInUse="1" w:headingStyles="0" w:numberingStyles="0" w:tableStyles="0" w:directFormattingOnRuns="1" w:directFormattingOnParagraphs="1" w:directFormattingOnNumbering="1" w:directFormattingOnTables="0" w:clearFormatting="1" w:top3HeadingStyles="0" w:visibleStyles="0" w:alternateStyleNames="0"/>
  <w:stylePaneSortMethod w:val="0000"/>
  <w:revisionView w:inkAnnotations="0"/>
  <w:doNotTrackFormatting/>
  <w:defaultTabStop w:val="2268"/>
  <w:clickAndTypeStyle w:val="BodyText"/>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32769"/>
  </w:hdrShapeDefaults>
  <w:footnotePr>
    <w:footnote w:id="-1"/>
    <w:footnote w:id="0"/>
    <w:footnote w:id="1"/>
  </w:footnotePr>
  <w:endnotePr>
    <w:endnote w:id="-1"/>
    <w:endnote w:id="0"/>
    <w:endnote w:id="1"/>
  </w:endnotePr>
  <w:compat>
    <w:suppressBottomSpacing/>
    <w:suppressSpBfAfterPgBrk/>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52F5"/>
    <w:rsid w:val="0000139E"/>
    <w:rsid w:val="000060AD"/>
    <w:rsid w:val="000065C4"/>
    <w:rsid w:val="000079F8"/>
    <w:rsid w:val="000148B9"/>
    <w:rsid w:val="00024679"/>
    <w:rsid w:val="00024F53"/>
    <w:rsid w:val="00025273"/>
    <w:rsid w:val="000256F6"/>
    <w:rsid w:val="00031F5D"/>
    <w:rsid w:val="00032BC0"/>
    <w:rsid w:val="000467F3"/>
    <w:rsid w:val="0004694B"/>
    <w:rsid w:val="00051A75"/>
    <w:rsid w:val="00052BF9"/>
    <w:rsid w:val="00053567"/>
    <w:rsid w:val="00055CA8"/>
    <w:rsid w:val="00056336"/>
    <w:rsid w:val="00056A83"/>
    <w:rsid w:val="0006022D"/>
    <w:rsid w:val="00061E69"/>
    <w:rsid w:val="00064B35"/>
    <w:rsid w:val="00065A46"/>
    <w:rsid w:val="00070295"/>
    <w:rsid w:val="0008638C"/>
    <w:rsid w:val="00086609"/>
    <w:rsid w:val="000900DC"/>
    <w:rsid w:val="000916BA"/>
    <w:rsid w:val="0009277D"/>
    <w:rsid w:val="00092833"/>
    <w:rsid w:val="00094076"/>
    <w:rsid w:val="00094956"/>
    <w:rsid w:val="000956A2"/>
    <w:rsid w:val="000A26D8"/>
    <w:rsid w:val="000A31F9"/>
    <w:rsid w:val="000A6BE3"/>
    <w:rsid w:val="000B006F"/>
    <w:rsid w:val="000B1669"/>
    <w:rsid w:val="000B1D96"/>
    <w:rsid w:val="000B257C"/>
    <w:rsid w:val="000B419F"/>
    <w:rsid w:val="000C2DCE"/>
    <w:rsid w:val="000C7648"/>
    <w:rsid w:val="000D0ECD"/>
    <w:rsid w:val="000D1C5E"/>
    <w:rsid w:val="000D5F34"/>
    <w:rsid w:val="000E04FD"/>
    <w:rsid w:val="000E1E0F"/>
    <w:rsid w:val="000E2860"/>
    <w:rsid w:val="000E58AD"/>
    <w:rsid w:val="000F3137"/>
    <w:rsid w:val="000F4AE9"/>
    <w:rsid w:val="000F68D0"/>
    <w:rsid w:val="00100153"/>
    <w:rsid w:val="001013B7"/>
    <w:rsid w:val="00103188"/>
    <w:rsid w:val="00105294"/>
    <w:rsid w:val="001070CF"/>
    <w:rsid w:val="00120843"/>
    <w:rsid w:val="00130009"/>
    <w:rsid w:val="00130CCF"/>
    <w:rsid w:val="001312FF"/>
    <w:rsid w:val="00131A4D"/>
    <w:rsid w:val="00135632"/>
    <w:rsid w:val="00140E1D"/>
    <w:rsid w:val="00142B25"/>
    <w:rsid w:val="001439D6"/>
    <w:rsid w:val="0014638A"/>
    <w:rsid w:val="00150271"/>
    <w:rsid w:val="00150B52"/>
    <w:rsid w:val="001530D9"/>
    <w:rsid w:val="001730F4"/>
    <w:rsid w:val="00173730"/>
    <w:rsid w:val="00182949"/>
    <w:rsid w:val="001869CD"/>
    <w:rsid w:val="0018757A"/>
    <w:rsid w:val="00191C8A"/>
    <w:rsid w:val="0019311E"/>
    <w:rsid w:val="001932F2"/>
    <w:rsid w:val="001945B4"/>
    <w:rsid w:val="001959DC"/>
    <w:rsid w:val="00197E43"/>
    <w:rsid w:val="001A0069"/>
    <w:rsid w:val="001A3B8F"/>
    <w:rsid w:val="001A5599"/>
    <w:rsid w:val="001B0696"/>
    <w:rsid w:val="001B2435"/>
    <w:rsid w:val="001B4D1D"/>
    <w:rsid w:val="001C1AE7"/>
    <w:rsid w:val="001C552B"/>
    <w:rsid w:val="001C5B69"/>
    <w:rsid w:val="001C619B"/>
    <w:rsid w:val="001D1286"/>
    <w:rsid w:val="001D1E22"/>
    <w:rsid w:val="001D3EFC"/>
    <w:rsid w:val="001D46A9"/>
    <w:rsid w:val="001D5DFC"/>
    <w:rsid w:val="001E0914"/>
    <w:rsid w:val="001E0BEB"/>
    <w:rsid w:val="001E0DCE"/>
    <w:rsid w:val="001E56D0"/>
    <w:rsid w:val="001F1449"/>
    <w:rsid w:val="001F1EFD"/>
    <w:rsid w:val="001F32A3"/>
    <w:rsid w:val="001F763D"/>
    <w:rsid w:val="00202A2E"/>
    <w:rsid w:val="00207C1F"/>
    <w:rsid w:val="00212255"/>
    <w:rsid w:val="00214A7F"/>
    <w:rsid w:val="002160FD"/>
    <w:rsid w:val="002208DE"/>
    <w:rsid w:val="002234C0"/>
    <w:rsid w:val="002250C3"/>
    <w:rsid w:val="00225397"/>
    <w:rsid w:val="00230045"/>
    <w:rsid w:val="002302CD"/>
    <w:rsid w:val="00230718"/>
    <w:rsid w:val="00232E87"/>
    <w:rsid w:val="00244E5E"/>
    <w:rsid w:val="00247334"/>
    <w:rsid w:val="002473A2"/>
    <w:rsid w:val="002504D9"/>
    <w:rsid w:val="00252054"/>
    <w:rsid w:val="002520FF"/>
    <w:rsid w:val="00252F33"/>
    <w:rsid w:val="00253446"/>
    <w:rsid w:val="00255300"/>
    <w:rsid w:val="00267BE3"/>
    <w:rsid w:val="00270E74"/>
    <w:rsid w:val="002712FC"/>
    <w:rsid w:val="00273536"/>
    <w:rsid w:val="00277007"/>
    <w:rsid w:val="00283094"/>
    <w:rsid w:val="0028393E"/>
    <w:rsid w:val="00285D1C"/>
    <w:rsid w:val="00286B0D"/>
    <w:rsid w:val="00293686"/>
    <w:rsid w:val="00294220"/>
    <w:rsid w:val="00295CB9"/>
    <w:rsid w:val="0029664D"/>
    <w:rsid w:val="00296DBF"/>
    <w:rsid w:val="002A548A"/>
    <w:rsid w:val="002A64C3"/>
    <w:rsid w:val="002B1F80"/>
    <w:rsid w:val="002B3E41"/>
    <w:rsid w:val="002B5957"/>
    <w:rsid w:val="002B5FB8"/>
    <w:rsid w:val="002C24AE"/>
    <w:rsid w:val="002D07AB"/>
    <w:rsid w:val="002D10F9"/>
    <w:rsid w:val="002D2C09"/>
    <w:rsid w:val="002E5354"/>
    <w:rsid w:val="002F1F32"/>
    <w:rsid w:val="002F5530"/>
    <w:rsid w:val="002F5C0B"/>
    <w:rsid w:val="002F79D6"/>
    <w:rsid w:val="00301085"/>
    <w:rsid w:val="00305413"/>
    <w:rsid w:val="003056BE"/>
    <w:rsid w:val="00307E2C"/>
    <w:rsid w:val="00310E9D"/>
    <w:rsid w:val="00314463"/>
    <w:rsid w:val="00314558"/>
    <w:rsid w:val="003164FF"/>
    <w:rsid w:val="00317526"/>
    <w:rsid w:val="00323913"/>
    <w:rsid w:val="0033294A"/>
    <w:rsid w:val="00332996"/>
    <w:rsid w:val="00333653"/>
    <w:rsid w:val="003375DF"/>
    <w:rsid w:val="00337F36"/>
    <w:rsid w:val="00341462"/>
    <w:rsid w:val="0034584B"/>
    <w:rsid w:val="00345A80"/>
    <w:rsid w:val="003468C6"/>
    <w:rsid w:val="003479C8"/>
    <w:rsid w:val="00347C4D"/>
    <w:rsid w:val="00350C1E"/>
    <w:rsid w:val="00353C64"/>
    <w:rsid w:val="003579CB"/>
    <w:rsid w:val="00361CF5"/>
    <w:rsid w:val="00361EF2"/>
    <w:rsid w:val="003632DE"/>
    <w:rsid w:val="003678D1"/>
    <w:rsid w:val="00370E9B"/>
    <w:rsid w:val="00371179"/>
    <w:rsid w:val="003726DC"/>
    <w:rsid w:val="00373060"/>
    <w:rsid w:val="003734B9"/>
    <w:rsid w:val="00375A79"/>
    <w:rsid w:val="00381B51"/>
    <w:rsid w:val="003848D2"/>
    <w:rsid w:val="00385623"/>
    <w:rsid w:val="00395352"/>
    <w:rsid w:val="00395946"/>
    <w:rsid w:val="00396080"/>
    <w:rsid w:val="00396D65"/>
    <w:rsid w:val="003A1CA9"/>
    <w:rsid w:val="003A4105"/>
    <w:rsid w:val="003A66C2"/>
    <w:rsid w:val="003B3B37"/>
    <w:rsid w:val="003B4864"/>
    <w:rsid w:val="003C066E"/>
    <w:rsid w:val="003C43E0"/>
    <w:rsid w:val="003C6BE8"/>
    <w:rsid w:val="003C6EE7"/>
    <w:rsid w:val="003D381C"/>
    <w:rsid w:val="003D538D"/>
    <w:rsid w:val="003E2181"/>
    <w:rsid w:val="003E4C1E"/>
    <w:rsid w:val="003F654A"/>
    <w:rsid w:val="003F6EE7"/>
    <w:rsid w:val="0040043B"/>
    <w:rsid w:val="0040094A"/>
    <w:rsid w:val="0040750B"/>
    <w:rsid w:val="0041089B"/>
    <w:rsid w:val="0041212C"/>
    <w:rsid w:val="004144F6"/>
    <w:rsid w:val="00417522"/>
    <w:rsid w:val="004205B2"/>
    <w:rsid w:val="00425713"/>
    <w:rsid w:val="00434F86"/>
    <w:rsid w:val="00434FBD"/>
    <w:rsid w:val="0044467F"/>
    <w:rsid w:val="0044572F"/>
    <w:rsid w:val="004475C8"/>
    <w:rsid w:val="00455EE0"/>
    <w:rsid w:val="004567A5"/>
    <w:rsid w:val="00456999"/>
    <w:rsid w:val="004573FC"/>
    <w:rsid w:val="0046348E"/>
    <w:rsid w:val="0046448F"/>
    <w:rsid w:val="00472DE2"/>
    <w:rsid w:val="00475B1F"/>
    <w:rsid w:val="00480723"/>
    <w:rsid w:val="00481A41"/>
    <w:rsid w:val="004829B1"/>
    <w:rsid w:val="004831E5"/>
    <w:rsid w:val="004832D8"/>
    <w:rsid w:val="004934BE"/>
    <w:rsid w:val="004A1105"/>
    <w:rsid w:val="004B0804"/>
    <w:rsid w:val="004B3FC6"/>
    <w:rsid w:val="004C56A9"/>
    <w:rsid w:val="004C7AAD"/>
    <w:rsid w:val="004F0DF1"/>
    <w:rsid w:val="004F456F"/>
    <w:rsid w:val="004F4863"/>
    <w:rsid w:val="004F4E97"/>
    <w:rsid w:val="004F6063"/>
    <w:rsid w:val="0051499B"/>
    <w:rsid w:val="005168A9"/>
    <w:rsid w:val="0052043D"/>
    <w:rsid w:val="00524A01"/>
    <w:rsid w:val="005369F5"/>
    <w:rsid w:val="00537260"/>
    <w:rsid w:val="00537440"/>
    <w:rsid w:val="00537CCD"/>
    <w:rsid w:val="00552102"/>
    <w:rsid w:val="005538EC"/>
    <w:rsid w:val="00553B4F"/>
    <w:rsid w:val="00554755"/>
    <w:rsid w:val="005563B5"/>
    <w:rsid w:val="00557D7D"/>
    <w:rsid w:val="005619C8"/>
    <w:rsid w:val="00563DD7"/>
    <w:rsid w:val="00564BB4"/>
    <w:rsid w:val="0056708B"/>
    <w:rsid w:val="00572D5D"/>
    <w:rsid w:val="00573851"/>
    <w:rsid w:val="0058027F"/>
    <w:rsid w:val="00580856"/>
    <w:rsid w:val="005834BC"/>
    <w:rsid w:val="0058784C"/>
    <w:rsid w:val="005917D3"/>
    <w:rsid w:val="005917E1"/>
    <w:rsid w:val="005971D9"/>
    <w:rsid w:val="005A0B1F"/>
    <w:rsid w:val="005A2422"/>
    <w:rsid w:val="005A41E2"/>
    <w:rsid w:val="005A577E"/>
    <w:rsid w:val="005A7843"/>
    <w:rsid w:val="005A78E8"/>
    <w:rsid w:val="005B1CC3"/>
    <w:rsid w:val="005B5107"/>
    <w:rsid w:val="005B572B"/>
    <w:rsid w:val="005C069C"/>
    <w:rsid w:val="005C3E58"/>
    <w:rsid w:val="005C444B"/>
    <w:rsid w:val="005C65A3"/>
    <w:rsid w:val="005D078C"/>
    <w:rsid w:val="005D34BC"/>
    <w:rsid w:val="005E1E8B"/>
    <w:rsid w:val="005E46B7"/>
    <w:rsid w:val="005E5041"/>
    <w:rsid w:val="005F3CC4"/>
    <w:rsid w:val="005F3F0F"/>
    <w:rsid w:val="00605DAE"/>
    <w:rsid w:val="00606F01"/>
    <w:rsid w:val="00610280"/>
    <w:rsid w:val="006127D9"/>
    <w:rsid w:val="006220B6"/>
    <w:rsid w:val="00623E3E"/>
    <w:rsid w:val="006277B9"/>
    <w:rsid w:val="006318AA"/>
    <w:rsid w:val="006366DB"/>
    <w:rsid w:val="00643E88"/>
    <w:rsid w:val="00650D74"/>
    <w:rsid w:val="006547D0"/>
    <w:rsid w:val="00661A73"/>
    <w:rsid w:val="00663CFD"/>
    <w:rsid w:val="0066503B"/>
    <w:rsid w:val="00667848"/>
    <w:rsid w:val="0068464F"/>
    <w:rsid w:val="00691AF9"/>
    <w:rsid w:val="0069250C"/>
    <w:rsid w:val="006926D3"/>
    <w:rsid w:val="00697613"/>
    <w:rsid w:val="006A2664"/>
    <w:rsid w:val="006A2893"/>
    <w:rsid w:val="006A4465"/>
    <w:rsid w:val="006A5413"/>
    <w:rsid w:val="006A7096"/>
    <w:rsid w:val="006A77FB"/>
    <w:rsid w:val="006A7FA8"/>
    <w:rsid w:val="006B3435"/>
    <w:rsid w:val="006B35F2"/>
    <w:rsid w:val="006B4DF8"/>
    <w:rsid w:val="006B5FA0"/>
    <w:rsid w:val="006C2849"/>
    <w:rsid w:val="006C5639"/>
    <w:rsid w:val="006D1D66"/>
    <w:rsid w:val="006D1FC8"/>
    <w:rsid w:val="006D2EF1"/>
    <w:rsid w:val="006D4695"/>
    <w:rsid w:val="006D5616"/>
    <w:rsid w:val="006D5639"/>
    <w:rsid w:val="006D65DD"/>
    <w:rsid w:val="006E0968"/>
    <w:rsid w:val="006F6165"/>
    <w:rsid w:val="006F6274"/>
    <w:rsid w:val="00700AB5"/>
    <w:rsid w:val="00701F23"/>
    <w:rsid w:val="00703F29"/>
    <w:rsid w:val="00704F27"/>
    <w:rsid w:val="007057D4"/>
    <w:rsid w:val="00707F1B"/>
    <w:rsid w:val="00710117"/>
    <w:rsid w:val="0071091F"/>
    <w:rsid w:val="00714D0A"/>
    <w:rsid w:val="007157C8"/>
    <w:rsid w:val="00716072"/>
    <w:rsid w:val="00717265"/>
    <w:rsid w:val="00717638"/>
    <w:rsid w:val="007228F5"/>
    <w:rsid w:val="00727D15"/>
    <w:rsid w:val="0073058F"/>
    <w:rsid w:val="007315BB"/>
    <w:rsid w:val="00733F22"/>
    <w:rsid w:val="007349C8"/>
    <w:rsid w:val="00740391"/>
    <w:rsid w:val="007443AB"/>
    <w:rsid w:val="00745104"/>
    <w:rsid w:val="00746449"/>
    <w:rsid w:val="00750D65"/>
    <w:rsid w:val="00755CD4"/>
    <w:rsid w:val="00756930"/>
    <w:rsid w:val="007601B5"/>
    <w:rsid w:val="00762332"/>
    <w:rsid w:val="007635BF"/>
    <w:rsid w:val="00763C41"/>
    <w:rsid w:val="00766E87"/>
    <w:rsid w:val="0076751C"/>
    <w:rsid w:val="00771FE4"/>
    <w:rsid w:val="00773C9E"/>
    <w:rsid w:val="0078034C"/>
    <w:rsid w:val="0078157E"/>
    <w:rsid w:val="00785A2C"/>
    <w:rsid w:val="0078614C"/>
    <w:rsid w:val="0078624C"/>
    <w:rsid w:val="007879AF"/>
    <w:rsid w:val="00787C33"/>
    <w:rsid w:val="00792071"/>
    <w:rsid w:val="007928FC"/>
    <w:rsid w:val="00797053"/>
    <w:rsid w:val="007A0A7A"/>
    <w:rsid w:val="007A1DD9"/>
    <w:rsid w:val="007A2968"/>
    <w:rsid w:val="007C03FF"/>
    <w:rsid w:val="007C5577"/>
    <w:rsid w:val="007C682E"/>
    <w:rsid w:val="007C721C"/>
    <w:rsid w:val="007E13D1"/>
    <w:rsid w:val="007E1905"/>
    <w:rsid w:val="007E1AC4"/>
    <w:rsid w:val="007F27B1"/>
    <w:rsid w:val="007F28E2"/>
    <w:rsid w:val="007F4AD9"/>
    <w:rsid w:val="007F4E1A"/>
    <w:rsid w:val="0080103A"/>
    <w:rsid w:val="008044DE"/>
    <w:rsid w:val="00806F26"/>
    <w:rsid w:val="00810867"/>
    <w:rsid w:val="008168C0"/>
    <w:rsid w:val="00821E11"/>
    <w:rsid w:val="00826825"/>
    <w:rsid w:val="008305CD"/>
    <w:rsid w:val="00834454"/>
    <w:rsid w:val="008355B7"/>
    <w:rsid w:val="00837267"/>
    <w:rsid w:val="008414DC"/>
    <w:rsid w:val="00842638"/>
    <w:rsid w:val="0084375F"/>
    <w:rsid w:val="00843C8F"/>
    <w:rsid w:val="008441DC"/>
    <w:rsid w:val="00861666"/>
    <w:rsid w:val="0086335B"/>
    <w:rsid w:val="0086395E"/>
    <w:rsid w:val="00866F18"/>
    <w:rsid w:val="00877F77"/>
    <w:rsid w:val="0088372D"/>
    <w:rsid w:val="0088425D"/>
    <w:rsid w:val="008851C2"/>
    <w:rsid w:val="008872C4"/>
    <w:rsid w:val="00887FDE"/>
    <w:rsid w:val="00892C31"/>
    <w:rsid w:val="00893172"/>
    <w:rsid w:val="008A1E20"/>
    <w:rsid w:val="008A732B"/>
    <w:rsid w:val="008B004C"/>
    <w:rsid w:val="008B1CAB"/>
    <w:rsid w:val="008B3B11"/>
    <w:rsid w:val="008C0AB4"/>
    <w:rsid w:val="008C45AC"/>
    <w:rsid w:val="008C6818"/>
    <w:rsid w:val="008C7FAB"/>
    <w:rsid w:val="008D2732"/>
    <w:rsid w:val="008E467D"/>
    <w:rsid w:val="008E4996"/>
    <w:rsid w:val="008E554D"/>
    <w:rsid w:val="008E617E"/>
    <w:rsid w:val="008E7CDC"/>
    <w:rsid w:val="008F4704"/>
    <w:rsid w:val="008F4C52"/>
    <w:rsid w:val="00903248"/>
    <w:rsid w:val="00910FB5"/>
    <w:rsid w:val="00913184"/>
    <w:rsid w:val="009153F9"/>
    <w:rsid w:val="0091590A"/>
    <w:rsid w:val="009159B2"/>
    <w:rsid w:val="00921D43"/>
    <w:rsid w:val="009250DE"/>
    <w:rsid w:val="0093491D"/>
    <w:rsid w:val="00941887"/>
    <w:rsid w:val="00941925"/>
    <w:rsid w:val="00952C11"/>
    <w:rsid w:val="00954985"/>
    <w:rsid w:val="009574E6"/>
    <w:rsid w:val="00960C6E"/>
    <w:rsid w:val="00964078"/>
    <w:rsid w:val="00965F57"/>
    <w:rsid w:val="009675BB"/>
    <w:rsid w:val="009725D7"/>
    <w:rsid w:val="00981727"/>
    <w:rsid w:val="0098362D"/>
    <w:rsid w:val="00983C60"/>
    <w:rsid w:val="00987348"/>
    <w:rsid w:val="00991097"/>
    <w:rsid w:val="00992F0A"/>
    <w:rsid w:val="009A1DCF"/>
    <w:rsid w:val="009A2605"/>
    <w:rsid w:val="009A398A"/>
    <w:rsid w:val="009A4A24"/>
    <w:rsid w:val="009B5AF4"/>
    <w:rsid w:val="009C2669"/>
    <w:rsid w:val="009D0BC2"/>
    <w:rsid w:val="009D2C41"/>
    <w:rsid w:val="009D3604"/>
    <w:rsid w:val="009D3E58"/>
    <w:rsid w:val="009D717C"/>
    <w:rsid w:val="009E0F64"/>
    <w:rsid w:val="009E1150"/>
    <w:rsid w:val="009E2696"/>
    <w:rsid w:val="00A0279A"/>
    <w:rsid w:val="00A03075"/>
    <w:rsid w:val="00A11C89"/>
    <w:rsid w:val="00A131E6"/>
    <w:rsid w:val="00A13810"/>
    <w:rsid w:val="00A14ADE"/>
    <w:rsid w:val="00A153AF"/>
    <w:rsid w:val="00A16FFB"/>
    <w:rsid w:val="00A22723"/>
    <w:rsid w:val="00A304D2"/>
    <w:rsid w:val="00A32A11"/>
    <w:rsid w:val="00A33B3C"/>
    <w:rsid w:val="00A37939"/>
    <w:rsid w:val="00A40425"/>
    <w:rsid w:val="00A45278"/>
    <w:rsid w:val="00A472A8"/>
    <w:rsid w:val="00A47DD1"/>
    <w:rsid w:val="00A50EAA"/>
    <w:rsid w:val="00A54C1B"/>
    <w:rsid w:val="00A57B3C"/>
    <w:rsid w:val="00A64014"/>
    <w:rsid w:val="00A71EF1"/>
    <w:rsid w:val="00A73163"/>
    <w:rsid w:val="00A75F8B"/>
    <w:rsid w:val="00A8508A"/>
    <w:rsid w:val="00A862BE"/>
    <w:rsid w:val="00A912B5"/>
    <w:rsid w:val="00A91F04"/>
    <w:rsid w:val="00A93233"/>
    <w:rsid w:val="00A95B42"/>
    <w:rsid w:val="00AA0039"/>
    <w:rsid w:val="00AB4EBB"/>
    <w:rsid w:val="00AB5E8D"/>
    <w:rsid w:val="00AC2D3E"/>
    <w:rsid w:val="00AD2347"/>
    <w:rsid w:val="00AD37F4"/>
    <w:rsid w:val="00AE01F1"/>
    <w:rsid w:val="00AE2665"/>
    <w:rsid w:val="00AE4A6A"/>
    <w:rsid w:val="00AF2C9E"/>
    <w:rsid w:val="00AF30DF"/>
    <w:rsid w:val="00AF3213"/>
    <w:rsid w:val="00AF4991"/>
    <w:rsid w:val="00B027FF"/>
    <w:rsid w:val="00B039AC"/>
    <w:rsid w:val="00B05C3D"/>
    <w:rsid w:val="00B17F1C"/>
    <w:rsid w:val="00B220F6"/>
    <w:rsid w:val="00B233AA"/>
    <w:rsid w:val="00B24C39"/>
    <w:rsid w:val="00B35B3A"/>
    <w:rsid w:val="00B4109F"/>
    <w:rsid w:val="00B41676"/>
    <w:rsid w:val="00B42BE8"/>
    <w:rsid w:val="00B636E4"/>
    <w:rsid w:val="00B6570F"/>
    <w:rsid w:val="00B74250"/>
    <w:rsid w:val="00B81C8A"/>
    <w:rsid w:val="00B83539"/>
    <w:rsid w:val="00B86F54"/>
    <w:rsid w:val="00B93BAC"/>
    <w:rsid w:val="00B97AC9"/>
    <w:rsid w:val="00BA13A5"/>
    <w:rsid w:val="00BB22EB"/>
    <w:rsid w:val="00BC06C4"/>
    <w:rsid w:val="00BC0C55"/>
    <w:rsid w:val="00BC4437"/>
    <w:rsid w:val="00BD588B"/>
    <w:rsid w:val="00BE01F0"/>
    <w:rsid w:val="00BE30C8"/>
    <w:rsid w:val="00BE4857"/>
    <w:rsid w:val="00BF0617"/>
    <w:rsid w:val="00BF33B3"/>
    <w:rsid w:val="00BF4095"/>
    <w:rsid w:val="00BF596F"/>
    <w:rsid w:val="00BF6275"/>
    <w:rsid w:val="00C01347"/>
    <w:rsid w:val="00C0737D"/>
    <w:rsid w:val="00C07E32"/>
    <w:rsid w:val="00C13020"/>
    <w:rsid w:val="00C153F9"/>
    <w:rsid w:val="00C21490"/>
    <w:rsid w:val="00C21A0B"/>
    <w:rsid w:val="00C23BAA"/>
    <w:rsid w:val="00C31A30"/>
    <w:rsid w:val="00C32F92"/>
    <w:rsid w:val="00C3518C"/>
    <w:rsid w:val="00C3616D"/>
    <w:rsid w:val="00C40454"/>
    <w:rsid w:val="00C42336"/>
    <w:rsid w:val="00C4340B"/>
    <w:rsid w:val="00C5224B"/>
    <w:rsid w:val="00C5319B"/>
    <w:rsid w:val="00C546B2"/>
    <w:rsid w:val="00C57F8B"/>
    <w:rsid w:val="00C613D9"/>
    <w:rsid w:val="00C62879"/>
    <w:rsid w:val="00C62CC8"/>
    <w:rsid w:val="00C645C7"/>
    <w:rsid w:val="00C64702"/>
    <w:rsid w:val="00C6620C"/>
    <w:rsid w:val="00C73085"/>
    <w:rsid w:val="00C810BD"/>
    <w:rsid w:val="00C82D23"/>
    <w:rsid w:val="00C873B0"/>
    <w:rsid w:val="00C925B9"/>
    <w:rsid w:val="00C948D7"/>
    <w:rsid w:val="00C95A1D"/>
    <w:rsid w:val="00CA0454"/>
    <w:rsid w:val="00CA06CB"/>
    <w:rsid w:val="00CA1132"/>
    <w:rsid w:val="00CA1983"/>
    <w:rsid w:val="00CA6FF6"/>
    <w:rsid w:val="00CB15F0"/>
    <w:rsid w:val="00CB20A6"/>
    <w:rsid w:val="00CB230E"/>
    <w:rsid w:val="00CB2759"/>
    <w:rsid w:val="00CB3D23"/>
    <w:rsid w:val="00CB489F"/>
    <w:rsid w:val="00CB74DF"/>
    <w:rsid w:val="00CD0675"/>
    <w:rsid w:val="00CD2239"/>
    <w:rsid w:val="00CD2BDD"/>
    <w:rsid w:val="00CD34F6"/>
    <w:rsid w:val="00CE05A1"/>
    <w:rsid w:val="00CE42FD"/>
    <w:rsid w:val="00CE49DF"/>
    <w:rsid w:val="00CE52F5"/>
    <w:rsid w:val="00CF36EF"/>
    <w:rsid w:val="00CF4386"/>
    <w:rsid w:val="00CF4585"/>
    <w:rsid w:val="00D036AC"/>
    <w:rsid w:val="00D14BEE"/>
    <w:rsid w:val="00D16043"/>
    <w:rsid w:val="00D1646B"/>
    <w:rsid w:val="00D16753"/>
    <w:rsid w:val="00D1739C"/>
    <w:rsid w:val="00D200CA"/>
    <w:rsid w:val="00D3395E"/>
    <w:rsid w:val="00D440D0"/>
    <w:rsid w:val="00D543E0"/>
    <w:rsid w:val="00D56C90"/>
    <w:rsid w:val="00D56D54"/>
    <w:rsid w:val="00D57221"/>
    <w:rsid w:val="00D64444"/>
    <w:rsid w:val="00D7056C"/>
    <w:rsid w:val="00D717F5"/>
    <w:rsid w:val="00D724A8"/>
    <w:rsid w:val="00D74990"/>
    <w:rsid w:val="00D74C7D"/>
    <w:rsid w:val="00D809E4"/>
    <w:rsid w:val="00D80E80"/>
    <w:rsid w:val="00D80E9D"/>
    <w:rsid w:val="00D81519"/>
    <w:rsid w:val="00D843A0"/>
    <w:rsid w:val="00D84E12"/>
    <w:rsid w:val="00D8647C"/>
    <w:rsid w:val="00D879F4"/>
    <w:rsid w:val="00D92106"/>
    <w:rsid w:val="00D95418"/>
    <w:rsid w:val="00DA0D07"/>
    <w:rsid w:val="00DA0FBF"/>
    <w:rsid w:val="00DA106F"/>
    <w:rsid w:val="00DA2B98"/>
    <w:rsid w:val="00DA3389"/>
    <w:rsid w:val="00DA4843"/>
    <w:rsid w:val="00DA77BD"/>
    <w:rsid w:val="00DA7CEC"/>
    <w:rsid w:val="00DB11D7"/>
    <w:rsid w:val="00DB4D7C"/>
    <w:rsid w:val="00DB59B3"/>
    <w:rsid w:val="00DB6826"/>
    <w:rsid w:val="00DC0DD7"/>
    <w:rsid w:val="00DC26B1"/>
    <w:rsid w:val="00DC282B"/>
    <w:rsid w:val="00DC571D"/>
    <w:rsid w:val="00DC58B1"/>
    <w:rsid w:val="00DD62CF"/>
    <w:rsid w:val="00DD77E1"/>
    <w:rsid w:val="00DD7D9E"/>
    <w:rsid w:val="00DE191C"/>
    <w:rsid w:val="00DE2D3F"/>
    <w:rsid w:val="00DE3FFD"/>
    <w:rsid w:val="00DF0397"/>
    <w:rsid w:val="00DF130B"/>
    <w:rsid w:val="00DF2324"/>
    <w:rsid w:val="00DF688C"/>
    <w:rsid w:val="00E1079C"/>
    <w:rsid w:val="00E1575C"/>
    <w:rsid w:val="00E176A9"/>
    <w:rsid w:val="00E17B53"/>
    <w:rsid w:val="00E247AB"/>
    <w:rsid w:val="00E256F5"/>
    <w:rsid w:val="00E30618"/>
    <w:rsid w:val="00E31459"/>
    <w:rsid w:val="00E36509"/>
    <w:rsid w:val="00E36FC9"/>
    <w:rsid w:val="00E3780C"/>
    <w:rsid w:val="00E40DF9"/>
    <w:rsid w:val="00E427F7"/>
    <w:rsid w:val="00E42D9B"/>
    <w:rsid w:val="00E4468F"/>
    <w:rsid w:val="00E451FD"/>
    <w:rsid w:val="00E47563"/>
    <w:rsid w:val="00E47D76"/>
    <w:rsid w:val="00E50B39"/>
    <w:rsid w:val="00E5329C"/>
    <w:rsid w:val="00E53EAE"/>
    <w:rsid w:val="00E62258"/>
    <w:rsid w:val="00E6775B"/>
    <w:rsid w:val="00E77BC4"/>
    <w:rsid w:val="00E8411E"/>
    <w:rsid w:val="00E84C85"/>
    <w:rsid w:val="00E86F2B"/>
    <w:rsid w:val="00E949CC"/>
    <w:rsid w:val="00E95149"/>
    <w:rsid w:val="00E972B4"/>
    <w:rsid w:val="00EA4187"/>
    <w:rsid w:val="00EA5AEF"/>
    <w:rsid w:val="00EB1965"/>
    <w:rsid w:val="00EC0E97"/>
    <w:rsid w:val="00EC2CB0"/>
    <w:rsid w:val="00EC5EC5"/>
    <w:rsid w:val="00ED1590"/>
    <w:rsid w:val="00ED34BD"/>
    <w:rsid w:val="00ED531A"/>
    <w:rsid w:val="00ED7808"/>
    <w:rsid w:val="00EE2974"/>
    <w:rsid w:val="00EE4A9C"/>
    <w:rsid w:val="00EE790C"/>
    <w:rsid w:val="00EF2987"/>
    <w:rsid w:val="00F001E1"/>
    <w:rsid w:val="00F012C2"/>
    <w:rsid w:val="00F01C75"/>
    <w:rsid w:val="00F13752"/>
    <w:rsid w:val="00F2777B"/>
    <w:rsid w:val="00F30274"/>
    <w:rsid w:val="00F31412"/>
    <w:rsid w:val="00F33F8B"/>
    <w:rsid w:val="00F34CD4"/>
    <w:rsid w:val="00F40070"/>
    <w:rsid w:val="00F474CB"/>
    <w:rsid w:val="00F476CA"/>
    <w:rsid w:val="00F51477"/>
    <w:rsid w:val="00F514FD"/>
    <w:rsid w:val="00F5164C"/>
    <w:rsid w:val="00F53C13"/>
    <w:rsid w:val="00F56949"/>
    <w:rsid w:val="00F56952"/>
    <w:rsid w:val="00F6638A"/>
    <w:rsid w:val="00F72E6B"/>
    <w:rsid w:val="00F734A9"/>
    <w:rsid w:val="00F76E61"/>
    <w:rsid w:val="00F77E2B"/>
    <w:rsid w:val="00F82D79"/>
    <w:rsid w:val="00F937F4"/>
    <w:rsid w:val="00FA5EC5"/>
    <w:rsid w:val="00FA6184"/>
    <w:rsid w:val="00FA75CE"/>
    <w:rsid w:val="00FB19C3"/>
    <w:rsid w:val="00FB2291"/>
    <w:rsid w:val="00FB4B36"/>
    <w:rsid w:val="00FC099A"/>
    <w:rsid w:val="00FC1251"/>
    <w:rsid w:val="00FC5193"/>
    <w:rsid w:val="00FC6276"/>
    <w:rsid w:val="00FD4C7A"/>
    <w:rsid w:val="00FE7FE0"/>
    <w:rsid w:val="00FF0C92"/>
    <w:rsid w:val="00FF0ED8"/>
    <w:rsid w:val="00FF3B10"/>
    <w:rsid w:val="00FF4FA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header" w:semiHidden="1"/>
    <w:lsdException w:name="footer" w:locked="0" w:qFormat="1"/>
    <w:lsdException w:name="index heading" w:semiHidden="1"/>
    <w:lsdException w:name="caption" w:locked="0" w:semiHidden="1" w:unhideWhenUsed="1" w:qFormat="1"/>
    <w:lsdException w:name="table of figures" w:locked="0" w:uiPriority="99"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uiPriority="1"/>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aliases w:val="N-DO NOT USE"/>
    <w:next w:val="BodyText"/>
    <w:qFormat/>
    <w:rsid w:val="00244E5E"/>
    <w:pPr>
      <w:spacing w:before="180" w:after="180"/>
    </w:pPr>
    <w:rPr>
      <w:rFonts w:cs="Arial"/>
    </w:rPr>
  </w:style>
  <w:style w:type="paragraph" w:styleId="Heading1">
    <w:name w:val="heading 1"/>
    <w:next w:val="BodyText"/>
    <w:link w:val="Heading1Char"/>
    <w:qFormat/>
    <w:rsid w:val="000C2DCE"/>
    <w:pPr>
      <w:keepNext/>
      <w:keepLines/>
      <w:pageBreakBefore/>
      <w:numPr>
        <w:numId w:val="11"/>
      </w:numPr>
      <w:spacing w:after="1080" w:line="240" w:lineRule="auto"/>
      <w:outlineLvl w:val="0"/>
    </w:pPr>
    <w:rPr>
      <w:rFonts w:cs="Arial"/>
      <w:kern w:val="28"/>
      <w:sz w:val="40"/>
    </w:rPr>
  </w:style>
  <w:style w:type="paragraph" w:styleId="Heading2">
    <w:name w:val="heading 2"/>
    <w:basedOn w:val="Heading1"/>
    <w:next w:val="BodyText"/>
    <w:link w:val="Heading2Char"/>
    <w:qFormat/>
    <w:rsid w:val="000C2DCE"/>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0C2DCE"/>
    <w:pPr>
      <w:numPr>
        <w:ilvl w:val="2"/>
      </w:numPr>
      <w:outlineLvl w:val="2"/>
    </w:pPr>
    <w:rPr>
      <w:b/>
      <w:sz w:val="24"/>
    </w:rPr>
  </w:style>
  <w:style w:type="paragraph" w:styleId="Heading4">
    <w:name w:val="heading 4"/>
    <w:basedOn w:val="Heading3"/>
    <w:next w:val="BodyText"/>
    <w:link w:val="Heading4Char"/>
    <w:qFormat/>
    <w:rsid w:val="000C2DCE"/>
    <w:pPr>
      <w:numPr>
        <w:ilvl w:val="3"/>
      </w:numPr>
      <w:spacing w:before="180"/>
      <w:outlineLvl w:val="3"/>
    </w:pPr>
    <w:rPr>
      <w:i/>
      <w:sz w:val="22"/>
    </w:rPr>
  </w:style>
  <w:style w:type="paragraph" w:styleId="Heading5">
    <w:name w:val="heading 5"/>
    <w:basedOn w:val="Heading4"/>
    <w:next w:val="BodyText"/>
    <w:qFormat/>
    <w:rsid w:val="000C2DCE"/>
    <w:pPr>
      <w:numPr>
        <w:ilvl w:val="4"/>
      </w:numPr>
      <w:outlineLvl w:val="4"/>
    </w:pPr>
    <w:rPr>
      <w:b w:val="0"/>
    </w:rPr>
  </w:style>
  <w:style w:type="paragraph" w:styleId="Heading6">
    <w:name w:val="heading 6"/>
    <w:basedOn w:val="Heading5"/>
    <w:next w:val="BodyText"/>
    <w:link w:val="Heading6Char"/>
    <w:semiHidden/>
    <w:qFormat/>
    <w:locked/>
    <w:rsid w:val="000C2DCE"/>
    <w:pPr>
      <w:numPr>
        <w:ilvl w:val="5"/>
      </w:numPr>
      <w:spacing w:before="240"/>
      <w:outlineLvl w:val="5"/>
    </w:pPr>
    <w:rPr>
      <w:b/>
      <w:i w:val="0"/>
      <w:sz w:val="20"/>
    </w:rPr>
  </w:style>
  <w:style w:type="paragraph" w:styleId="Heading7">
    <w:name w:val="heading 7"/>
    <w:basedOn w:val="Heading6"/>
    <w:next w:val="BodyText"/>
    <w:semiHidden/>
    <w:qFormat/>
    <w:locked/>
    <w:rsid w:val="000C2DCE"/>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0C2DCE"/>
    <w:pPr>
      <w:numPr>
        <w:ilvl w:val="7"/>
      </w:numPr>
      <w:outlineLvl w:val="7"/>
    </w:pPr>
    <w:rPr>
      <w:i w:val="0"/>
    </w:rPr>
  </w:style>
  <w:style w:type="paragraph" w:styleId="Heading9">
    <w:name w:val="heading 9"/>
    <w:aliases w:val="Heading appendix 1"/>
    <w:basedOn w:val="Headingappendix1base"/>
    <w:next w:val="BodyText"/>
    <w:qFormat/>
    <w:locked/>
    <w:rsid w:val="000C2DCE"/>
    <w:pPr>
      <w:numPr>
        <w:numId w:val="12"/>
      </w:numPr>
      <w:spacing w:before="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0C2DCE"/>
    <w:pPr>
      <w:spacing w:before="180" w:after="180"/>
    </w:pPr>
    <w:rPr>
      <w:rFonts w:cs="Arial"/>
    </w:rPr>
  </w:style>
  <w:style w:type="paragraph" w:styleId="Footer">
    <w:name w:val="footer"/>
    <w:next w:val="BodyText"/>
    <w:link w:val="FooterChar"/>
    <w:qFormat/>
    <w:rsid w:val="000C2DCE"/>
    <w:pPr>
      <w:pBdr>
        <w:top w:val="single" w:sz="2" w:space="2" w:color="auto"/>
      </w:pBdr>
      <w:tabs>
        <w:tab w:val="right" w:pos="9072"/>
      </w:tabs>
      <w:spacing w:before="180" w:after="180" w:line="160" w:lineRule="atLeast"/>
      <w:mirrorIndents/>
    </w:pPr>
    <w:rPr>
      <w:rFonts w:ascii="Arial Bold" w:hAnsi="Arial Bold" w:cs="Arial"/>
      <w:b/>
      <w:sz w:val="16"/>
      <w:szCs w:val="16"/>
    </w:rPr>
  </w:style>
  <w:style w:type="paragraph" w:customStyle="1" w:styleId="Record">
    <w:name w:val="Record #"/>
    <w:next w:val="BodyText"/>
    <w:qFormat/>
    <w:rsid w:val="000C2DCE"/>
    <w:pPr>
      <w:keepNext/>
      <w:spacing w:before="180" w:after="1440"/>
    </w:pPr>
    <w:rPr>
      <w:rFonts w:eastAsia="Times New Roman"/>
      <w:caps/>
      <w:spacing w:val="10"/>
      <w:sz w:val="19"/>
    </w:rPr>
  </w:style>
  <w:style w:type="character" w:customStyle="1" w:styleId="Captionbold">
    <w:name w:val="Caption bold"/>
    <w:qFormat/>
    <w:rsid w:val="000C2DCE"/>
    <w:rPr>
      <w:b/>
    </w:rPr>
  </w:style>
  <w:style w:type="paragraph" w:customStyle="1" w:styleId="Documenttitle">
    <w:name w:val="Document title"/>
    <w:next w:val="BodyText"/>
    <w:qFormat/>
    <w:rsid w:val="000C2DCE"/>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0C2DCE"/>
    <w:pPr>
      <w:numPr>
        <w:numId w:val="25"/>
      </w:numPr>
      <w:pBdr>
        <w:top w:val="single" w:sz="4" w:space="1" w:color="808080"/>
      </w:pBdr>
      <w:spacing w:before="0" w:after="0" w:line="160" w:lineRule="atLeast"/>
    </w:pPr>
    <w:rPr>
      <w:rFonts w:eastAsia="Times New Roman"/>
      <w:sz w:val="16"/>
    </w:rPr>
  </w:style>
  <w:style w:type="paragraph" w:customStyle="1" w:styleId="Bulletlevel1">
    <w:name w:val="Bullet level 1"/>
    <w:basedOn w:val="BodyText"/>
    <w:link w:val="Bulletlevel1Char"/>
    <w:qFormat/>
    <w:rsid w:val="005917E1"/>
    <w:pPr>
      <w:spacing w:before="60" w:after="60"/>
    </w:pPr>
    <w:rPr>
      <w:rFonts w:eastAsia="Times New Roman"/>
    </w:rPr>
  </w:style>
  <w:style w:type="paragraph" w:customStyle="1" w:styleId="Bulletlevel2">
    <w:name w:val="Bullet level 2"/>
    <w:basedOn w:val="Bulletlevel1"/>
    <w:qFormat/>
    <w:rsid w:val="005917E1"/>
    <w:pPr>
      <w:numPr>
        <w:ilvl w:val="1"/>
      </w:numPr>
    </w:pPr>
  </w:style>
  <w:style w:type="paragraph" w:customStyle="1" w:styleId="Tabletitle">
    <w:name w:val="Table title"/>
    <w:basedOn w:val="BodyText"/>
    <w:next w:val="BodyText"/>
    <w:qFormat/>
    <w:rsid w:val="000C2DCE"/>
    <w:pPr>
      <w:keepNext/>
      <w:spacing w:before="480" w:after="120" w:line="240" w:lineRule="atLeast"/>
    </w:pPr>
    <w:rPr>
      <w:rFonts w:eastAsia="Times New Roman"/>
      <w:i/>
      <w:sz w:val="18"/>
      <w:szCs w:val="18"/>
    </w:rPr>
  </w:style>
  <w:style w:type="character" w:customStyle="1" w:styleId="Tabletitlebold">
    <w:name w:val="Table title bold"/>
    <w:qFormat/>
    <w:rsid w:val="000C2DCE"/>
    <w:rPr>
      <w:b/>
    </w:rPr>
  </w:style>
  <w:style w:type="paragraph" w:customStyle="1" w:styleId="Tabletextleft">
    <w:name w:val="Table text left"/>
    <w:next w:val="BodyText"/>
    <w:qFormat/>
    <w:rsid w:val="000C2DCE"/>
    <w:pPr>
      <w:spacing w:before="20" w:after="20" w:line="200" w:lineRule="atLeast"/>
    </w:pPr>
    <w:rPr>
      <w:rFonts w:eastAsia="Times New Roman" w:cs="Arial"/>
      <w:sz w:val="18"/>
    </w:rPr>
  </w:style>
  <w:style w:type="paragraph" w:customStyle="1" w:styleId="Tableheadingleft">
    <w:name w:val="Table heading left"/>
    <w:next w:val="BodyText"/>
    <w:rsid w:val="000C2DCE"/>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next w:val="BodyText"/>
    <w:qFormat/>
    <w:rsid w:val="000C2DCE"/>
    <w:pPr>
      <w:spacing w:before="60" w:after="60" w:line="240" w:lineRule="atLeast"/>
      <w:ind w:left="284" w:hanging="284"/>
    </w:pPr>
    <w:rPr>
      <w:rFonts w:eastAsia="Times New Roman"/>
    </w:rPr>
  </w:style>
  <w:style w:type="paragraph" w:styleId="EndnoteText">
    <w:name w:val="endnote text"/>
    <w:aliases w:val="ET-DO NOT USE"/>
    <w:semiHidden/>
    <w:locked/>
    <w:rsid w:val="000C2DCE"/>
    <w:pPr>
      <w:spacing w:before="180" w:after="180"/>
    </w:pPr>
    <w:rPr>
      <w:rFonts w:cs="Arial"/>
    </w:rPr>
  </w:style>
  <w:style w:type="character" w:customStyle="1" w:styleId="Bodytextbold">
    <w:name w:val="Body text bold"/>
    <w:qFormat/>
    <w:rsid w:val="000C2DCE"/>
    <w:rPr>
      <w:b/>
    </w:rPr>
  </w:style>
  <w:style w:type="character" w:customStyle="1" w:styleId="Bodytextitalic">
    <w:name w:val="Body text italic"/>
    <w:qFormat/>
    <w:rsid w:val="000C2DCE"/>
    <w:rPr>
      <w:i/>
    </w:rPr>
  </w:style>
  <w:style w:type="character" w:customStyle="1" w:styleId="BodyTextChar">
    <w:name w:val="Body Text Char"/>
    <w:basedOn w:val="DefaultParagraphFont"/>
    <w:link w:val="BodyText"/>
    <w:rsid w:val="000C2DCE"/>
    <w:rPr>
      <w:rFonts w:cs="Arial"/>
    </w:rPr>
  </w:style>
  <w:style w:type="character" w:styleId="Strong">
    <w:name w:val="Strong"/>
    <w:aliases w:val="St-DO NOT USE"/>
    <w:semiHidden/>
    <w:qFormat/>
    <w:locked/>
    <w:rsid w:val="000C2DCE"/>
  </w:style>
  <w:style w:type="paragraph" w:styleId="TOC1">
    <w:name w:val="toc 1"/>
    <w:basedOn w:val="BodyText"/>
    <w:next w:val="BodyText"/>
    <w:autoRedefine/>
    <w:uiPriority w:val="39"/>
    <w:qFormat/>
    <w:rsid w:val="000C2DCE"/>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0C2DCE"/>
    <w:pPr>
      <w:spacing w:before="60"/>
      <w:ind w:left="142"/>
    </w:pPr>
  </w:style>
  <w:style w:type="paragraph" w:styleId="TOC3">
    <w:name w:val="toc 3"/>
    <w:basedOn w:val="TOC2"/>
    <w:next w:val="BodyText"/>
    <w:autoRedefine/>
    <w:uiPriority w:val="39"/>
    <w:qFormat/>
    <w:rsid w:val="000C2DCE"/>
    <w:pPr>
      <w:ind w:left="284"/>
    </w:pPr>
  </w:style>
  <w:style w:type="paragraph" w:styleId="TOC4">
    <w:name w:val="toc 4"/>
    <w:basedOn w:val="TOC3"/>
    <w:next w:val="BodyText"/>
    <w:autoRedefine/>
    <w:uiPriority w:val="39"/>
    <w:qFormat/>
    <w:rsid w:val="000C2DCE"/>
    <w:pPr>
      <w:ind w:left="425"/>
    </w:pPr>
  </w:style>
  <w:style w:type="paragraph" w:customStyle="1" w:styleId="FiguresandImagesLeft">
    <w:name w:val="Figures and Images Left"/>
    <w:basedOn w:val="BodyText"/>
    <w:next w:val="Normal"/>
    <w:link w:val="FiguresandImagesLeftChar"/>
    <w:qFormat/>
    <w:rsid w:val="003726DC"/>
    <w:pPr>
      <w:keepNext/>
      <w:spacing w:before="480" w:after="80" w:line="160" w:lineRule="atLeast"/>
    </w:pPr>
  </w:style>
  <w:style w:type="character" w:customStyle="1" w:styleId="FiguresandImagesLeftChar">
    <w:name w:val="Figures and Images Left Char"/>
    <w:basedOn w:val="BodyTextChar"/>
    <w:link w:val="FiguresandImagesLeft"/>
    <w:rsid w:val="003726DC"/>
    <w:rPr>
      <w:rFonts w:ascii="Palatino Linotype" w:hAnsi="Palatino Linotype" w:cs="Arial"/>
      <w:sz w:val="22"/>
    </w:rPr>
  </w:style>
  <w:style w:type="character" w:styleId="Hyperlink">
    <w:name w:val="Hyperlink"/>
    <w:uiPriority w:val="99"/>
    <w:qFormat/>
    <w:rsid w:val="00717638"/>
    <w:rPr>
      <w:color w:val="0000FF"/>
    </w:rPr>
  </w:style>
  <w:style w:type="paragraph" w:styleId="TOC5">
    <w:name w:val="toc 5"/>
    <w:basedOn w:val="TOC4"/>
    <w:next w:val="BodyText"/>
    <w:autoRedefine/>
    <w:uiPriority w:val="39"/>
    <w:qFormat/>
    <w:rsid w:val="000C2DCE"/>
    <w:pPr>
      <w:ind w:left="567"/>
    </w:pPr>
  </w:style>
  <w:style w:type="paragraph" w:customStyle="1" w:styleId="Versopageinfo">
    <w:name w:val="Verso page info"/>
    <w:basedOn w:val="BodyText"/>
    <w:next w:val="BodyText"/>
    <w:link w:val="VersopageinfoChar"/>
    <w:qFormat/>
    <w:rsid w:val="000C2DCE"/>
    <w:pPr>
      <w:spacing w:before="0"/>
    </w:pPr>
  </w:style>
  <w:style w:type="character" w:customStyle="1" w:styleId="Heading6Char">
    <w:name w:val="Heading 6 Char"/>
    <w:basedOn w:val="BodyTextChar"/>
    <w:link w:val="Heading6"/>
    <w:semiHidden/>
    <w:rsid w:val="000C2DCE"/>
    <w:rPr>
      <w:rFonts w:cs="Arial"/>
      <w:b/>
      <w:kern w:val="28"/>
      <w:szCs w:val="30"/>
    </w:rPr>
  </w:style>
  <w:style w:type="character" w:customStyle="1" w:styleId="VersopageinfoChar">
    <w:name w:val="Verso page info Char"/>
    <w:basedOn w:val="BodyTextChar"/>
    <w:link w:val="Versopageinfo"/>
    <w:rsid w:val="000C2DCE"/>
    <w:rPr>
      <w:rFonts w:cs="Arial"/>
    </w:rPr>
  </w:style>
  <w:style w:type="character" w:customStyle="1" w:styleId="Bulletlevel1Char">
    <w:name w:val="Bullet level 1 Char"/>
    <w:basedOn w:val="BodyTextChar"/>
    <w:link w:val="Bulletlevel1"/>
    <w:rsid w:val="005917E1"/>
    <w:rPr>
      <w:rFonts w:ascii="Palatino Linotype" w:eastAsia="Times New Roman" w:hAnsi="Palatino Linotype" w:cs="Arial"/>
      <w:sz w:val="22"/>
    </w:rPr>
  </w:style>
  <w:style w:type="paragraph" w:styleId="BlockText">
    <w:name w:val="Block Text"/>
    <w:aliases w:val="BLT-DO NOT USE"/>
    <w:basedOn w:val="BalloonText"/>
    <w:semiHidden/>
    <w:locked/>
    <w:rsid w:val="000C2DCE"/>
  </w:style>
  <w:style w:type="character" w:customStyle="1" w:styleId="Hyperlinkprint">
    <w:name w:val="Hyperlink print"/>
    <w:basedOn w:val="Hyperlink"/>
    <w:qFormat/>
    <w:rsid w:val="000C2DCE"/>
    <w:rPr>
      <w:color w:val="auto"/>
    </w:rPr>
  </w:style>
  <w:style w:type="paragraph" w:styleId="TOCHeading">
    <w:name w:val="TOC Heading"/>
    <w:next w:val="BodyText"/>
    <w:qFormat/>
    <w:rsid w:val="000C2DCE"/>
    <w:pPr>
      <w:pageBreakBefore/>
      <w:spacing w:before="180" w:after="960" w:line="240" w:lineRule="auto"/>
    </w:pPr>
    <w:rPr>
      <w:rFonts w:eastAsia="Times New Roman"/>
      <w:sz w:val="40"/>
    </w:rPr>
  </w:style>
  <w:style w:type="paragraph" w:styleId="Closing">
    <w:name w:val="Closing"/>
    <w:aliases w:val="C-DO NOT USE"/>
    <w:basedOn w:val="CommentSubject"/>
    <w:next w:val="BodyText"/>
    <w:semiHidden/>
    <w:locked/>
    <w:rsid w:val="000C2DCE"/>
  </w:style>
  <w:style w:type="paragraph" w:styleId="Date">
    <w:name w:val="Date"/>
    <w:aliases w:val="D-DO NOT USE"/>
    <w:next w:val="BodyText"/>
    <w:semiHidden/>
    <w:locked/>
    <w:rsid w:val="000C2DCE"/>
    <w:pPr>
      <w:spacing w:before="180" w:after="180"/>
    </w:pPr>
    <w:rPr>
      <w:rFonts w:cs="Arial"/>
    </w:rPr>
  </w:style>
  <w:style w:type="paragraph" w:styleId="E-mailSignature">
    <w:name w:val="E-mail Signature"/>
    <w:aliases w:val="EM-DO NOT USE"/>
    <w:next w:val="BodyText"/>
    <w:semiHidden/>
    <w:locked/>
    <w:rsid w:val="000C2DCE"/>
    <w:pPr>
      <w:spacing w:before="180" w:after="180"/>
    </w:pPr>
    <w:rPr>
      <w:rFonts w:cs="Arial"/>
    </w:rPr>
  </w:style>
  <w:style w:type="paragraph" w:styleId="EnvelopeAddress">
    <w:name w:val="envelope address"/>
    <w:aliases w:val="EA-DO NOT USE"/>
    <w:next w:val="BodyText"/>
    <w:semiHidden/>
    <w:locked/>
    <w:rsid w:val="000C2DCE"/>
    <w:pPr>
      <w:spacing w:before="180" w:after="180"/>
    </w:pPr>
    <w:rPr>
      <w:rFonts w:cs="Arial"/>
    </w:rPr>
  </w:style>
  <w:style w:type="paragraph" w:styleId="EnvelopeReturn">
    <w:name w:val="envelope return"/>
    <w:aliases w:val="ER-DO NOT USE"/>
    <w:next w:val="BodyText"/>
    <w:semiHidden/>
    <w:locked/>
    <w:rsid w:val="000C2DCE"/>
    <w:pPr>
      <w:spacing w:before="180" w:after="180"/>
    </w:pPr>
    <w:rPr>
      <w:rFonts w:cs="Arial"/>
    </w:rPr>
  </w:style>
  <w:style w:type="character" w:styleId="FollowedHyperlink">
    <w:name w:val="FollowedHyperlink"/>
    <w:basedOn w:val="Hyperlink"/>
    <w:rsid w:val="000C2DCE"/>
    <w:rPr>
      <w:color w:val="0000FF"/>
    </w:rPr>
  </w:style>
  <w:style w:type="paragraph" w:styleId="HTMLAddress">
    <w:name w:val="HTML Address"/>
    <w:aliases w:val="HAd-DO NOT USE"/>
    <w:next w:val="BodyText"/>
    <w:semiHidden/>
    <w:locked/>
    <w:rsid w:val="000C2DCE"/>
    <w:pPr>
      <w:spacing w:before="180" w:after="180"/>
    </w:pPr>
    <w:rPr>
      <w:rFonts w:cs="Arial"/>
    </w:rPr>
  </w:style>
  <w:style w:type="paragraph" w:styleId="HTMLPreformatted">
    <w:name w:val="HTML Preformatted"/>
    <w:aliases w:val="HP-DO NOT USE"/>
    <w:next w:val="BodyText"/>
    <w:semiHidden/>
    <w:locked/>
    <w:rsid w:val="000C2DCE"/>
    <w:pPr>
      <w:spacing w:before="180" w:after="180"/>
    </w:pPr>
    <w:rPr>
      <w:rFonts w:cs="Arial"/>
    </w:rPr>
  </w:style>
  <w:style w:type="paragraph" w:styleId="List">
    <w:name w:val="List"/>
    <w:basedOn w:val="BodyText"/>
    <w:next w:val="BodyText"/>
    <w:semiHidden/>
    <w:locked/>
    <w:rsid w:val="000C2DCE"/>
    <w:pPr>
      <w:ind w:left="283" w:hanging="283"/>
    </w:pPr>
  </w:style>
  <w:style w:type="paragraph" w:styleId="List2">
    <w:name w:val="List 2"/>
    <w:basedOn w:val="List"/>
    <w:next w:val="BodyText"/>
    <w:semiHidden/>
    <w:locked/>
    <w:rsid w:val="000C2DCE"/>
    <w:pPr>
      <w:ind w:left="566"/>
    </w:pPr>
  </w:style>
  <w:style w:type="paragraph" w:styleId="List3">
    <w:name w:val="List 3"/>
    <w:basedOn w:val="List2"/>
    <w:next w:val="BodyText"/>
    <w:semiHidden/>
    <w:locked/>
    <w:rsid w:val="000C2DCE"/>
    <w:pPr>
      <w:ind w:left="849"/>
    </w:pPr>
  </w:style>
  <w:style w:type="paragraph" w:styleId="List4">
    <w:name w:val="List 4"/>
    <w:basedOn w:val="List3"/>
    <w:next w:val="BodyText"/>
    <w:semiHidden/>
    <w:locked/>
    <w:rsid w:val="000C2DCE"/>
    <w:pPr>
      <w:ind w:left="1132"/>
    </w:pPr>
  </w:style>
  <w:style w:type="paragraph" w:styleId="List5">
    <w:name w:val="List 5"/>
    <w:basedOn w:val="List4"/>
    <w:next w:val="BodyText"/>
    <w:semiHidden/>
    <w:locked/>
    <w:rsid w:val="000C2DCE"/>
    <w:pPr>
      <w:ind w:left="1415"/>
    </w:pPr>
  </w:style>
  <w:style w:type="paragraph" w:styleId="ListBullet">
    <w:name w:val="List Bullet"/>
    <w:basedOn w:val="BodyText"/>
    <w:next w:val="BodyText"/>
    <w:semiHidden/>
    <w:locked/>
    <w:rsid w:val="000C2DCE"/>
    <w:pPr>
      <w:numPr>
        <w:numId w:val="13"/>
      </w:numPr>
    </w:pPr>
  </w:style>
  <w:style w:type="paragraph" w:styleId="ListBullet2">
    <w:name w:val="List Bullet 2"/>
    <w:basedOn w:val="ListBullet"/>
    <w:next w:val="BodyText"/>
    <w:semiHidden/>
    <w:locked/>
    <w:rsid w:val="000C2DCE"/>
    <w:pPr>
      <w:numPr>
        <w:numId w:val="14"/>
      </w:numPr>
    </w:pPr>
  </w:style>
  <w:style w:type="paragraph" w:styleId="ListBullet3">
    <w:name w:val="List Bullet 3"/>
    <w:basedOn w:val="ListBullet2"/>
    <w:next w:val="BodyText"/>
    <w:semiHidden/>
    <w:locked/>
    <w:rsid w:val="000C2DCE"/>
    <w:pPr>
      <w:numPr>
        <w:numId w:val="15"/>
      </w:numPr>
    </w:pPr>
  </w:style>
  <w:style w:type="paragraph" w:styleId="ListBullet4">
    <w:name w:val="List Bullet 4"/>
    <w:basedOn w:val="ListBullet3"/>
    <w:next w:val="BodyText"/>
    <w:semiHidden/>
    <w:locked/>
    <w:rsid w:val="000C2DCE"/>
    <w:pPr>
      <w:numPr>
        <w:numId w:val="16"/>
      </w:numPr>
    </w:pPr>
  </w:style>
  <w:style w:type="paragraph" w:styleId="ListBullet5">
    <w:name w:val="List Bullet 5"/>
    <w:basedOn w:val="ListBullet4"/>
    <w:next w:val="BodyText"/>
    <w:semiHidden/>
    <w:locked/>
    <w:rsid w:val="000C2DCE"/>
    <w:pPr>
      <w:numPr>
        <w:numId w:val="17"/>
      </w:numPr>
    </w:pPr>
  </w:style>
  <w:style w:type="paragraph" w:styleId="ListContinue">
    <w:name w:val="List Continue"/>
    <w:basedOn w:val="BodyText"/>
    <w:next w:val="BodyText"/>
    <w:semiHidden/>
    <w:locked/>
    <w:rsid w:val="000C2DCE"/>
    <w:pPr>
      <w:ind w:left="283"/>
    </w:pPr>
  </w:style>
  <w:style w:type="paragraph" w:styleId="ListContinue2">
    <w:name w:val="List Continue 2"/>
    <w:basedOn w:val="ListContinue"/>
    <w:next w:val="BodyText"/>
    <w:semiHidden/>
    <w:locked/>
    <w:rsid w:val="000C2DCE"/>
    <w:pPr>
      <w:ind w:left="566"/>
    </w:pPr>
  </w:style>
  <w:style w:type="paragraph" w:styleId="ListContinue3">
    <w:name w:val="List Continue 3"/>
    <w:basedOn w:val="ListContinue2"/>
    <w:next w:val="BodyText"/>
    <w:semiHidden/>
    <w:locked/>
    <w:rsid w:val="000C2DCE"/>
    <w:pPr>
      <w:ind w:left="849"/>
    </w:pPr>
  </w:style>
  <w:style w:type="paragraph" w:styleId="ListContinue4">
    <w:name w:val="List Continue 4"/>
    <w:basedOn w:val="ListContinue3"/>
    <w:next w:val="BodyText"/>
    <w:semiHidden/>
    <w:locked/>
    <w:rsid w:val="000C2DCE"/>
    <w:pPr>
      <w:ind w:left="1132"/>
    </w:pPr>
  </w:style>
  <w:style w:type="paragraph" w:styleId="ListContinue5">
    <w:name w:val="List Continue 5"/>
    <w:basedOn w:val="ListContinue4"/>
    <w:next w:val="BodyText"/>
    <w:semiHidden/>
    <w:locked/>
    <w:rsid w:val="000C2DCE"/>
    <w:pPr>
      <w:ind w:left="1415"/>
    </w:pPr>
  </w:style>
  <w:style w:type="paragraph" w:styleId="ListNumber">
    <w:name w:val="List Number"/>
    <w:basedOn w:val="BodyText"/>
    <w:next w:val="BodyText"/>
    <w:semiHidden/>
    <w:locked/>
    <w:rsid w:val="000C2DCE"/>
    <w:pPr>
      <w:numPr>
        <w:numId w:val="20"/>
      </w:numPr>
    </w:pPr>
  </w:style>
  <w:style w:type="paragraph" w:styleId="ListNumber2">
    <w:name w:val="List Number 2"/>
    <w:basedOn w:val="ListNumber"/>
    <w:next w:val="BodyText"/>
    <w:semiHidden/>
    <w:locked/>
    <w:rsid w:val="000C2DCE"/>
    <w:pPr>
      <w:numPr>
        <w:numId w:val="21"/>
      </w:numPr>
    </w:pPr>
  </w:style>
  <w:style w:type="paragraph" w:styleId="ListNumber3">
    <w:name w:val="List Number 3"/>
    <w:basedOn w:val="ListNumber2"/>
    <w:next w:val="BodyText"/>
    <w:semiHidden/>
    <w:locked/>
    <w:rsid w:val="000C2DCE"/>
    <w:pPr>
      <w:numPr>
        <w:numId w:val="22"/>
      </w:numPr>
    </w:pPr>
  </w:style>
  <w:style w:type="paragraph" w:styleId="ListNumber4">
    <w:name w:val="List Number 4"/>
    <w:basedOn w:val="ListNumber3"/>
    <w:next w:val="BodyText"/>
    <w:semiHidden/>
    <w:locked/>
    <w:rsid w:val="000C2DCE"/>
    <w:pPr>
      <w:numPr>
        <w:numId w:val="23"/>
      </w:numPr>
    </w:pPr>
  </w:style>
  <w:style w:type="paragraph" w:styleId="ListNumber5">
    <w:name w:val="List Number 5"/>
    <w:basedOn w:val="ListNumber4"/>
    <w:next w:val="BodyText"/>
    <w:semiHidden/>
    <w:locked/>
    <w:rsid w:val="000C2DCE"/>
    <w:pPr>
      <w:numPr>
        <w:numId w:val="24"/>
      </w:numPr>
    </w:pPr>
  </w:style>
  <w:style w:type="paragraph" w:styleId="MessageHeader">
    <w:name w:val="Message Header"/>
    <w:aliases w:val="MH-DO NOT USE"/>
    <w:semiHidden/>
    <w:locked/>
    <w:rsid w:val="000C2DCE"/>
    <w:pPr>
      <w:spacing w:before="180" w:after="180"/>
    </w:pPr>
    <w:rPr>
      <w:rFonts w:cs="Arial"/>
    </w:rPr>
  </w:style>
  <w:style w:type="paragraph" w:styleId="NormalWeb">
    <w:name w:val="Normal (Web)"/>
    <w:aliases w:val="NW-DO NOT USE"/>
    <w:next w:val="BodyText"/>
    <w:semiHidden/>
    <w:locked/>
    <w:rsid w:val="000C2DCE"/>
    <w:pPr>
      <w:spacing w:before="180" w:after="180"/>
    </w:pPr>
    <w:rPr>
      <w:rFonts w:cs="Arial"/>
    </w:rPr>
  </w:style>
  <w:style w:type="paragraph" w:styleId="NormalIndent">
    <w:name w:val="Normal Indent"/>
    <w:aliases w:val="NI-DO NOT USE"/>
    <w:next w:val="BodyText"/>
    <w:semiHidden/>
    <w:locked/>
    <w:rsid w:val="000C2DCE"/>
    <w:pPr>
      <w:spacing w:before="180" w:after="180"/>
    </w:pPr>
    <w:rPr>
      <w:rFonts w:cs="Arial"/>
    </w:rPr>
  </w:style>
  <w:style w:type="paragraph" w:styleId="NoteHeading">
    <w:name w:val="Note Heading"/>
    <w:basedOn w:val="BodyText"/>
    <w:next w:val="BodyText"/>
    <w:semiHidden/>
    <w:locked/>
    <w:rsid w:val="000C2DCE"/>
  </w:style>
  <w:style w:type="character" w:styleId="PageNumber">
    <w:name w:val="page number"/>
    <w:aliases w:val="P-DO NOT USE"/>
    <w:locked/>
    <w:rsid w:val="000C2DCE"/>
  </w:style>
  <w:style w:type="paragraph" w:styleId="PlainText">
    <w:name w:val="Plain Text"/>
    <w:aliases w:val="PT-DO NOT USE"/>
    <w:semiHidden/>
    <w:locked/>
    <w:rsid w:val="000C2DCE"/>
    <w:pPr>
      <w:spacing w:before="180" w:after="180"/>
    </w:pPr>
    <w:rPr>
      <w:rFonts w:cs="Arial"/>
    </w:rPr>
  </w:style>
  <w:style w:type="paragraph" w:styleId="Salutation">
    <w:name w:val="Salutation"/>
    <w:aliases w:val="Sa-DO NOT USE"/>
    <w:next w:val="BodyText"/>
    <w:semiHidden/>
    <w:locked/>
    <w:rsid w:val="000C2DCE"/>
    <w:pPr>
      <w:spacing w:before="180" w:after="180"/>
    </w:pPr>
    <w:rPr>
      <w:rFonts w:cs="Arial"/>
    </w:rPr>
  </w:style>
  <w:style w:type="paragraph" w:styleId="Signature">
    <w:name w:val="Signature"/>
    <w:aliases w:val="Si-DO NOT USE"/>
    <w:next w:val="BodyText"/>
    <w:semiHidden/>
    <w:locked/>
    <w:rsid w:val="000C2DCE"/>
    <w:pPr>
      <w:spacing w:before="180" w:after="180"/>
    </w:pPr>
    <w:rPr>
      <w:rFonts w:cs="Arial"/>
    </w:rPr>
  </w:style>
  <w:style w:type="paragraph" w:styleId="Subtitle">
    <w:name w:val="Subtitle"/>
    <w:aliases w:val="S-DO NOT USE"/>
    <w:next w:val="BodyText"/>
    <w:semiHidden/>
    <w:qFormat/>
    <w:locked/>
    <w:rsid w:val="000C2DCE"/>
    <w:pPr>
      <w:spacing w:before="180" w:after="180"/>
    </w:pPr>
    <w:rPr>
      <w:rFonts w:cs="Arial"/>
    </w:rPr>
  </w:style>
  <w:style w:type="table" w:styleId="Table3Deffects1">
    <w:name w:val="Table 3D effects 1"/>
    <w:basedOn w:val="TableNormal"/>
    <w:semiHidden/>
    <w:locked/>
    <w:rsid w:val="000C2DCE"/>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0C2DCE"/>
    <w:pPr>
      <w:spacing w:before="180" w:after="180"/>
    </w:pPr>
    <w:rPr>
      <w:rFonts w:cs="Arial"/>
    </w:rPr>
  </w:style>
  <w:style w:type="character" w:customStyle="1" w:styleId="Heading1Char">
    <w:name w:val="Heading 1 Char"/>
    <w:basedOn w:val="DefaultParagraphFont"/>
    <w:link w:val="Heading1"/>
    <w:rsid w:val="000C2DCE"/>
    <w:rPr>
      <w:rFonts w:cs="Arial"/>
      <w:kern w:val="28"/>
      <w:sz w:val="40"/>
    </w:rPr>
  </w:style>
  <w:style w:type="character" w:customStyle="1" w:styleId="Heading2Char">
    <w:name w:val="Heading 2 Char"/>
    <w:basedOn w:val="Heading1Char"/>
    <w:link w:val="Heading2"/>
    <w:rsid w:val="000C2DCE"/>
    <w:rPr>
      <w:rFonts w:cs="Arial"/>
      <w:kern w:val="28"/>
      <w:sz w:val="30"/>
      <w:szCs w:val="30"/>
    </w:rPr>
  </w:style>
  <w:style w:type="character" w:customStyle="1" w:styleId="Heading3Char">
    <w:name w:val="Heading 3 Char"/>
    <w:basedOn w:val="Heading2Char"/>
    <w:link w:val="Heading3"/>
    <w:rsid w:val="000C2DCE"/>
    <w:rPr>
      <w:rFonts w:cs="Arial"/>
      <w:b/>
      <w:kern w:val="28"/>
      <w:sz w:val="24"/>
      <w:szCs w:val="30"/>
    </w:rPr>
  </w:style>
  <w:style w:type="character" w:customStyle="1" w:styleId="Heading4Char">
    <w:name w:val="Heading 4 Char"/>
    <w:basedOn w:val="Heading3Char"/>
    <w:link w:val="Heading4"/>
    <w:rsid w:val="000C2DCE"/>
    <w:rPr>
      <w:rFonts w:cs="Arial"/>
      <w:b/>
      <w:i/>
      <w:kern w:val="28"/>
      <w:sz w:val="22"/>
      <w:szCs w:val="30"/>
    </w:rPr>
  </w:style>
  <w:style w:type="paragraph" w:styleId="TOC6">
    <w:name w:val="toc 6"/>
    <w:basedOn w:val="Normal"/>
    <w:next w:val="Normal"/>
    <w:autoRedefine/>
    <w:semiHidden/>
    <w:locked/>
    <w:rsid w:val="000C2DCE"/>
    <w:pPr>
      <w:ind w:left="1050"/>
    </w:pPr>
  </w:style>
  <w:style w:type="paragraph" w:customStyle="1" w:styleId="Bulletlevel1numbered">
    <w:name w:val="Bullet level 1 numbered"/>
    <w:basedOn w:val="BodyText"/>
    <w:link w:val="Bulletlevel1numberedChar"/>
    <w:qFormat/>
    <w:rsid w:val="005917E1"/>
    <w:pPr>
      <w:spacing w:before="60" w:after="60"/>
    </w:pPr>
    <w:rPr>
      <w:rFonts w:eastAsia="Times New Roman"/>
    </w:rPr>
  </w:style>
  <w:style w:type="character" w:customStyle="1" w:styleId="Bulletlevel1numberedChar">
    <w:name w:val="Bullet level 1 numbered Char"/>
    <w:basedOn w:val="Bulletlevel1Char"/>
    <w:link w:val="Bulletlevel1numbered"/>
    <w:rsid w:val="005917E1"/>
    <w:rPr>
      <w:rFonts w:ascii="Palatino Linotype" w:eastAsia="Times New Roman" w:hAnsi="Palatino Linotype" w:cs="Arial"/>
      <w:sz w:val="22"/>
    </w:rPr>
  </w:style>
  <w:style w:type="paragraph" w:customStyle="1" w:styleId="Bulletlevel2numbered">
    <w:name w:val="Bullet level 2 numbered"/>
    <w:basedOn w:val="Bulletlevel1numbered"/>
    <w:qFormat/>
    <w:rsid w:val="00D7056C"/>
    <w:pPr>
      <w:numPr>
        <w:ilvl w:val="1"/>
      </w:numPr>
    </w:pPr>
    <w:rPr>
      <w:rFonts w:eastAsia="Times"/>
    </w:rPr>
  </w:style>
  <w:style w:type="paragraph" w:styleId="TableofFigures">
    <w:name w:val="table of figures"/>
    <w:basedOn w:val="TOC1"/>
    <w:next w:val="BodyText"/>
    <w:uiPriority w:val="99"/>
    <w:qFormat/>
    <w:rsid w:val="000C2DCE"/>
  </w:style>
  <w:style w:type="numbering" w:styleId="111111">
    <w:name w:val="Outline List 2"/>
    <w:basedOn w:val="NoList"/>
    <w:semiHidden/>
    <w:locked/>
    <w:rsid w:val="000C2DCE"/>
    <w:pPr>
      <w:numPr>
        <w:numId w:val="6"/>
      </w:numPr>
    </w:pPr>
  </w:style>
  <w:style w:type="numbering" w:styleId="1ai">
    <w:name w:val="Outline List 1"/>
    <w:basedOn w:val="NoList"/>
    <w:semiHidden/>
    <w:locked/>
    <w:rsid w:val="000C2DCE"/>
    <w:pPr>
      <w:numPr>
        <w:numId w:val="7"/>
      </w:numPr>
    </w:pPr>
  </w:style>
  <w:style w:type="numbering" w:styleId="ArticleSection">
    <w:name w:val="Outline List 3"/>
    <w:basedOn w:val="NoList"/>
    <w:semiHidden/>
    <w:locked/>
    <w:rsid w:val="000C2DCE"/>
    <w:pPr>
      <w:numPr>
        <w:numId w:val="8"/>
      </w:numPr>
    </w:pPr>
  </w:style>
  <w:style w:type="character" w:styleId="HTMLAcronym">
    <w:name w:val="HTML Acronym"/>
    <w:aliases w:val="HA-DO NOT USE"/>
    <w:semiHidden/>
    <w:locked/>
    <w:rsid w:val="000C2DCE"/>
  </w:style>
  <w:style w:type="character" w:styleId="HTMLCite">
    <w:name w:val="HTML Cite"/>
    <w:aliases w:val="HCi-DO NOT USE"/>
    <w:semiHidden/>
    <w:locked/>
    <w:rsid w:val="000C2DCE"/>
  </w:style>
  <w:style w:type="character" w:styleId="HTMLCode">
    <w:name w:val="HTML Code"/>
    <w:aliases w:val="HC-DO NOT USE"/>
    <w:semiHidden/>
    <w:locked/>
    <w:rsid w:val="000C2DCE"/>
  </w:style>
  <w:style w:type="character" w:styleId="HTMLDefinition">
    <w:name w:val="HTML Definition"/>
    <w:aliases w:val="HD-DO NOT USE"/>
    <w:semiHidden/>
    <w:locked/>
    <w:rsid w:val="000C2DCE"/>
  </w:style>
  <w:style w:type="character" w:styleId="HTMLKeyboard">
    <w:name w:val="HTML Keyboard"/>
    <w:aliases w:val="HK-DO NOT USE"/>
    <w:semiHidden/>
    <w:locked/>
    <w:rsid w:val="000C2DCE"/>
  </w:style>
  <w:style w:type="character" w:styleId="HTMLSample">
    <w:name w:val="HTML Sample"/>
    <w:aliases w:val="HS-DO NOT USE"/>
    <w:semiHidden/>
    <w:locked/>
    <w:rsid w:val="000C2DCE"/>
  </w:style>
  <w:style w:type="character" w:styleId="HTMLTypewriter">
    <w:name w:val="HTML Typewriter"/>
    <w:aliases w:val="HT-DO NOT USE"/>
    <w:semiHidden/>
    <w:locked/>
    <w:rsid w:val="000C2DCE"/>
  </w:style>
  <w:style w:type="character" w:styleId="HTMLVariable">
    <w:name w:val="HTML Variable"/>
    <w:aliases w:val="HV-DO NOT USE"/>
    <w:semiHidden/>
    <w:locked/>
    <w:rsid w:val="000C2DCE"/>
  </w:style>
  <w:style w:type="character" w:styleId="LineNumber">
    <w:name w:val="line number"/>
    <w:aliases w:val="LN-DO NOT USE"/>
    <w:semiHidden/>
    <w:locked/>
    <w:rsid w:val="000C2DCE"/>
  </w:style>
  <w:style w:type="table" w:styleId="Table3Deffects2">
    <w:name w:val="Table 3D effects 2"/>
    <w:basedOn w:val="TableNormal"/>
    <w:semiHidden/>
    <w:locked/>
    <w:rsid w:val="000C2DCE"/>
    <w:pPr>
      <w:spacing w:before="180" w:after="180"/>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0C2DCE"/>
    <w:pPr>
      <w:spacing w:before="180" w:after="180"/>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0C2DCE"/>
    <w:pPr>
      <w:spacing w:before="180" w:after="18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0C2DCE"/>
    <w:pPr>
      <w:spacing w:before="180" w:after="18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0C2DCE"/>
    <w:pPr>
      <w:spacing w:before="180" w:after="180"/>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0C2DCE"/>
    <w:pPr>
      <w:spacing w:before="180" w:after="180"/>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0C2DCE"/>
    <w:pPr>
      <w:spacing w:before="180" w:after="180"/>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0C2DCE"/>
    <w:pPr>
      <w:spacing w:before="180" w:after="180"/>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0C2DCE"/>
    <w:pPr>
      <w:spacing w:before="180" w:after="180"/>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0C2DCE"/>
    <w:pPr>
      <w:spacing w:before="180" w:after="180"/>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0C2DCE"/>
    <w:pPr>
      <w:spacing w:before="180" w:after="180"/>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0C2DCE"/>
    <w:pPr>
      <w:spacing w:before="180" w:after="180"/>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0C2DCE"/>
    <w:pPr>
      <w:spacing w:before="180" w:after="180"/>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0C2DCE"/>
    <w:pPr>
      <w:spacing w:before="180" w:after="180"/>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0C2DCE"/>
    <w:pPr>
      <w:spacing w:before="180" w:after="180"/>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0C2DCE"/>
    <w:pPr>
      <w:spacing w:before="180" w:after="180"/>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0C2DCE"/>
    <w:pPr>
      <w:spacing w:before="180" w:after="1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0C2DCE"/>
    <w:pPr>
      <w:spacing w:before="180" w:after="18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0C2DCE"/>
    <w:pPr>
      <w:spacing w:before="180" w:after="180"/>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0C2DCE"/>
    <w:pPr>
      <w:spacing w:before="180" w:after="180"/>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0C2DCE"/>
    <w:pPr>
      <w:spacing w:before="180" w:after="180"/>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0C2DCE"/>
    <w:pPr>
      <w:spacing w:before="180" w:after="1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0C2DCE"/>
    <w:pPr>
      <w:spacing w:before="180" w:after="180"/>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0C2DCE"/>
    <w:pPr>
      <w:spacing w:before="180" w:after="180"/>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0C2DCE"/>
    <w:pPr>
      <w:spacing w:before="180" w:after="180"/>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0C2DCE"/>
    <w:pPr>
      <w:spacing w:before="180" w:after="180"/>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0C2DCE"/>
    <w:pPr>
      <w:spacing w:before="180" w:after="180"/>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0C2DCE"/>
    <w:pPr>
      <w:spacing w:before="180" w:after="180"/>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0C2DCE"/>
    <w:pPr>
      <w:spacing w:before="180" w:after="180"/>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0C2DCE"/>
    <w:pPr>
      <w:spacing w:before="180" w:after="180"/>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0C2DCE"/>
    <w:pPr>
      <w:spacing w:before="180" w:after="180"/>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0C2DCE"/>
    <w:pPr>
      <w:spacing w:before="180" w:after="180"/>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0C2DCE"/>
    <w:pPr>
      <w:spacing w:before="180" w:after="180"/>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0C2DCE"/>
    <w:pPr>
      <w:spacing w:before="180" w:after="18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0C2DCE"/>
    <w:pPr>
      <w:spacing w:before="180" w:after="180"/>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0C2DCE"/>
    <w:pPr>
      <w:spacing w:before="180" w:after="180"/>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0C2DCE"/>
    <w:pPr>
      <w:spacing w:before="180" w:after="180"/>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0C2DCE"/>
    <w:pPr>
      <w:spacing w:before="180" w:after="180"/>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0C2DCE"/>
    <w:pPr>
      <w:spacing w:before="180" w:after="180"/>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0C2DCE"/>
    <w:pPr>
      <w:spacing w:before="180" w:after="1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0C2DCE"/>
    <w:pPr>
      <w:spacing w:before="180" w:after="180"/>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0C2DCE"/>
    <w:pPr>
      <w:spacing w:before="180" w:after="180"/>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0C2DCE"/>
    <w:pPr>
      <w:spacing w:before="180" w:after="180"/>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StyleGAHeaderRow">
    <w:name w:val="Table Style GA Header Row"/>
    <w:basedOn w:val="TableNormal"/>
    <w:rsid w:val="003726DC"/>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character" w:customStyle="1" w:styleId="Superscript">
    <w:name w:val="Superscript"/>
    <w:basedOn w:val="DefaultParagraphFont"/>
    <w:qFormat/>
    <w:rsid w:val="000C2DCE"/>
    <w:rPr>
      <w:position w:val="0"/>
      <w:vertAlign w:val="superscript"/>
    </w:rPr>
  </w:style>
  <w:style w:type="character" w:customStyle="1" w:styleId="Subscript">
    <w:name w:val="Subscript"/>
    <w:basedOn w:val="DefaultParagraphFont"/>
    <w:qFormat/>
    <w:rsid w:val="000C2DCE"/>
    <w:rPr>
      <w:position w:val="-4"/>
      <w:vertAlign w:val="subscript"/>
    </w:rPr>
  </w:style>
  <w:style w:type="paragraph" w:styleId="BalloonText">
    <w:name w:val="Balloon Text"/>
    <w:aliases w:val="B6-DO NOT USE"/>
    <w:basedOn w:val="BodyTextIndent3"/>
    <w:link w:val="BalloonTextChar"/>
    <w:semiHidden/>
    <w:locked/>
    <w:rsid w:val="000C2DCE"/>
  </w:style>
  <w:style w:type="character" w:customStyle="1" w:styleId="BalloonTextChar">
    <w:name w:val="Balloon Text Char"/>
    <w:aliases w:val="B6-DO NOT USE Char"/>
    <w:basedOn w:val="DefaultParagraphFont"/>
    <w:link w:val="BalloonText"/>
    <w:semiHidden/>
    <w:rsid w:val="000C2DCE"/>
    <w:rPr>
      <w:rFonts w:cs="Arial"/>
    </w:rPr>
  </w:style>
  <w:style w:type="character" w:customStyle="1" w:styleId="FooterChar">
    <w:name w:val="Footer Char"/>
    <w:basedOn w:val="DefaultParagraphFont"/>
    <w:link w:val="Footer"/>
    <w:rsid w:val="000C2DCE"/>
    <w:rPr>
      <w:rFonts w:ascii="Arial Bold" w:hAnsi="Arial Bold" w:cs="Arial"/>
      <w:b/>
      <w:sz w:val="16"/>
      <w:szCs w:val="16"/>
    </w:rPr>
  </w:style>
  <w:style w:type="table" w:styleId="LightShading-Accent5">
    <w:name w:val="Light Shading Accent 5"/>
    <w:basedOn w:val="TableNormal"/>
    <w:uiPriority w:val="60"/>
    <w:locked/>
    <w:rsid w:val="000C2DCE"/>
    <w:pPr>
      <w:spacing w:before="180" w:after="18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0C2DCE"/>
    <w:pPr>
      <w:spacing w:before="180" w:after="18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0C2DCE"/>
    <w:pPr>
      <w:spacing w:before="180" w:after="18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0C2DCE"/>
    <w:pPr>
      <w:spacing w:before="180" w:after="18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0C2DCE"/>
    <w:pPr>
      <w:spacing w:before="180" w:after="18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0C2DCE"/>
    <w:pPr>
      <w:spacing w:before="180" w:after="18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0C2DCE"/>
    <w:pPr>
      <w:spacing w:before="180" w:after="18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0C2DCE"/>
    <w:pPr>
      <w:spacing w:before="0" w:after="600"/>
      <w:outlineLvl w:val="1"/>
    </w:pPr>
    <w:rPr>
      <w:sz w:val="32"/>
      <w:szCs w:val="36"/>
    </w:rPr>
  </w:style>
  <w:style w:type="character" w:customStyle="1" w:styleId="DocumentsubtitleChar">
    <w:name w:val="Document subtitle Char"/>
    <w:basedOn w:val="DefaultParagraphFont"/>
    <w:link w:val="Documentsubtitle"/>
    <w:rsid w:val="000C2DCE"/>
    <w:rPr>
      <w:rFonts w:eastAsia="Times New Roman"/>
      <w:sz w:val="32"/>
      <w:szCs w:val="36"/>
    </w:rPr>
  </w:style>
  <w:style w:type="paragraph" w:styleId="Bibliography">
    <w:name w:val="Bibliography"/>
    <w:next w:val="BodyText"/>
    <w:uiPriority w:val="37"/>
    <w:locked/>
    <w:rsid w:val="000C2DCE"/>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0C2DCE"/>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0C2DCE"/>
    <w:pPr>
      <w:spacing w:before="180" w:after="180"/>
    </w:pPr>
    <w:rPr>
      <w:rFonts w:cs="Arial"/>
    </w:rPr>
  </w:style>
  <w:style w:type="character" w:customStyle="1" w:styleId="CommentSubjectChar">
    <w:name w:val="Comment Subject Char"/>
    <w:aliases w:val="CS-DO NOT USE Char"/>
    <w:basedOn w:val="DefaultParagraphFont"/>
    <w:link w:val="CommentSubject"/>
    <w:semiHidden/>
    <w:rsid w:val="000C2DCE"/>
    <w:rPr>
      <w:rFonts w:cs="Arial"/>
    </w:rPr>
  </w:style>
  <w:style w:type="paragraph" w:styleId="DocumentMap">
    <w:name w:val="Document Map"/>
    <w:aliases w:val="DM-DO NOT USE"/>
    <w:link w:val="DocumentMapChar"/>
    <w:semiHidden/>
    <w:locked/>
    <w:rsid w:val="000C2DCE"/>
    <w:pPr>
      <w:spacing w:before="180" w:after="180"/>
    </w:pPr>
    <w:rPr>
      <w:rFonts w:cs="Arial"/>
    </w:rPr>
  </w:style>
  <w:style w:type="character" w:customStyle="1" w:styleId="DocumentMapChar">
    <w:name w:val="Document Map Char"/>
    <w:aliases w:val="DM-DO NOT USE Char"/>
    <w:basedOn w:val="DefaultParagraphFont"/>
    <w:link w:val="DocumentMap"/>
    <w:semiHidden/>
    <w:rsid w:val="000C2DCE"/>
    <w:rPr>
      <w:rFonts w:cs="Arial"/>
    </w:rPr>
  </w:style>
  <w:style w:type="paragraph" w:styleId="FootnoteText">
    <w:name w:val="footnote text"/>
    <w:link w:val="FootnoteTextChar"/>
    <w:locked/>
    <w:rsid w:val="000C2DCE"/>
    <w:pPr>
      <w:tabs>
        <w:tab w:val="left" w:pos="284"/>
      </w:tabs>
      <w:spacing w:before="30" w:line="240" w:lineRule="auto"/>
      <w:ind w:left="113" w:hanging="113"/>
    </w:pPr>
    <w:rPr>
      <w:rFonts w:cs="Arial"/>
      <w:sz w:val="16"/>
    </w:rPr>
  </w:style>
  <w:style w:type="character" w:customStyle="1" w:styleId="FootnoteTextChar">
    <w:name w:val="Footnote Text Char"/>
    <w:basedOn w:val="DefaultParagraphFont"/>
    <w:link w:val="FootnoteText"/>
    <w:rsid w:val="000C2DCE"/>
    <w:rPr>
      <w:rFonts w:cs="Arial"/>
      <w:sz w:val="16"/>
    </w:rPr>
  </w:style>
  <w:style w:type="paragraph" w:styleId="Index1">
    <w:name w:val="index 1"/>
    <w:basedOn w:val="Normal"/>
    <w:next w:val="Normal"/>
    <w:autoRedefine/>
    <w:semiHidden/>
    <w:locked/>
    <w:rsid w:val="000C2DCE"/>
    <w:pPr>
      <w:spacing w:line="240" w:lineRule="auto"/>
      <w:ind w:left="200" w:hanging="200"/>
    </w:pPr>
  </w:style>
  <w:style w:type="paragraph" w:styleId="Index2">
    <w:name w:val="index 2"/>
    <w:basedOn w:val="Normal"/>
    <w:next w:val="Normal"/>
    <w:autoRedefine/>
    <w:semiHidden/>
    <w:locked/>
    <w:rsid w:val="000C2DCE"/>
    <w:pPr>
      <w:spacing w:line="240" w:lineRule="auto"/>
      <w:ind w:left="400" w:hanging="200"/>
    </w:pPr>
  </w:style>
  <w:style w:type="paragraph" w:styleId="Index3">
    <w:name w:val="index 3"/>
    <w:basedOn w:val="Normal"/>
    <w:next w:val="Normal"/>
    <w:autoRedefine/>
    <w:semiHidden/>
    <w:locked/>
    <w:rsid w:val="000C2DCE"/>
    <w:pPr>
      <w:spacing w:line="240" w:lineRule="auto"/>
      <w:ind w:left="600" w:hanging="200"/>
    </w:pPr>
  </w:style>
  <w:style w:type="paragraph" w:styleId="Index4">
    <w:name w:val="index 4"/>
    <w:basedOn w:val="Normal"/>
    <w:next w:val="Normal"/>
    <w:autoRedefine/>
    <w:semiHidden/>
    <w:locked/>
    <w:rsid w:val="000C2DCE"/>
    <w:pPr>
      <w:spacing w:line="240" w:lineRule="auto"/>
      <w:ind w:left="800" w:hanging="200"/>
    </w:pPr>
  </w:style>
  <w:style w:type="paragraph" w:styleId="Index5">
    <w:name w:val="index 5"/>
    <w:basedOn w:val="Normal"/>
    <w:next w:val="Normal"/>
    <w:autoRedefine/>
    <w:semiHidden/>
    <w:locked/>
    <w:rsid w:val="000C2DCE"/>
    <w:pPr>
      <w:spacing w:line="240" w:lineRule="auto"/>
      <w:ind w:left="1000" w:hanging="200"/>
    </w:pPr>
  </w:style>
  <w:style w:type="paragraph" w:styleId="Index6">
    <w:name w:val="index 6"/>
    <w:basedOn w:val="Normal"/>
    <w:next w:val="Normal"/>
    <w:autoRedefine/>
    <w:semiHidden/>
    <w:locked/>
    <w:rsid w:val="000C2DCE"/>
    <w:pPr>
      <w:spacing w:line="240" w:lineRule="auto"/>
      <w:ind w:left="1200" w:hanging="200"/>
    </w:pPr>
  </w:style>
  <w:style w:type="paragraph" w:styleId="Index7">
    <w:name w:val="index 7"/>
    <w:basedOn w:val="Normal"/>
    <w:next w:val="Normal"/>
    <w:autoRedefine/>
    <w:semiHidden/>
    <w:locked/>
    <w:rsid w:val="000C2DCE"/>
    <w:pPr>
      <w:spacing w:line="240" w:lineRule="auto"/>
      <w:ind w:left="1400" w:hanging="200"/>
    </w:pPr>
  </w:style>
  <w:style w:type="paragraph" w:styleId="Index8">
    <w:name w:val="index 8"/>
    <w:basedOn w:val="Normal"/>
    <w:next w:val="Normal"/>
    <w:autoRedefine/>
    <w:semiHidden/>
    <w:locked/>
    <w:rsid w:val="000C2DCE"/>
    <w:pPr>
      <w:spacing w:line="240" w:lineRule="auto"/>
      <w:ind w:left="1600" w:hanging="200"/>
    </w:pPr>
  </w:style>
  <w:style w:type="paragraph" w:styleId="Index9">
    <w:name w:val="index 9"/>
    <w:basedOn w:val="Normal"/>
    <w:next w:val="Normal"/>
    <w:autoRedefine/>
    <w:semiHidden/>
    <w:locked/>
    <w:rsid w:val="000C2DCE"/>
    <w:pPr>
      <w:spacing w:line="240" w:lineRule="auto"/>
      <w:ind w:left="1800" w:hanging="200"/>
    </w:pPr>
  </w:style>
  <w:style w:type="paragraph" w:styleId="IndexHeading">
    <w:name w:val="index heading"/>
    <w:aliases w:val="IH-DO NOT USE"/>
    <w:basedOn w:val="IntenseQuote"/>
    <w:next w:val="Index1"/>
    <w:semiHidden/>
    <w:locked/>
    <w:rsid w:val="000C2DCE"/>
  </w:style>
  <w:style w:type="paragraph" w:styleId="ListParagraph">
    <w:name w:val="List Paragraph"/>
    <w:aliases w:val="LP-DO NOT USE"/>
    <w:basedOn w:val="MacroText"/>
    <w:uiPriority w:val="34"/>
    <w:semiHidden/>
    <w:qFormat/>
    <w:locked/>
    <w:rsid w:val="000C2DCE"/>
  </w:style>
  <w:style w:type="paragraph" w:styleId="MacroText">
    <w:name w:val="macro"/>
    <w:aliases w:val="MT-DO NOT USE"/>
    <w:basedOn w:val="MessageHeader"/>
    <w:link w:val="MacroTextChar"/>
    <w:semiHidden/>
    <w:locked/>
    <w:rsid w:val="000C2DCE"/>
  </w:style>
  <w:style w:type="character" w:customStyle="1" w:styleId="MacroTextChar">
    <w:name w:val="Macro Text Char"/>
    <w:aliases w:val="MT-DO NOT USE Char"/>
    <w:basedOn w:val="DefaultParagraphFont"/>
    <w:link w:val="MacroText"/>
    <w:semiHidden/>
    <w:rsid w:val="000C2DCE"/>
    <w:rPr>
      <w:rFonts w:cs="Arial"/>
    </w:rPr>
  </w:style>
  <w:style w:type="paragraph" w:styleId="NoSpacing">
    <w:name w:val="No Spacing"/>
    <w:aliases w:val="NS-DO NOT USE"/>
    <w:uiPriority w:val="1"/>
    <w:semiHidden/>
    <w:qFormat/>
    <w:locked/>
    <w:rsid w:val="000C2DCE"/>
    <w:pPr>
      <w:spacing w:before="180" w:after="180" w:line="240" w:lineRule="auto"/>
    </w:pPr>
  </w:style>
  <w:style w:type="paragraph" w:styleId="Quote">
    <w:name w:val="Quote"/>
    <w:aliases w:val="Q-DO NOT USE"/>
    <w:next w:val="Normal"/>
    <w:link w:val="QuoteChar"/>
    <w:uiPriority w:val="29"/>
    <w:semiHidden/>
    <w:qFormat/>
    <w:locked/>
    <w:rsid w:val="000C2DCE"/>
    <w:pPr>
      <w:spacing w:before="180" w:after="180"/>
    </w:pPr>
    <w:rPr>
      <w:rFonts w:cs="Arial"/>
    </w:rPr>
  </w:style>
  <w:style w:type="character" w:customStyle="1" w:styleId="QuoteChar">
    <w:name w:val="Quote Char"/>
    <w:aliases w:val="Q-DO NOT USE Char"/>
    <w:basedOn w:val="DefaultParagraphFont"/>
    <w:link w:val="Quote"/>
    <w:uiPriority w:val="29"/>
    <w:semiHidden/>
    <w:rsid w:val="000C2DCE"/>
    <w:rPr>
      <w:rFonts w:cs="Arial"/>
    </w:rPr>
  </w:style>
  <w:style w:type="paragraph" w:styleId="TOAHeading">
    <w:name w:val="toa heading"/>
    <w:next w:val="Normal"/>
    <w:uiPriority w:val="99"/>
    <w:semiHidden/>
    <w:locked/>
    <w:rsid w:val="000C2DCE"/>
    <w:pPr>
      <w:spacing w:before="120" w:after="180"/>
    </w:pPr>
    <w:rPr>
      <w:rFonts w:eastAsiaTheme="majorEastAsia" w:cstheme="majorBidi"/>
      <w:bCs/>
      <w:szCs w:val="24"/>
    </w:rPr>
  </w:style>
  <w:style w:type="paragraph" w:styleId="TOC7">
    <w:name w:val="toc 7"/>
    <w:basedOn w:val="Normal"/>
    <w:next w:val="Normal"/>
    <w:autoRedefine/>
    <w:semiHidden/>
    <w:locked/>
    <w:rsid w:val="000C2DCE"/>
    <w:pPr>
      <w:spacing w:after="100"/>
      <w:ind w:left="1200"/>
    </w:pPr>
  </w:style>
  <w:style w:type="paragraph" w:styleId="TOC8">
    <w:name w:val="toc 8"/>
    <w:basedOn w:val="Normal"/>
    <w:next w:val="Normal"/>
    <w:autoRedefine/>
    <w:semiHidden/>
    <w:locked/>
    <w:rsid w:val="000C2DCE"/>
    <w:pPr>
      <w:spacing w:after="100"/>
      <w:ind w:left="1400"/>
    </w:pPr>
  </w:style>
  <w:style w:type="paragraph" w:styleId="TOC9">
    <w:name w:val="toc 9"/>
    <w:basedOn w:val="Normal"/>
    <w:next w:val="Normal"/>
    <w:autoRedefine/>
    <w:semiHidden/>
    <w:locked/>
    <w:rsid w:val="000C2DCE"/>
    <w:pPr>
      <w:spacing w:after="100"/>
      <w:ind w:left="1600"/>
    </w:pPr>
  </w:style>
  <w:style w:type="numbering" w:customStyle="1" w:styleId="HeadingsNumbered">
    <w:name w:val="Headings Numbered"/>
    <w:uiPriority w:val="99"/>
    <w:rsid w:val="005917E1"/>
    <w:pPr>
      <w:numPr>
        <w:numId w:val="5"/>
      </w:numPr>
    </w:pPr>
  </w:style>
  <w:style w:type="numbering" w:customStyle="1" w:styleId="BulletsNumbered">
    <w:name w:val="Bullets Numbered"/>
    <w:uiPriority w:val="99"/>
    <w:rsid w:val="005917E1"/>
    <w:pPr>
      <w:numPr>
        <w:numId w:val="4"/>
      </w:numPr>
    </w:pPr>
  </w:style>
  <w:style w:type="numbering" w:customStyle="1" w:styleId="Bullets">
    <w:name w:val="Bullets"/>
    <w:uiPriority w:val="99"/>
    <w:rsid w:val="005917E1"/>
    <w:pPr>
      <w:numPr>
        <w:numId w:val="1"/>
      </w:numPr>
    </w:pPr>
  </w:style>
  <w:style w:type="paragraph" w:customStyle="1" w:styleId="Tableheadingcentred">
    <w:name w:val="Table heading centred"/>
    <w:basedOn w:val="Tableheadingleft"/>
    <w:next w:val="BodyText"/>
    <w:rsid w:val="000C2DCE"/>
    <w:pPr>
      <w:jc w:val="center"/>
    </w:pPr>
  </w:style>
  <w:style w:type="paragraph" w:customStyle="1" w:styleId="Tableheadingright">
    <w:name w:val="Table heading right"/>
    <w:basedOn w:val="Tableheadingcentred"/>
    <w:next w:val="BodyText"/>
    <w:rsid w:val="000C2DCE"/>
    <w:pPr>
      <w:jc w:val="right"/>
    </w:pPr>
  </w:style>
  <w:style w:type="paragraph" w:customStyle="1" w:styleId="Tabletextcentred">
    <w:name w:val="Table text centred"/>
    <w:basedOn w:val="Tabletextleft"/>
    <w:next w:val="BodyText"/>
    <w:qFormat/>
    <w:rsid w:val="000C2DCE"/>
    <w:pPr>
      <w:jc w:val="center"/>
    </w:pPr>
  </w:style>
  <w:style w:type="paragraph" w:customStyle="1" w:styleId="Tabletextright">
    <w:name w:val="Table text right"/>
    <w:basedOn w:val="Tabletextcentred"/>
    <w:next w:val="BodyText"/>
    <w:qFormat/>
    <w:rsid w:val="000C2DCE"/>
    <w:pPr>
      <w:jc w:val="right"/>
    </w:pPr>
  </w:style>
  <w:style w:type="character" w:customStyle="1" w:styleId="Subscriptitalic">
    <w:name w:val="Subscript italic"/>
    <w:basedOn w:val="Subscript"/>
    <w:qFormat/>
    <w:rsid w:val="000C2DCE"/>
    <w:rPr>
      <w:i/>
      <w:iCs/>
      <w:position w:val="-4"/>
      <w:vertAlign w:val="subscript"/>
    </w:rPr>
  </w:style>
  <w:style w:type="character" w:customStyle="1" w:styleId="SuperscriptItalic">
    <w:name w:val="Superscript Italic"/>
    <w:basedOn w:val="Superscript"/>
    <w:qFormat/>
    <w:rsid w:val="000C2DCE"/>
    <w:rPr>
      <w:i/>
      <w:iCs/>
      <w:position w:val="0"/>
      <w:vertAlign w:val="superscript"/>
    </w:rPr>
  </w:style>
  <w:style w:type="numbering" w:customStyle="1" w:styleId="Bulletnew">
    <w:name w:val="Bullet new"/>
    <w:basedOn w:val="Bullets"/>
    <w:uiPriority w:val="99"/>
    <w:rsid w:val="005917E1"/>
    <w:pPr>
      <w:numPr>
        <w:numId w:val="2"/>
      </w:numPr>
    </w:pPr>
  </w:style>
  <w:style w:type="table" w:customStyle="1" w:styleId="TableStyleGANoHeaders">
    <w:name w:val="Table Style GA No Headers"/>
    <w:basedOn w:val="TableStyleGAHeaderRow"/>
    <w:uiPriority w:val="99"/>
    <w:rsid w:val="003726DC"/>
    <w:pPr>
      <w:spacing w:line="240" w:lineRule="auto"/>
    </w:p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3726DC"/>
    <w:pPr>
      <w:jc w:val="center"/>
    </w:pPr>
  </w:style>
  <w:style w:type="paragraph" w:customStyle="1" w:styleId="Authors">
    <w:name w:val="Authors"/>
    <w:basedOn w:val="BodyText"/>
    <w:next w:val="Figuresandimagesleft0"/>
    <w:qFormat/>
    <w:rsid w:val="00FA75CE"/>
    <w:pPr>
      <w:spacing w:after="6600"/>
    </w:pPr>
  </w:style>
  <w:style w:type="table" w:styleId="MediumShading1">
    <w:name w:val="Medium Shading 1"/>
    <w:basedOn w:val="TableNormal"/>
    <w:uiPriority w:val="63"/>
    <w:locked/>
    <w:rsid w:val="000C2DCE"/>
    <w:pPr>
      <w:spacing w:before="180" w:after="18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0C2DCE"/>
    <w:pPr>
      <w:spacing w:before="180" w:after="18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StyleGAHeaderRowColumn">
    <w:name w:val="Table Style GA Header Row &amp; Column"/>
    <w:basedOn w:val="TableNormal"/>
    <w:uiPriority w:val="99"/>
    <w:rsid w:val="003726DC"/>
    <w:pPr>
      <w:spacing w:line="240" w:lineRule="auto"/>
    </w:pPr>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color w:val="FFFFFF"/>
      </w:rPr>
      <w:tblPr/>
      <w:tcPr>
        <w:shd w:val="clear" w:color="auto" w:fill="FFFFFF"/>
      </w:tcPr>
    </w:tblStylePr>
  </w:style>
  <w:style w:type="paragraph" w:customStyle="1" w:styleId="Footerlandscape">
    <w:name w:val="Footer landscape"/>
    <w:basedOn w:val="Footer"/>
    <w:qFormat/>
    <w:rsid w:val="000C2DCE"/>
    <w:pPr>
      <w:tabs>
        <w:tab w:val="clear" w:pos="9072"/>
        <w:tab w:val="right" w:pos="14005"/>
      </w:tabs>
    </w:pPr>
  </w:style>
  <w:style w:type="table" w:customStyle="1" w:styleId="TableStyleGAHeaderColumn">
    <w:name w:val="Table Style GA Header Column"/>
    <w:basedOn w:val="TableStyleGAHeaderRowColumn"/>
    <w:uiPriority w:val="99"/>
    <w:rsid w:val="003726DC"/>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0C2DCE"/>
    <w:pPr>
      <w:pageBreakBefore/>
      <w:spacing w:line="240" w:lineRule="atLeast"/>
    </w:pPr>
    <w:rPr>
      <w:rFonts w:cs="Arial"/>
      <w:b/>
      <w:kern w:val="28"/>
    </w:rPr>
  </w:style>
  <w:style w:type="character" w:customStyle="1" w:styleId="Bold">
    <w:name w:val="Bold"/>
    <w:basedOn w:val="DefaultParagraphFont"/>
    <w:qFormat/>
    <w:rsid w:val="000C2DCE"/>
    <w:rPr>
      <w:b/>
    </w:rPr>
  </w:style>
  <w:style w:type="character" w:customStyle="1" w:styleId="Italic">
    <w:name w:val="Italic"/>
    <w:basedOn w:val="DefaultParagraphFont"/>
    <w:qFormat/>
    <w:rsid w:val="000C2DCE"/>
    <w:rPr>
      <w:i/>
    </w:rPr>
  </w:style>
  <w:style w:type="character" w:customStyle="1" w:styleId="ReferencesItalic">
    <w:name w:val="References Italic"/>
    <w:basedOn w:val="DefaultParagraphFont"/>
    <w:qFormat/>
    <w:rsid w:val="000C2DCE"/>
    <w:rPr>
      <w:i/>
    </w:rPr>
  </w:style>
  <w:style w:type="numbering" w:customStyle="1" w:styleId="BulletsGA">
    <w:name w:val="Bullets GA"/>
    <w:basedOn w:val="NoList"/>
    <w:uiPriority w:val="99"/>
    <w:rsid w:val="005917E1"/>
    <w:pPr>
      <w:numPr>
        <w:numId w:val="3"/>
      </w:numPr>
    </w:pPr>
  </w:style>
  <w:style w:type="paragraph" w:customStyle="1" w:styleId="FooterlandscapeA3">
    <w:name w:val="Footer landscape A3"/>
    <w:basedOn w:val="Footerlandscape"/>
    <w:qFormat/>
    <w:rsid w:val="000C2DCE"/>
    <w:pPr>
      <w:tabs>
        <w:tab w:val="clear" w:pos="14005"/>
        <w:tab w:val="right" w:pos="20979"/>
      </w:tabs>
    </w:pPr>
  </w:style>
  <w:style w:type="paragraph" w:customStyle="1" w:styleId="Bodytextnolinespacing">
    <w:name w:val="Body text no line spacing"/>
    <w:basedOn w:val="BodyText"/>
    <w:link w:val="BodytextnolinespacingChar"/>
    <w:rsid w:val="00CE52F5"/>
    <w:pPr>
      <w:spacing w:before="0" w:after="0"/>
    </w:pPr>
  </w:style>
  <w:style w:type="character" w:customStyle="1" w:styleId="BodytextnolinespacingChar">
    <w:name w:val="Body text no line spacing Char"/>
    <w:basedOn w:val="BodyTextChar"/>
    <w:link w:val="Bodytextnolinespacing"/>
    <w:rsid w:val="00CE52F5"/>
    <w:rPr>
      <w:rFonts w:ascii="Palatino Linotype" w:hAnsi="Palatino Linotype" w:cs="Arial"/>
      <w:sz w:val="22"/>
    </w:rPr>
  </w:style>
  <w:style w:type="paragraph" w:customStyle="1" w:styleId="VersoBold">
    <w:name w:val="Verso Bold"/>
    <w:basedOn w:val="BodyText"/>
    <w:next w:val="BodyText"/>
    <w:rsid w:val="000C2DCE"/>
    <w:pPr>
      <w:spacing w:before="240" w:after="0"/>
    </w:pPr>
    <w:rPr>
      <w:b/>
      <w:kern w:val="28"/>
    </w:rPr>
  </w:style>
  <w:style w:type="table" w:customStyle="1" w:styleId="TableStyleGA">
    <w:name w:val="Table Style GA"/>
    <w:basedOn w:val="TableNormal"/>
    <w:rsid w:val="00CE52F5"/>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pPr>
      <w:rPr>
        <w:rFonts w:ascii="Arial" w:hAnsi="Arial"/>
        <w:b/>
        <w:color w:val="FFFFFF"/>
        <w:sz w:val="18"/>
      </w:rPr>
      <w:tblPr/>
      <w:trPr>
        <w:cantSplit w:val="0"/>
        <w:tblHeader/>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styleId="Header">
    <w:name w:val="header"/>
    <w:basedOn w:val="BodyText"/>
    <w:link w:val="HeaderChar"/>
    <w:semiHidden/>
    <w:locked/>
    <w:rsid w:val="000C2DCE"/>
    <w:pPr>
      <w:tabs>
        <w:tab w:val="center" w:pos="4320"/>
        <w:tab w:val="right" w:pos="8640"/>
      </w:tabs>
      <w:spacing w:before="0" w:after="0"/>
    </w:pPr>
    <w:rPr>
      <w:rFonts w:ascii="Arial Bold" w:hAnsi="Arial Bold"/>
      <w:b/>
      <w:sz w:val="16"/>
      <w:szCs w:val="16"/>
    </w:rPr>
  </w:style>
  <w:style w:type="character" w:customStyle="1" w:styleId="HeaderChar">
    <w:name w:val="Header Char"/>
    <w:basedOn w:val="DefaultParagraphFont"/>
    <w:link w:val="Header"/>
    <w:semiHidden/>
    <w:rsid w:val="000C2DCE"/>
    <w:rPr>
      <w:rFonts w:ascii="Arial Bold" w:hAnsi="Arial Bold" w:cs="Arial"/>
      <w:b/>
      <w:sz w:val="16"/>
      <w:szCs w:val="16"/>
    </w:rPr>
  </w:style>
  <w:style w:type="paragraph" w:customStyle="1" w:styleId="Contentsheading">
    <w:name w:val="Contents heading"/>
    <w:next w:val="BodyText"/>
    <w:semiHidden/>
    <w:locked/>
    <w:rsid w:val="005917E1"/>
    <w:pPr>
      <w:spacing w:before="180" w:after="960" w:line="240" w:lineRule="auto"/>
      <w:outlineLvl w:val="0"/>
    </w:pPr>
    <w:rPr>
      <w:rFonts w:eastAsia="Times New Roman"/>
      <w:sz w:val="40"/>
    </w:rPr>
  </w:style>
  <w:style w:type="paragraph" w:customStyle="1" w:styleId="Equation">
    <w:name w:val="Equation"/>
    <w:basedOn w:val="BodyText"/>
    <w:next w:val="BodyText"/>
    <w:uiPriority w:val="7"/>
    <w:qFormat/>
    <w:rsid w:val="000C2DCE"/>
    <w:pPr>
      <w:tabs>
        <w:tab w:val="right" w:pos="9072"/>
      </w:tabs>
      <w:spacing w:before="360" w:after="360"/>
      <w:ind w:left="567"/>
    </w:pPr>
    <w:rPr>
      <w:rFonts w:eastAsia="Times New Roman"/>
      <w:szCs w:val="24"/>
      <w:lang w:eastAsia="en-US"/>
    </w:rPr>
  </w:style>
  <w:style w:type="paragraph" w:customStyle="1" w:styleId="Figuresandimagesleft0">
    <w:name w:val="Figures and images left"/>
    <w:basedOn w:val="BodyText"/>
    <w:next w:val="BodyText"/>
    <w:link w:val="FiguresandimagesleftChar0"/>
    <w:qFormat/>
    <w:rsid w:val="000C2DCE"/>
    <w:pPr>
      <w:keepNext/>
      <w:spacing w:before="480" w:after="80" w:line="160" w:lineRule="atLeast"/>
    </w:pPr>
  </w:style>
  <w:style w:type="character" w:customStyle="1" w:styleId="FiguresandimagesleftChar0">
    <w:name w:val="Figures and images left Char"/>
    <w:basedOn w:val="BodyTextChar"/>
    <w:link w:val="Figuresandimagesleft0"/>
    <w:rsid w:val="000C2DCE"/>
    <w:rPr>
      <w:rFonts w:cs="Arial"/>
    </w:rPr>
  </w:style>
  <w:style w:type="paragraph" w:customStyle="1" w:styleId="Figuresandimagescentred0">
    <w:name w:val="Figures and images centred"/>
    <w:basedOn w:val="Figuresandimagesleft0"/>
    <w:next w:val="BodyText"/>
    <w:qFormat/>
    <w:rsid w:val="000C2DCE"/>
    <w:pPr>
      <w:jc w:val="center"/>
    </w:pPr>
  </w:style>
  <w:style w:type="paragraph" w:customStyle="1" w:styleId="Head1nonumbers">
    <w:name w:val="Head 1 no numbers"/>
    <w:next w:val="BodyText"/>
    <w:link w:val="Head1nonumbersChar"/>
    <w:qFormat/>
    <w:rsid w:val="000C2DCE"/>
    <w:pPr>
      <w:keepNext/>
      <w:keepLines/>
      <w:pageBreakBefore/>
      <w:spacing w:after="1080" w:line="240" w:lineRule="auto"/>
      <w:outlineLvl w:val="0"/>
    </w:pPr>
    <w:rPr>
      <w:rFonts w:cs="Arial"/>
      <w:kern w:val="28"/>
      <w:sz w:val="40"/>
    </w:rPr>
  </w:style>
  <w:style w:type="character" w:customStyle="1" w:styleId="Head1nonumbersChar">
    <w:name w:val="Head 1 no numbers Char"/>
    <w:basedOn w:val="Heading1Char"/>
    <w:link w:val="Head1nonumbers"/>
    <w:rsid w:val="000C2DCE"/>
    <w:rPr>
      <w:rFonts w:cs="Arial"/>
      <w:kern w:val="28"/>
      <w:sz w:val="40"/>
    </w:rPr>
  </w:style>
  <w:style w:type="paragraph" w:customStyle="1" w:styleId="Head2nonumbers">
    <w:name w:val="Head 2 no numbers"/>
    <w:basedOn w:val="Head1nonumbers"/>
    <w:next w:val="BodyText"/>
    <w:link w:val="Head2nonumbersChar"/>
    <w:qFormat/>
    <w:rsid w:val="000C2DCE"/>
    <w:pPr>
      <w:pageBreakBefore w:val="0"/>
      <w:numPr>
        <w:ilvl w:val="1"/>
      </w:numPr>
      <w:spacing w:before="480" w:after="180"/>
      <w:outlineLvl w:val="1"/>
    </w:pPr>
    <w:rPr>
      <w:sz w:val="30"/>
      <w:szCs w:val="28"/>
    </w:rPr>
  </w:style>
  <w:style w:type="character" w:customStyle="1" w:styleId="Head2nonumbersChar">
    <w:name w:val="Head 2 no numbers Char"/>
    <w:basedOn w:val="Head1nonumbersChar"/>
    <w:link w:val="Head2nonumbers"/>
    <w:rsid w:val="000C2DCE"/>
    <w:rPr>
      <w:rFonts w:cs="Arial"/>
      <w:kern w:val="28"/>
      <w:sz w:val="30"/>
      <w:szCs w:val="28"/>
    </w:rPr>
  </w:style>
  <w:style w:type="paragraph" w:customStyle="1" w:styleId="Head3nonumbers">
    <w:name w:val="Head 3 no numbers"/>
    <w:basedOn w:val="Head2nonumbers"/>
    <w:next w:val="BodyText"/>
    <w:link w:val="Head3nonumbersChar"/>
    <w:qFormat/>
    <w:rsid w:val="000C2DCE"/>
    <w:pPr>
      <w:numPr>
        <w:ilvl w:val="2"/>
      </w:numPr>
      <w:outlineLvl w:val="2"/>
    </w:pPr>
    <w:rPr>
      <w:rFonts w:cs="Lucida Sans Unicode"/>
      <w:b/>
      <w:sz w:val="24"/>
      <w:szCs w:val="24"/>
    </w:rPr>
  </w:style>
  <w:style w:type="character" w:customStyle="1" w:styleId="Head3nonumbersChar">
    <w:name w:val="Head 3 no numbers Char"/>
    <w:basedOn w:val="Head2nonumbersChar"/>
    <w:link w:val="Head3nonumbers"/>
    <w:rsid w:val="000C2DCE"/>
    <w:rPr>
      <w:rFonts w:cs="Lucida Sans Unicode"/>
      <w:b/>
      <w:kern w:val="28"/>
      <w:sz w:val="24"/>
      <w:szCs w:val="24"/>
    </w:rPr>
  </w:style>
  <w:style w:type="paragraph" w:customStyle="1" w:styleId="Head4nonumbers">
    <w:name w:val="Head 4 no numbers"/>
    <w:basedOn w:val="Head3nonumbers"/>
    <w:next w:val="BodyText"/>
    <w:link w:val="Head4nonumbersChar"/>
    <w:qFormat/>
    <w:rsid w:val="000C2DCE"/>
    <w:pPr>
      <w:numPr>
        <w:ilvl w:val="3"/>
      </w:numPr>
      <w:spacing w:before="180"/>
      <w:outlineLvl w:val="3"/>
    </w:pPr>
    <w:rPr>
      <w:i/>
      <w:sz w:val="22"/>
      <w:szCs w:val="22"/>
    </w:rPr>
  </w:style>
  <w:style w:type="character" w:customStyle="1" w:styleId="Head4nonumbersChar">
    <w:name w:val="Head 4 no numbers Char"/>
    <w:basedOn w:val="Heading4Char"/>
    <w:link w:val="Head4nonumbers"/>
    <w:rsid w:val="000C2DCE"/>
    <w:rPr>
      <w:rFonts w:cs="Lucida Sans Unicode"/>
      <w:b/>
      <w:i/>
      <w:kern w:val="28"/>
      <w:sz w:val="22"/>
      <w:szCs w:val="22"/>
    </w:rPr>
  </w:style>
  <w:style w:type="paragraph" w:customStyle="1" w:styleId="Head5nonumbers">
    <w:name w:val="Head 5 no numbers"/>
    <w:basedOn w:val="Head4nonumbers"/>
    <w:next w:val="BodyText"/>
    <w:qFormat/>
    <w:rsid w:val="000C2DCE"/>
    <w:pPr>
      <w:numPr>
        <w:ilvl w:val="4"/>
      </w:numPr>
      <w:outlineLvl w:val="4"/>
    </w:pPr>
    <w:rPr>
      <w:b w:val="0"/>
    </w:rPr>
  </w:style>
  <w:style w:type="paragraph" w:customStyle="1" w:styleId="Headingappendix1base">
    <w:name w:val="Heading appendix 1 base"/>
    <w:next w:val="BodyText"/>
    <w:semiHidden/>
    <w:rsid w:val="000C2DCE"/>
    <w:pPr>
      <w:keepNext/>
      <w:keepLines/>
      <w:pageBreakBefore/>
      <w:spacing w:before="180" w:after="1080"/>
      <w:outlineLvl w:val="0"/>
    </w:pPr>
    <w:rPr>
      <w:sz w:val="40"/>
      <w:szCs w:val="40"/>
    </w:rPr>
  </w:style>
  <w:style w:type="paragraph" w:customStyle="1" w:styleId="Headingappendix2">
    <w:name w:val="Heading appendix 2"/>
    <w:basedOn w:val="Headingappendix1base"/>
    <w:next w:val="BodyText"/>
    <w:qFormat/>
    <w:rsid w:val="000C2DCE"/>
    <w:pPr>
      <w:pageBreakBefore w:val="0"/>
      <w:numPr>
        <w:ilvl w:val="1"/>
        <w:numId w:val="12"/>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0C2DCE"/>
    <w:pPr>
      <w:numPr>
        <w:ilvl w:val="2"/>
      </w:numPr>
      <w:outlineLvl w:val="2"/>
    </w:pPr>
    <w:rPr>
      <w:b/>
      <w:bCs/>
      <w:sz w:val="24"/>
    </w:rPr>
  </w:style>
  <w:style w:type="paragraph" w:customStyle="1" w:styleId="Headingappendix4">
    <w:name w:val="Heading appendix 4"/>
    <w:basedOn w:val="Headingappendix3"/>
    <w:next w:val="BodyText"/>
    <w:qFormat/>
    <w:rsid w:val="000C2DCE"/>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0C2DCE"/>
    <w:pPr>
      <w:numPr>
        <w:ilvl w:val="4"/>
      </w:numPr>
      <w:outlineLvl w:val="4"/>
    </w:pPr>
    <w:rPr>
      <w:b w:val="0"/>
      <w:bCs w:val="0"/>
    </w:rPr>
  </w:style>
  <w:style w:type="table" w:customStyle="1" w:styleId="TableGAHeaderRowColumn">
    <w:name w:val="Table GA Header Row &amp; Column"/>
    <w:basedOn w:val="TableNormal"/>
    <w:uiPriority w:val="99"/>
    <w:rsid w:val="000C2DCE"/>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table" w:customStyle="1" w:styleId="TableGAHeaderColumn">
    <w:name w:val="Table GA Header Column"/>
    <w:basedOn w:val="TableGAHeaderRowColumn"/>
    <w:uiPriority w:val="99"/>
    <w:rsid w:val="000C2DCE"/>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table" w:customStyle="1" w:styleId="TableGAHeaderRow">
    <w:name w:val="Table GA Header Row"/>
    <w:basedOn w:val="TableNormal"/>
    <w:rsid w:val="000C2DCE"/>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table" w:customStyle="1" w:styleId="TableGANoHeader">
    <w:name w:val="Table GA No Header"/>
    <w:basedOn w:val="TableGAHeaderRow"/>
    <w:uiPriority w:val="99"/>
    <w:rsid w:val="000C2DCE"/>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Tablenotes">
    <w:name w:val="Table notes"/>
    <w:basedOn w:val="Tablesource"/>
    <w:rsid w:val="000C2DCE"/>
    <w:pPr>
      <w:tabs>
        <w:tab w:val="left" w:pos="113"/>
      </w:tabs>
      <w:spacing w:before="0"/>
      <w:ind w:left="113" w:hanging="113"/>
    </w:pPr>
    <w:rPr>
      <w:rFonts w:cs="Times New Roman"/>
      <w:szCs w:val="20"/>
    </w:rPr>
  </w:style>
  <w:style w:type="table" w:styleId="LightList">
    <w:name w:val="Light List"/>
    <w:basedOn w:val="TableNormal"/>
    <w:uiPriority w:val="61"/>
    <w:locked/>
    <w:rsid w:val="00C645C7"/>
    <w:pPr>
      <w:spacing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References0">
    <w:name w:val=".References"/>
    <w:basedOn w:val="Normal"/>
    <w:rsid w:val="006D4695"/>
    <w:pPr>
      <w:spacing w:before="0" w:after="40" w:line="260" w:lineRule="exact"/>
      <w:ind w:left="567" w:hanging="567"/>
    </w:pPr>
    <w:rPr>
      <w:rFonts w:ascii="Times New Roman" w:eastAsia="Times New Roman" w:hAnsi="Times New Roman"/>
      <w:sz w:val="21"/>
    </w:rPr>
  </w:style>
  <w:style w:type="character" w:styleId="CommentReference">
    <w:name w:val="annotation reference"/>
    <w:aliases w:val="CR-DO NOT USE"/>
    <w:semiHidden/>
    <w:locked/>
    <w:rsid w:val="000C2DCE"/>
  </w:style>
  <w:style w:type="paragraph" w:styleId="CommentText">
    <w:name w:val="annotation text"/>
    <w:aliases w:val="CT-DO NOT USE"/>
    <w:next w:val="BodyText"/>
    <w:link w:val="CommentTextChar"/>
    <w:locked/>
    <w:rsid w:val="000C2DCE"/>
    <w:pPr>
      <w:spacing w:before="180" w:after="180"/>
    </w:pPr>
    <w:rPr>
      <w:rFonts w:cs="Arial"/>
    </w:rPr>
  </w:style>
  <w:style w:type="character" w:customStyle="1" w:styleId="CommentTextChar">
    <w:name w:val="Comment Text Char"/>
    <w:aliases w:val="CT-DO NOT USE Char"/>
    <w:basedOn w:val="DefaultParagraphFont"/>
    <w:link w:val="CommentText"/>
    <w:rsid w:val="000C2DCE"/>
    <w:rPr>
      <w:rFonts w:cs="Arial"/>
    </w:rPr>
  </w:style>
  <w:style w:type="paragraph" w:styleId="Revision">
    <w:name w:val="Revision"/>
    <w:hidden/>
    <w:uiPriority w:val="99"/>
    <w:semiHidden/>
    <w:rsid w:val="009E0F64"/>
    <w:pPr>
      <w:spacing w:line="240" w:lineRule="auto"/>
    </w:pPr>
  </w:style>
  <w:style w:type="paragraph" w:styleId="BodyText3">
    <w:name w:val="Body Text 3"/>
    <w:aliases w:val="BT3-DO NOT USE"/>
    <w:basedOn w:val="BodyText"/>
    <w:link w:val="BodyText3Char"/>
    <w:semiHidden/>
    <w:locked/>
    <w:rsid w:val="000C2DCE"/>
  </w:style>
  <w:style w:type="character" w:customStyle="1" w:styleId="BodyText3Char">
    <w:name w:val="Body Text 3 Char"/>
    <w:aliases w:val="BT3-DO NOT USE Char"/>
    <w:basedOn w:val="DefaultParagraphFont"/>
    <w:link w:val="BodyText3"/>
    <w:semiHidden/>
    <w:rsid w:val="000C2DCE"/>
    <w:rPr>
      <w:rFonts w:cs="Arial"/>
    </w:rPr>
  </w:style>
  <w:style w:type="paragraph" w:styleId="BodyTextFirstIndent">
    <w:name w:val="Body Text First Indent"/>
    <w:aliases w:val="B1-DO NOT USE"/>
    <w:basedOn w:val="BodyText3"/>
    <w:link w:val="BodyTextFirstIndentChar"/>
    <w:semiHidden/>
    <w:locked/>
    <w:rsid w:val="000C2DCE"/>
  </w:style>
  <w:style w:type="character" w:customStyle="1" w:styleId="BodyTextFirstIndentChar">
    <w:name w:val="Body Text First Indent Char"/>
    <w:aliases w:val="B1-DO NOT USE Char"/>
    <w:basedOn w:val="BodyTextChar"/>
    <w:link w:val="BodyTextFirstIndent"/>
    <w:semiHidden/>
    <w:rsid w:val="000C2DCE"/>
    <w:rPr>
      <w:rFonts w:cs="Arial"/>
    </w:rPr>
  </w:style>
  <w:style w:type="paragraph" w:styleId="BodyTextIndent">
    <w:name w:val="Body Text Indent"/>
    <w:aliases w:val="B3-DO NOT USE"/>
    <w:basedOn w:val="BodyTextFirstIndent2"/>
    <w:link w:val="BodyTextIndentChar"/>
    <w:semiHidden/>
    <w:locked/>
    <w:rsid w:val="000C2DCE"/>
  </w:style>
  <w:style w:type="character" w:customStyle="1" w:styleId="BodyTextIndentChar">
    <w:name w:val="Body Text Indent Char"/>
    <w:aliases w:val="B3-DO NOT USE Char"/>
    <w:basedOn w:val="DefaultParagraphFont"/>
    <w:link w:val="BodyTextIndent"/>
    <w:semiHidden/>
    <w:rsid w:val="000C2DCE"/>
    <w:rPr>
      <w:rFonts w:cs="Arial"/>
    </w:rPr>
  </w:style>
  <w:style w:type="paragraph" w:styleId="BodyTextFirstIndent2">
    <w:name w:val="Body Text First Indent 2"/>
    <w:aliases w:val="B2-DO NOT USE"/>
    <w:basedOn w:val="BodyTextFirstIndent"/>
    <w:link w:val="BodyTextFirstIndent2Char"/>
    <w:semiHidden/>
    <w:locked/>
    <w:rsid w:val="000C2DCE"/>
  </w:style>
  <w:style w:type="character" w:customStyle="1" w:styleId="BodyTextFirstIndent2Char">
    <w:name w:val="Body Text First Indent 2 Char"/>
    <w:aliases w:val="B2-DO NOT USE Char"/>
    <w:basedOn w:val="DefaultParagraphFont"/>
    <w:link w:val="BodyTextFirstIndent2"/>
    <w:semiHidden/>
    <w:rsid w:val="000C2DCE"/>
    <w:rPr>
      <w:rFonts w:cs="Arial"/>
    </w:rPr>
  </w:style>
  <w:style w:type="paragraph" w:styleId="BodyTextIndent2">
    <w:name w:val="Body Text Indent 2"/>
    <w:aliases w:val="B4-DO NOT USE"/>
    <w:basedOn w:val="BodyTextIndent"/>
    <w:link w:val="BodyTextIndent2Char"/>
    <w:semiHidden/>
    <w:locked/>
    <w:rsid w:val="000C2DCE"/>
  </w:style>
  <w:style w:type="character" w:customStyle="1" w:styleId="BodyTextIndent2Char">
    <w:name w:val="Body Text Indent 2 Char"/>
    <w:aliases w:val="B4-DO NOT USE Char"/>
    <w:basedOn w:val="DefaultParagraphFont"/>
    <w:link w:val="BodyTextIndent2"/>
    <w:semiHidden/>
    <w:rsid w:val="000C2DCE"/>
    <w:rPr>
      <w:rFonts w:cs="Arial"/>
    </w:rPr>
  </w:style>
  <w:style w:type="paragraph" w:styleId="BodyTextIndent3">
    <w:name w:val="Body Text Indent 3"/>
    <w:aliases w:val="B5-DO NOT USE"/>
    <w:basedOn w:val="BodyTextIndent2"/>
    <w:link w:val="BodyTextIndent3Char"/>
    <w:semiHidden/>
    <w:locked/>
    <w:rsid w:val="000C2DCE"/>
  </w:style>
  <w:style w:type="character" w:customStyle="1" w:styleId="BodyTextIndent3Char">
    <w:name w:val="Body Text Indent 3 Char"/>
    <w:aliases w:val="B5-DO NOT USE Char"/>
    <w:basedOn w:val="DefaultParagraphFont"/>
    <w:link w:val="BodyTextIndent3"/>
    <w:semiHidden/>
    <w:rsid w:val="000C2DCE"/>
    <w:rPr>
      <w:rFonts w:cs="Arial"/>
    </w:rPr>
  </w:style>
  <w:style w:type="paragraph" w:styleId="BodyText2">
    <w:name w:val="Body Text 2"/>
    <w:aliases w:val="BT2-DO NOT USE"/>
    <w:basedOn w:val="Normal"/>
    <w:link w:val="BodyText2Char"/>
    <w:semiHidden/>
    <w:locked/>
    <w:rsid w:val="000C2DCE"/>
    <w:pPr>
      <w:spacing w:after="120" w:line="480" w:lineRule="auto"/>
    </w:pPr>
  </w:style>
  <w:style w:type="character" w:customStyle="1" w:styleId="BodyText2Char">
    <w:name w:val="Body Text 2 Char"/>
    <w:aliases w:val="BT2-DO NOT USE Char"/>
    <w:basedOn w:val="DefaultParagraphFont"/>
    <w:link w:val="BodyText2"/>
    <w:semiHidden/>
    <w:rsid w:val="000C2DCE"/>
    <w:rPr>
      <w:rFonts w:cs="Arial"/>
    </w:rPr>
  </w:style>
  <w:style w:type="character" w:customStyle="1" w:styleId="BoldItalic">
    <w:name w:val="Bold Italic"/>
    <w:basedOn w:val="DefaultParagraphFont"/>
    <w:rsid w:val="000C2DCE"/>
    <w:rPr>
      <w:b/>
      <w:i/>
    </w:rPr>
  </w:style>
  <w:style w:type="character" w:styleId="BookTitle">
    <w:name w:val="Book Title"/>
    <w:aliases w:val="BT-DO NOT USE"/>
    <w:uiPriority w:val="33"/>
    <w:semiHidden/>
    <w:locked/>
    <w:rsid w:val="000C2DCE"/>
  </w:style>
  <w:style w:type="character" w:styleId="Emphasis">
    <w:name w:val="Emphasis"/>
    <w:aliases w:val="E-DO NOT USE"/>
    <w:qFormat/>
    <w:locked/>
    <w:rsid w:val="000C2DCE"/>
  </w:style>
  <w:style w:type="character" w:styleId="EndnoteReference">
    <w:name w:val="endnote reference"/>
    <w:aliases w:val="ERe-DO NOT USE"/>
    <w:semiHidden/>
    <w:locked/>
    <w:rsid w:val="000C2DCE"/>
  </w:style>
  <w:style w:type="paragraph" w:customStyle="1" w:styleId="ExtractL1authornames">
    <w:name w:val="Extract L1 author names"/>
    <w:basedOn w:val="BodyText"/>
    <w:rsid w:val="000C2DCE"/>
    <w:pPr>
      <w:spacing w:before="120" w:after="60" w:line="240" w:lineRule="auto"/>
    </w:pPr>
    <w:rPr>
      <w:rFonts w:eastAsia="Times New Roman" w:cs="Times New Roman"/>
    </w:rPr>
  </w:style>
  <w:style w:type="paragraph" w:customStyle="1" w:styleId="ExtractL2authorlocation">
    <w:name w:val="Extract L2 author location"/>
    <w:basedOn w:val="BodyText"/>
    <w:rsid w:val="000C2DCE"/>
    <w:pPr>
      <w:tabs>
        <w:tab w:val="left" w:pos="170"/>
      </w:tabs>
      <w:spacing w:before="60" w:after="0" w:line="240" w:lineRule="auto"/>
      <w:ind w:left="170" w:hanging="170"/>
    </w:pPr>
    <w:rPr>
      <w:sz w:val="16"/>
    </w:rPr>
  </w:style>
  <w:style w:type="paragraph" w:customStyle="1" w:styleId="ExtractL3authoremail">
    <w:name w:val="Extract L3 author email"/>
    <w:basedOn w:val="BodyText"/>
    <w:rsid w:val="000C2DCE"/>
    <w:pPr>
      <w:spacing w:before="120" w:after="480" w:line="240" w:lineRule="auto"/>
    </w:pPr>
    <w:rPr>
      <w:rFonts w:eastAsia="Times New Roman" w:cs="Times New Roman"/>
    </w:rPr>
  </w:style>
  <w:style w:type="character" w:styleId="FootnoteReference">
    <w:name w:val="footnote reference"/>
    <w:basedOn w:val="DefaultParagraphFont"/>
    <w:semiHidden/>
    <w:locked/>
    <w:rsid w:val="000C2DCE"/>
    <w:rPr>
      <w:sz w:val="20"/>
      <w:vertAlign w:val="superscript"/>
    </w:rPr>
  </w:style>
  <w:style w:type="numbering" w:customStyle="1" w:styleId="GAAppendices">
    <w:name w:val="GA Appendices"/>
    <w:uiPriority w:val="99"/>
    <w:rsid w:val="000C2DCE"/>
    <w:pPr>
      <w:numPr>
        <w:numId w:val="9"/>
      </w:numPr>
    </w:pPr>
  </w:style>
  <w:style w:type="numbering" w:customStyle="1" w:styleId="GAMultilevelList">
    <w:name w:val="GA Multilevel List"/>
    <w:uiPriority w:val="99"/>
    <w:rsid w:val="000C2DCE"/>
    <w:pPr>
      <w:numPr>
        <w:numId w:val="10"/>
      </w:numPr>
    </w:pPr>
  </w:style>
  <w:style w:type="paragraph" w:styleId="IntenseQuote">
    <w:name w:val="Intense Quote"/>
    <w:aliases w:val="IQ-DO NOT USE"/>
    <w:next w:val="Normal"/>
    <w:link w:val="IntenseQuoteChar"/>
    <w:uiPriority w:val="30"/>
    <w:semiHidden/>
    <w:qFormat/>
    <w:locked/>
    <w:rsid w:val="000C2DCE"/>
    <w:pPr>
      <w:spacing w:before="180" w:after="180"/>
    </w:pPr>
    <w:rPr>
      <w:rFonts w:cs="Arial"/>
    </w:rPr>
  </w:style>
  <w:style w:type="character" w:customStyle="1" w:styleId="IntenseQuoteChar">
    <w:name w:val="Intense Quote Char"/>
    <w:aliases w:val="IQ-DO NOT USE Char"/>
    <w:basedOn w:val="DefaultParagraphFont"/>
    <w:link w:val="IntenseQuote"/>
    <w:uiPriority w:val="30"/>
    <w:semiHidden/>
    <w:rsid w:val="000C2DCE"/>
    <w:rPr>
      <w:rFonts w:cs="Arial"/>
    </w:rPr>
  </w:style>
  <w:style w:type="character" w:styleId="IntenseEmphasis">
    <w:name w:val="Intense Emphasis"/>
    <w:aliases w:val="IE-DO NOT USE"/>
    <w:uiPriority w:val="21"/>
    <w:semiHidden/>
    <w:qFormat/>
    <w:locked/>
    <w:rsid w:val="000C2DCE"/>
  </w:style>
  <w:style w:type="character" w:styleId="IntenseReference">
    <w:name w:val="Intense Reference"/>
    <w:aliases w:val="IR-DO NOT USE"/>
    <w:uiPriority w:val="32"/>
    <w:semiHidden/>
    <w:qFormat/>
    <w:locked/>
    <w:rsid w:val="000C2DCE"/>
  </w:style>
  <w:style w:type="paragraph" w:customStyle="1" w:styleId="Listbulletlevel1">
    <w:name w:val="List bullet level 1"/>
    <w:basedOn w:val="BodyText"/>
    <w:next w:val="BodyText"/>
    <w:link w:val="Listbulletlevel1Char"/>
    <w:qFormat/>
    <w:rsid w:val="000C2DCE"/>
    <w:pPr>
      <w:numPr>
        <w:numId w:val="18"/>
      </w:numPr>
      <w:spacing w:before="60" w:after="60"/>
    </w:pPr>
    <w:rPr>
      <w:rFonts w:eastAsia="Times New Roman"/>
    </w:rPr>
  </w:style>
  <w:style w:type="character" w:customStyle="1" w:styleId="Listbulletlevel1Char">
    <w:name w:val="List bullet level 1 Char"/>
    <w:basedOn w:val="BodyTextChar"/>
    <w:link w:val="Listbulletlevel1"/>
    <w:rsid w:val="000C2DCE"/>
    <w:rPr>
      <w:rFonts w:eastAsia="Times New Roman" w:cs="Arial"/>
    </w:rPr>
  </w:style>
  <w:style w:type="paragraph" w:customStyle="1" w:styleId="Listbulletlevel1numbered">
    <w:name w:val="List bullet level 1 numbered"/>
    <w:basedOn w:val="BodyText"/>
    <w:next w:val="BodyText"/>
    <w:link w:val="Listbulletlevel1numberedChar"/>
    <w:qFormat/>
    <w:rsid w:val="000C2DCE"/>
    <w:pPr>
      <w:numPr>
        <w:numId w:val="19"/>
      </w:numPr>
      <w:spacing w:before="60" w:after="60"/>
    </w:pPr>
    <w:rPr>
      <w:rFonts w:eastAsia="Times New Roman"/>
    </w:rPr>
  </w:style>
  <w:style w:type="character" w:customStyle="1" w:styleId="Listbulletlevel1numberedChar">
    <w:name w:val="List bullet level 1 numbered Char"/>
    <w:basedOn w:val="Listbulletlevel1Char"/>
    <w:link w:val="Listbulletlevel1numbered"/>
    <w:rsid w:val="000C2DCE"/>
    <w:rPr>
      <w:rFonts w:eastAsia="Times New Roman" w:cs="Arial"/>
    </w:rPr>
  </w:style>
  <w:style w:type="paragraph" w:customStyle="1" w:styleId="Listbulletlevel2">
    <w:name w:val="List bullet level 2"/>
    <w:basedOn w:val="Listbulletlevel1"/>
    <w:next w:val="BodyText"/>
    <w:qFormat/>
    <w:rsid w:val="000C2DCE"/>
    <w:pPr>
      <w:numPr>
        <w:ilvl w:val="1"/>
      </w:numPr>
    </w:pPr>
  </w:style>
  <w:style w:type="paragraph" w:customStyle="1" w:styleId="Listbulletlevel2numbered">
    <w:name w:val="List bullet level 2 numbered"/>
    <w:basedOn w:val="Listbulletlevel1numbered"/>
    <w:qFormat/>
    <w:rsid w:val="000C2DCE"/>
    <w:pPr>
      <w:numPr>
        <w:ilvl w:val="1"/>
      </w:numPr>
    </w:pPr>
    <w:rPr>
      <w:rFonts w:eastAsia="Times"/>
    </w:rPr>
  </w:style>
  <w:style w:type="character" w:styleId="PlaceholderText">
    <w:name w:val="Placeholder Text"/>
    <w:aliases w:val="Pl-DO NOT USE"/>
    <w:uiPriority w:val="99"/>
    <w:semiHidden/>
    <w:locked/>
    <w:rsid w:val="000C2DCE"/>
  </w:style>
  <w:style w:type="character" w:styleId="SubtleEmphasis">
    <w:name w:val="Subtle Emphasis"/>
    <w:aliases w:val="SE-DO NOT USE"/>
    <w:uiPriority w:val="19"/>
    <w:semiHidden/>
    <w:locked/>
    <w:rsid w:val="000C2DCE"/>
  </w:style>
  <w:style w:type="character" w:styleId="SubtleReference">
    <w:name w:val="Subtle Reference"/>
    <w:aliases w:val="SR-DO NOT USE"/>
    <w:uiPriority w:val="31"/>
    <w:semiHidden/>
    <w:locked/>
    <w:rsid w:val="000C2DCE"/>
  </w:style>
  <w:style w:type="character" w:customStyle="1" w:styleId="Symbol">
    <w:name w:val="Symbol"/>
    <w:basedOn w:val="DefaultParagraphFont"/>
    <w:rsid w:val="000C2DCE"/>
    <w:rPr>
      <w:rFonts w:ascii="Symbol" w:hAnsi="Symbol"/>
    </w:rPr>
  </w:style>
  <w:style w:type="paragraph" w:customStyle="1" w:styleId="Tablesource">
    <w:name w:val="Table source"/>
    <w:basedOn w:val="BodyText"/>
    <w:next w:val="BodyText"/>
    <w:qFormat/>
    <w:rsid w:val="000C2DCE"/>
    <w:pPr>
      <w:keepNext/>
      <w:spacing w:before="120" w:after="0" w:line="160" w:lineRule="atLeast"/>
    </w:pPr>
    <w:rPr>
      <w:rFonts w:eastAsia="Times New Roman"/>
      <w:i/>
      <w:iCs/>
      <w:sz w:val="16"/>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qFormat="1"/>
    <w:lsdException w:name="toc 2" w:locked="0" w:uiPriority="39" w:qFormat="1"/>
    <w:lsdException w:name="toc 3" w:locked="0" w:uiPriority="39" w:qFormat="1"/>
    <w:lsdException w:name="toc 4" w:locked="0" w:uiPriority="39" w:qFormat="1"/>
    <w:lsdException w:name="toc 5" w:locked="0" w:uiPriority="39" w:qFormat="1"/>
    <w:lsdException w:name="toc 7" w:semiHidden="1"/>
    <w:lsdException w:name="toc 8" w:semiHidden="1"/>
    <w:lsdException w:name="toc 9" w:semiHidden="1"/>
    <w:lsdException w:name="header" w:semiHidden="1"/>
    <w:lsdException w:name="footer" w:locked="0" w:qFormat="1"/>
    <w:lsdException w:name="index heading" w:semiHidden="1"/>
    <w:lsdException w:name="caption" w:locked="0" w:semiHidden="1" w:unhideWhenUsed="1" w:qFormat="1"/>
    <w:lsdException w:name="table of figures" w:locked="0" w:uiPriority="99"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uiPriority="99"/>
    <w:lsdException w:name="Default Paragraph Font" w:locked="0" w:uiPriority="1"/>
    <w:lsdException w:name="Body Text" w:locked="0" w:qFormat="1"/>
    <w:lsdException w:name="Body Text Indent" w:semiHidden="1"/>
    <w:lsdException w:name="Subtitle" w:qFormat="1"/>
    <w:lsdException w:name="Body Text First Indent" w:semiHidden="1"/>
    <w:lsdException w:name="Body Text First Indent 2" w:semiHidden="1"/>
    <w:lsdException w:name="Body Text 2" w:semiHidden="1"/>
    <w:lsdException w:name="Body Text 3" w:semiHidden="1"/>
    <w:lsdException w:name="Body Text Indent 2" w:semiHidden="1"/>
    <w:lsdException w:name="Body Text Indent 3" w:semiHidden="1"/>
    <w:lsdException w:name="Hyperlink" w:locked="0" w:uiPriority="99" w:qFormat="1"/>
    <w:lsdException w:name="FollowedHyperlink" w:locked="0"/>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qFormat="1"/>
    <w:lsdException w:name="Book Title" w:semiHidden="1" w:uiPriority="33"/>
    <w:lsdException w:name="Bibliography" w:semiHidden="1" w:uiPriority="37" w:unhideWhenUsed="1"/>
    <w:lsdException w:name="TOC Heading" w:locked="0" w:qFormat="1"/>
  </w:latentStyles>
  <w:style w:type="paragraph" w:default="1" w:styleId="Normal">
    <w:name w:val="Normal"/>
    <w:aliases w:val="N-DO NOT USE"/>
    <w:next w:val="BodyText"/>
    <w:qFormat/>
    <w:rsid w:val="00244E5E"/>
    <w:pPr>
      <w:spacing w:before="180" w:after="180"/>
    </w:pPr>
    <w:rPr>
      <w:rFonts w:cs="Arial"/>
    </w:rPr>
  </w:style>
  <w:style w:type="paragraph" w:styleId="Heading1">
    <w:name w:val="heading 1"/>
    <w:next w:val="BodyText"/>
    <w:link w:val="Heading1Char"/>
    <w:qFormat/>
    <w:rsid w:val="000C2DCE"/>
    <w:pPr>
      <w:keepNext/>
      <w:keepLines/>
      <w:pageBreakBefore/>
      <w:numPr>
        <w:numId w:val="11"/>
      </w:numPr>
      <w:spacing w:after="1080" w:line="240" w:lineRule="auto"/>
      <w:outlineLvl w:val="0"/>
    </w:pPr>
    <w:rPr>
      <w:rFonts w:cs="Arial"/>
      <w:kern w:val="28"/>
      <w:sz w:val="40"/>
    </w:rPr>
  </w:style>
  <w:style w:type="paragraph" w:styleId="Heading2">
    <w:name w:val="heading 2"/>
    <w:basedOn w:val="Heading1"/>
    <w:next w:val="BodyText"/>
    <w:link w:val="Heading2Char"/>
    <w:qFormat/>
    <w:rsid w:val="000C2DCE"/>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0C2DCE"/>
    <w:pPr>
      <w:numPr>
        <w:ilvl w:val="2"/>
      </w:numPr>
      <w:outlineLvl w:val="2"/>
    </w:pPr>
    <w:rPr>
      <w:b/>
      <w:sz w:val="24"/>
    </w:rPr>
  </w:style>
  <w:style w:type="paragraph" w:styleId="Heading4">
    <w:name w:val="heading 4"/>
    <w:basedOn w:val="Heading3"/>
    <w:next w:val="BodyText"/>
    <w:link w:val="Heading4Char"/>
    <w:qFormat/>
    <w:rsid w:val="000C2DCE"/>
    <w:pPr>
      <w:numPr>
        <w:ilvl w:val="3"/>
      </w:numPr>
      <w:spacing w:before="180"/>
      <w:outlineLvl w:val="3"/>
    </w:pPr>
    <w:rPr>
      <w:i/>
      <w:sz w:val="22"/>
    </w:rPr>
  </w:style>
  <w:style w:type="paragraph" w:styleId="Heading5">
    <w:name w:val="heading 5"/>
    <w:basedOn w:val="Heading4"/>
    <w:next w:val="BodyText"/>
    <w:qFormat/>
    <w:rsid w:val="000C2DCE"/>
    <w:pPr>
      <w:numPr>
        <w:ilvl w:val="4"/>
      </w:numPr>
      <w:outlineLvl w:val="4"/>
    </w:pPr>
    <w:rPr>
      <w:b w:val="0"/>
    </w:rPr>
  </w:style>
  <w:style w:type="paragraph" w:styleId="Heading6">
    <w:name w:val="heading 6"/>
    <w:basedOn w:val="Heading5"/>
    <w:next w:val="BodyText"/>
    <w:link w:val="Heading6Char"/>
    <w:semiHidden/>
    <w:qFormat/>
    <w:locked/>
    <w:rsid w:val="000C2DCE"/>
    <w:pPr>
      <w:numPr>
        <w:ilvl w:val="5"/>
      </w:numPr>
      <w:spacing w:before="240"/>
      <w:outlineLvl w:val="5"/>
    </w:pPr>
    <w:rPr>
      <w:b/>
      <w:i w:val="0"/>
      <w:sz w:val="20"/>
    </w:rPr>
  </w:style>
  <w:style w:type="paragraph" w:styleId="Heading7">
    <w:name w:val="heading 7"/>
    <w:basedOn w:val="Heading6"/>
    <w:next w:val="BodyText"/>
    <w:semiHidden/>
    <w:qFormat/>
    <w:locked/>
    <w:rsid w:val="000C2DCE"/>
    <w:pPr>
      <w:numPr>
        <w:ilvl w:val="6"/>
      </w:num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0C2DCE"/>
    <w:pPr>
      <w:numPr>
        <w:ilvl w:val="7"/>
      </w:numPr>
      <w:outlineLvl w:val="7"/>
    </w:pPr>
    <w:rPr>
      <w:i w:val="0"/>
    </w:rPr>
  </w:style>
  <w:style w:type="paragraph" w:styleId="Heading9">
    <w:name w:val="heading 9"/>
    <w:aliases w:val="Heading appendix 1"/>
    <w:basedOn w:val="Headingappendix1base"/>
    <w:next w:val="BodyText"/>
    <w:qFormat/>
    <w:locked/>
    <w:rsid w:val="000C2DCE"/>
    <w:pPr>
      <w:numPr>
        <w:numId w:val="12"/>
      </w:numPr>
      <w:spacing w:before="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0C2DCE"/>
    <w:pPr>
      <w:spacing w:before="180" w:after="180"/>
    </w:pPr>
    <w:rPr>
      <w:rFonts w:cs="Arial"/>
    </w:rPr>
  </w:style>
  <w:style w:type="paragraph" w:styleId="Footer">
    <w:name w:val="footer"/>
    <w:next w:val="BodyText"/>
    <w:link w:val="FooterChar"/>
    <w:qFormat/>
    <w:rsid w:val="000C2DCE"/>
    <w:pPr>
      <w:pBdr>
        <w:top w:val="single" w:sz="2" w:space="2" w:color="auto"/>
      </w:pBdr>
      <w:tabs>
        <w:tab w:val="right" w:pos="9072"/>
      </w:tabs>
      <w:spacing w:before="180" w:after="180" w:line="160" w:lineRule="atLeast"/>
      <w:mirrorIndents/>
    </w:pPr>
    <w:rPr>
      <w:rFonts w:ascii="Arial Bold" w:hAnsi="Arial Bold" w:cs="Arial"/>
      <w:b/>
      <w:sz w:val="16"/>
      <w:szCs w:val="16"/>
    </w:rPr>
  </w:style>
  <w:style w:type="paragraph" w:customStyle="1" w:styleId="Record">
    <w:name w:val="Record #"/>
    <w:next w:val="BodyText"/>
    <w:qFormat/>
    <w:rsid w:val="000C2DCE"/>
    <w:pPr>
      <w:keepNext/>
      <w:spacing w:before="180" w:after="1440"/>
    </w:pPr>
    <w:rPr>
      <w:rFonts w:eastAsia="Times New Roman"/>
      <w:caps/>
      <w:spacing w:val="10"/>
      <w:sz w:val="19"/>
    </w:rPr>
  </w:style>
  <w:style w:type="character" w:customStyle="1" w:styleId="Captionbold">
    <w:name w:val="Caption bold"/>
    <w:qFormat/>
    <w:rsid w:val="000C2DCE"/>
    <w:rPr>
      <w:b/>
    </w:rPr>
  </w:style>
  <w:style w:type="paragraph" w:customStyle="1" w:styleId="Documenttitle">
    <w:name w:val="Document title"/>
    <w:next w:val="BodyText"/>
    <w:qFormat/>
    <w:rsid w:val="000C2DCE"/>
    <w:pPr>
      <w:keepNext/>
      <w:spacing w:before="1680" w:after="360" w:line="240" w:lineRule="auto"/>
      <w:outlineLvl w:val="0"/>
    </w:pPr>
    <w:rPr>
      <w:rFonts w:eastAsia="Times New Roman"/>
      <w:sz w:val="48"/>
    </w:rPr>
  </w:style>
  <w:style w:type="paragraph" w:customStyle="1" w:styleId="Notes">
    <w:name w:val="Notes"/>
    <w:basedOn w:val="BodyText"/>
    <w:next w:val="BodyText"/>
    <w:qFormat/>
    <w:rsid w:val="000C2DCE"/>
    <w:pPr>
      <w:numPr>
        <w:numId w:val="25"/>
      </w:numPr>
      <w:pBdr>
        <w:top w:val="single" w:sz="4" w:space="1" w:color="808080"/>
      </w:pBdr>
      <w:spacing w:before="0" w:after="0" w:line="160" w:lineRule="atLeast"/>
    </w:pPr>
    <w:rPr>
      <w:rFonts w:eastAsia="Times New Roman"/>
      <w:sz w:val="16"/>
    </w:rPr>
  </w:style>
  <w:style w:type="paragraph" w:customStyle="1" w:styleId="Bulletlevel1">
    <w:name w:val="Bullet level 1"/>
    <w:basedOn w:val="BodyText"/>
    <w:link w:val="Bulletlevel1Char"/>
    <w:qFormat/>
    <w:rsid w:val="005917E1"/>
    <w:pPr>
      <w:spacing w:before="60" w:after="60"/>
    </w:pPr>
    <w:rPr>
      <w:rFonts w:eastAsia="Times New Roman"/>
    </w:rPr>
  </w:style>
  <w:style w:type="paragraph" w:customStyle="1" w:styleId="Bulletlevel2">
    <w:name w:val="Bullet level 2"/>
    <w:basedOn w:val="Bulletlevel1"/>
    <w:qFormat/>
    <w:rsid w:val="005917E1"/>
    <w:pPr>
      <w:numPr>
        <w:ilvl w:val="1"/>
      </w:numPr>
    </w:pPr>
  </w:style>
  <w:style w:type="paragraph" w:customStyle="1" w:styleId="Tabletitle">
    <w:name w:val="Table title"/>
    <w:basedOn w:val="BodyText"/>
    <w:next w:val="BodyText"/>
    <w:qFormat/>
    <w:rsid w:val="000C2DCE"/>
    <w:pPr>
      <w:keepNext/>
      <w:spacing w:before="480" w:after="120" w:line="240" w:lineRule="atLeast"/>
    </w:pPr>
    <w:rPr>
      <w:rFonts w:eastAsia="Times New Roman"/>
      <w:i/>
      <w:sz w:val="18"/>
      <w:szCs w:val="18"/>
    </w:rPr>
  </w:style>
  <w:style w:type="character" w:customStyle="1" w:styleId="Tabletitlebold">
    <w:name w:val="Table title bold"/>
    <w:qFormat/>
    <w:rsid w:val="000C2DCE"/>
    <w:rPr>
      <w:b/>
    </w:rPr>
  </w:style>
  <w:style w:type="paragraph" w:customStyle="1" w:styleId="Tabletextleft">
    <w:name w:val="Table text left"/>
    <w:next w:val="BodyText"/>
    <w:qFormat/>
    <w:rsid w:val="000C2DCE"/>
    <w:pPr>
      <w:spacing w:before="20" w:after="20" w:line="200" w:lineRule="atLeast"/>
    </w:pPr>
    <w:rPr>
      <w:rFonts w:eastAsia="Times New Roman" w:cs="Arial"/>
      <w:sz w:val="18"/>
    </w:rPr>
  </w:style>
  <w:style w:type="paragraph" w:customStyle="1" w:styleId="Tableheadingleft">
    <w:name w:val="Table heading left"/>
    <w:next w:val="BodyText"/>
    <w:rsid w:val="000C2DCE"/>
    <w:pPr>
      <w:spacing w:before="20" w:after="20" w:line="200" w:lineRule="atLeast"/>
    </w:pPr>
    <w:rPr>
      <w:rFonts w:ascii="Arial Bold" w:eastAsia="Times New Roman" w:hAnsi="Arial Bold" w:cs="Arial"/>
      <w:color w:val="FFFFFF"/>
      <w:sz w:val="18"/>
    </w:rPr>
  </w:style>
  <w:style w:type="paragraph" w:customStyle="1" w:styleId="References">
    <w:name w:val="References"/>
    <w:basedOn w:val="BodyText"/>
    <w:next w:val="BodyText"/>
    <w:qFormat/>
    <w:rsid w:val="000C2DCE"/>
    <w:pPr>
      <w:spacing w:before="60" w:after="60" w:line="240" w:lineRule="atLeast"/>
      <w:ind w:left="284" w:hanging="284"/>
    </w:pPr>
    <w:rPr>
      <w:rFonts w:eastAsia="Times New Roman"/>
    </w:rPr>
  </w:style>
  <w:style w:type="paragraph" w:styleId="EndnoteText">
    <w:name w:val="endnote text"/>
    <w:aliases w:val="ET-DO NOT USE"/>
    <w:semiHidden/>
    <w:locked/>
    <w:rsid w:val="000C2DCE"/>
    <w:pPr>
      <w:spacing w:before="180" w:after="180"/>
    </w:pPr>
    <w:rPr>
      <w:rFonts w:cs="Arial"/>
    </w:rPr>
  </w:style>
  <w:style w:type="character" w:customStyle="1" w:styleId="Bodytextbold">
    <w:name w:val="Body text bold"/>
    <w:qFormat/>
    <w:rsid w:val="000C2DCE"/>
    <w:rPr>
      <w:b/>
    </w:rPr>
  </w:style>
  <w:style w:type="character" w:customStyle="1" w:styleId="Bodytextitalic">
    <w:name w:val="Body text italic"/>
    <w:qFormat/>
    <w:rsid w:val="000C2DCE"/>
    <w:rPr>
      <w:i/>
    </w:rPr>
  </w:style>
  <w:style w:type="character" w:customStyle="1" w:styleId="BodyTextChar">
    <w:name w:val="Body Text Char"/>
    <w:basedOn w:val="DefaultParagraphFont"/>
    <w:link w:val="BodyText"/>
    <w:rsid w:val="000C2DCE"/>
    <w:rPr>
      <w:rFonts w:cs="Arial"/>
    </w:rPr>
  </w:style>
  <w:style w:type="character" w:styleId="Strong">
    <w:name w:val="Strong"/>
    <w:aliases w:val="St-DO NOT USE"/>
    <w:semiHidden/>
    <w:qFormat/>
    <w:locked/>
    <w:rsid w:val="000C2DCE"/>
  </w:style>
  <w:style w:type="paragraph" w:styleId="TOC1">
    <w:name w:val="toc 1"/>
    <w:basedOn w:val="BodyText"/>
    <w:next w:val="BodyText"/>
    <w:autoRedefine/>
    <w:uiPriority w:val="39"/>
    <w:qFormat/>
    <w:rsid w:val="000C2DCE"/>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0C2DCE"/>
    <w:pPr>
      <w:spacing w:before="60"/>
      <w:ind w:left="142"/>
    </w:pPr>
  </w:style>
  <w:style w:type="paragraph" w:styleId="TOC3">
    <w:name w:val="toc 3"/>
    <w:basedOn w:val="TOC2"/>
    <w:next w:val="BodyText"/>
    <w:autoRedefine/>
    <w:uiPriority w:val="39"/>
    <w:qFormat/>
    <w:rsid w:val="000C2DCE"/>
    <w:pPr>
      <w:ind w:left="284"/>
    </w:pPr>
  </w:style>
  <w:style w:type="paragraph" w:styleId="TOC4">
    <w:name w:val="toc 4"/>
    <w:basedOn w:val="TOC3"/>
    <w:next w:val="BodyText"/>
    <w:autoRedefine/>
    <w:uiPriority w:val="39"/>
    <w:qFormat/>
    <w:rsid w:val="000C2DCE"/>
    <w:pPr>
      <w:ind w:left="425"/>
    </w:pPr>
  </w:style>
  <w:style w:type="paragraph" w:customStyle="1" w:styleId="FiguresandImagesLeft">
    <w:name w:val="Figures and Images Left"/>
    <w:basedOn w:val="BodyText"/>
    <w:next w:val="Normal"/>
    <w:link w:val="FiguresandImagesLeftChar"/>
    <w:qFormat/>
    <w:rsid w:val="003726DC"/>
    <w:pPr>
      <w:keepNext/>
      <w:spacing w:before="480" w:after="80" w:line="160" w:lineRule="atLeast"/>
    </w:pPr>
  </w:style>
  <w:style w:type="character" w:customStyle="1" w:styleId="FiguresandImagesLeftChar">
    <w:name w:val="Figures and Images Left Char"/>
    <w:basedOn w:val="BodyTextChar"/>
    <w:link w:val="FiguresandImagesLeft"/>
    <w:rsid w:val="003726DC"/>
    <w:rPr>
      <w:rFonts w:ascii="Palatino Linotype" w:hAnsi="Palatino Linotype" w:cs="Arial"/>
      <w:sz w:val="22"/>
    </w:rPr>
  </w:style>
  <w:style w:type="character" w:styleId="Hyperlink">
    <w:name w:val="Hyperlink"/>
    <w:uiPriority w:val="99"/>
    <w:qFormat/>
    <w:rsid w:val="00717638"/>
    <w:rPr>
      <w:color w:val="0000FF"/>
    </w:rPr>
  </w:style>
  <w:style w:type="paragraph" w:styleId="TOC5">
    <w:name w:val="toc 5"/>
    <w:basedOn w:val="TOC4"/>
    <w:next w:val="BodyText"/>
    <w:autoRedefine/>
    <w:uiPriority w:val="39"/>
    <w:qFormat/>
    <w:rsid w:val="000C2DCE"/>
    <w:pPr>
      <w:ind w:left="567"/>
    </w:pPr>
  </w:style>
  <w:style w:type="paragraph" w:customStyle="1" w:styleId="Versopageinfo">
    <w:name w:val="Verso page info"/>
    <w:basedOn w:val="BodyText"/>
    <w:next w:val="BodyText"/>
    <w:link w:val="VersopageinfoChar"/>
    <w:qFormat/>
    <w:rsid w:val="000C2DCE"/>
    <w:pPr>
      <w:spacing w:before="0"/>
    </w:pPr>
  </w:style>
  <w:style w:type="character" w:customStyle="1" w:styleId="Heading6Char">
    <w:name w:val="Heading 6 Char"/>
    <w:basedOn w:val="BodyTextChar"/>
    <w:link w:val="Heading6"/>
    <w:semiHidden/>
    <w:rsid w:val="000C2DCE"/>
    <w:rPr>
      <w:rFonts w:cs="Arial"/>
      <w:b/>
      <w:kern w:val="28"/>
      <w:szCs w:val="30"/>
    </w:rPr>
  </w:style>
  <w:style w:type="character" w:customStyle="1" w:styleId="VersopageinfoChar">
    <w:name w:val="Verso page info Char"/>
    <w:basedOn w:val="BodyTextChar"/>
    <w:link w:val="Versopageinfo"/>
    <w:rsid w:val="000C2DCE"/>
    <w:rPr>
      <w:rFonts w:cs="Arial"/>
    </w:rPr>
  </w:style>
  <w:style w:type="character" w:customStyle="1" w:styleId="Bulletlevel1Char">
    <w:name w:val="Bullet level 1 Char"/>
    <w:basedOn w:val="BodyTextChar"/>
    <w:link w:val="Bulletlevel1"/>
    <w:rsid w:val="005917E1"/>
    <w:rPr>
      <w:rFonts w:ascii="Palatino Linotype" w:eastAsia="Times New Roman" w:hAnsi="Palatino Linotype" w:cs="Arial"/>
      <w:sz w:val="22"/>
    </w:rPr>
  </w:style>
  <w:style w:type="paragraph" w:styleId="BlockText">
    <w:name w:val="Block Text"/>
    <w:aliases w:val="BLT-DO NOT USE"/>
    <w:basedOn w:val="BalloonText"/>
    <w:semiHidden/>
    <w:locked/>
    <w:rsid w:val="000C2DCE"/>
  </w:style>
  <w:style w:type="character" w:customStyle="1" w:styleId="Hyperlinkprint">
    <w:name w:val="Hyperlink print"/>
    <w:basedOn w:val="Hyperlink"/>
    <w:qFormat/>
    <w:rsid w:val="000C2DCE"/>
    <w:rPr>
      <w:color w:val="auto"/>
    </w:rPr>
  </w:style>
  <w:style w:type="paragraph" w:styleId="TOCHeading">
    <w:name w:val="TOC Heading"/>
    <w:next w:val="BodyText"/>
    <w:qFormat/>
    <w:rsid w:val="000C2DCE"/>
    <w:pPr>
      <w:pageBreakBefore/>
      <w:spacing w:before="180" w:after="960" w:line="240" w:lineRule="auto"/>
    </w:pPr>
    <w:rPr>
      <w:rFonts w:eastAsia="Times New Roman"/>
      <w:sz w:val="40"/>
    </w:rPr>
  </w:style>
  <w:style w:type="paragraph" w:styleId="Closing">
    <w:name w:val="Closing"/>
    <w:aliases w:val="C-DO NOT USE"/>
    <w:basedOn w:val="CommentSubject"/>
    <w:next w:val="BodyText"/>
    <w:semiHidden/>
    <w:locked/>
    <w:rsid w:val="000C2DCE"/>
  </w:style>
  <w:style w:type="paragraph" w:styleId="Date">
    <w:name w:val="Date"/>
    <w:aliases w:val="D-DO NOT USE"/>
    <w:next w:val="BodyText"/>
    <w:semiHidden/>
    <w:locked/>
    <w:rsid w:val="000C2DCE"/>
    <w:pPr>
      <w:spacing w:before="180" w:after="180"/>
    </w:pPr>
    <w:rPr>
      <w:rFonts w:cs="Arial"/>
    </w:rPr>
  </w:style>
  <w:style w:type="paragraph" w:styleId="E-mailSignature">
    <w:name w:val="E-mail Signature"/>
    <w:aliases w:val="EM-DO NOT USE"/>
    <w:next w:val="BodyText"/>
    <w:semiHidden/>
    <w:locked/>
    <w:rsid w:val="000C2DCE"/>
    <w:pPr>
      <w:spacing w:before="180" w:after="180"/>
    </w:pPr>
    <w:rPr>
      <w:rFonts w:cs="Arial"/>
    </w:rPr>
  </w:style>
  <w:style w:type="paragraph" w:styleId="EnvelopeAddress">
    <w:name w:val="envelope address"/>
    <w:aliases w:val="EA-DO NOT USE"/>
    <w:next w:val="BodyText"/>
    <w:semiHidden/>
    <w:locked/>
    <w:rsid w:val="000C2DCE"/>
    <w:pPr>
      <w:spacing w:before="180" w:after="180"/>
    </w:pPr>
    <w:rPr>
      <w:rFonts w:cs="Arial"/>
    </w:rPr>
  </w:style>
  <w:style w:type="paragraph" w:styleId="EnvelopeReturn">
    <w:name w:val="envelope return"/>
    <w:aliases w:val="ER-DO NOT USE"/>
    <w:next w:val="BodyText"/>
    <w:semiHidden/>
    <w:locked/>
    <w:rsid w:val="000C2DCE"/>
    <w:pPr>
      <w:spacing w:before="180" w:after="180"/>
    </w:pPr>
    <w:rPr>
      <w:rFonts w:cs="Arial"/>
    </w:rPr>
  </w:style>
  <w:style w:type="character" w:styleId="FollowedHyperlink">
    <w:name w:val="FollowedHyperlink"/>
    <w:basedOn w:val="Hyperlink"/>
    <w:rsid w:val="000C2DCE"/>
    <w:rPr>
      <w:color w:val="0000FF"/>
    </w:rPr>
  </w:style>
  <w:style w:type="paragraph" w:styleId="HTMLAddress">
    <w:name w:val="HTML Address"/>
    <w:aliases w:val="HAd-DO NOT USE"/>
    <w:next w:val="BodyText"/>
    <w:semiHidden/>
    <w:locked/>
    <w:rsid w:val="000C2DCE"/>
    <w:pPr>
      <w:spacing w:before="180" w:after="180"/>
    </w:pPr>
    <w:rPr>
      <w:rFonts w:cs="Arial"/>
    </w:rPr>
  </w:style>
  <w:style w:type="paragraph" w:styleId="HTMLPreformatted">
    <w:name w:val="HTML Preformatted"/>
    <w:aliases w:val="HP-DO NOT USE"/>
    <w:next w:val="BodyText"/>
    <w:semiHidden/>
    <w:locked/>
    <w:rsid w:val="000C2DCE"/>
    <w:pPr>
      <w:spacing w:before="180" w:after="180"/>
    </w:pPr>
    <w:rPr>
      <w:rFonts w:cs="Arial"/>
    </w:rPr>
  </w:style>
  <w:style w:type="paragraph" w:styleId="List">
    <w:name w:val="List"/>
    <w:basedOn w:val="BodyText"/>
    <w:next w:val="BodyText"/>
    <w:semiHidden/>
    <w:locked/>
    <w:rsid w:val="000C2DCE"/>
    <w:pPr>
      <w:ind w:left="283" w:hanging="283"/>
    </w:pPr>
  </w:style>
  <w:style w:type="paragraph" w:styleId="List2">
    <w:name w:val="List 2"/>
    <w:basedOn w:val="List"/>
    <w:next w:val="BodyText"/>
    <w:semiHidden/>
    <w:locked/>
    <w:rsid w:val="000C2DCE"/>
    <w:pPr>
      <w:ind w:left="566"/>
    </w:pPr>
  </w:style>
  <w:style w:type="paragraph" w:styleId="List3">
    <w:name w:val="List 3"/>
    <w:basedOn w:val="List2"/>
    <w:next w:val="BodyText"/>
    <w:semiHidden/>
    <w:locked/>
    <w:rsid w:val="000C2DCE"/>
    <w:pPr>
      <w:ind w:left="849"/>
    </w:pPr>
  </w:style>
  <w:style w:type="paragraph" w:styleId="List4">
    <w:name w:val="List 4"/>
    <w:basedOn w:val="List3"/>
    <w:next w:val="BodyText"/>
    <w:semiHidden/>
    <w:locked/>
    <w:rsid w:val="000C2DCE"/>
    <w:pPr>
      <w:ind w:left="1132"/>
    </w:pPr>
  </w:style>
  <w:style w:type="paragraph" w:styleId="List5">
    <w:name w:val="List 5"/>
    <w:basedOn w:val="List4"/>
    <w:next w:val="BodyText"/>
    <w:semiHidden/>
    <w:locked/>
    <w:rsid w:val="000C2DCE"/>
    <w:pPr>
      <w:ind w:left="1415"/>
    </w:pPr>
  </w:style>
  <w:style w:type="paragraph" w:styleId="ListBullet">
    <w:name w:val="List Bullet"/>
    <w:basedOn w:val="BodyText"/>
    <w:next w:val="BodyText"/>
    <w:semiHidden/>
    <w:locked/>
    <w:rsid w:val="000C2DCE"/>
    <w:pPr>
      <w:numPr>
        <w:numId w:val="13"/>
      </w:numPr>
    </w:pPr>
  </w:style>
  <w:style w:type="paragraph" w:styleId="ListBullet2">
    <w:name w:val="List Bullet 2"/>
    <w:basedOn w:val="ListBullet"/>
    <w:next w:val="BodyText"/>
    <w:semiHidden/>
    <w:locked/>
    <w:rsid w:val="000C2DCE"/>
    <w:pPr>
      <w:numPr>
        <w:numId w:val="14"/>
      </w:numPr>
    </w:pPr>
  </w:style>
  <w:style w:type="paragraph" w:styleId="ListBullet3">
    <w:name w:val="List Bullet 3"/>
    <w:basedOn w:val="ListBullet2"/>
    <w:next w:val="BodyText"/>
    <w:semiHidden/>
    <w:locked/>
    <w:rsid w:val="000C2DCE"/>
    <w:pPr>
      <w:numPr>
        <w:numId w:val="15"/>
      </w:numPr>
    </w:pPr>
  </w:style>
  <w:style w:type="paragraph" w:styleId="ListBullet4">
    <w:name w:val="List Bullet 4"/>
    <w:basedOn w:val="ListBullet3"/>
    <w:next w:val="BodyText"/>
    <w:semiHidden/>
    <w:locked/>
    <w:rsid w:val="000C2DCE"/>
    <w:pPr>
      <w:numPr>
        <w:numId w:val="16"/>
      </w:numPr>
    </w:pPr>
  </w:style>
  <w:style w:type="paragraph" w:styleId="ListBullet5">
    <w:name w:val="List Bullet 5"/>
    <w:basedOn w:val="ListBullet4"/>
    <w:next w:val="BodyText"/>
    <w:semiHidden/>
    <w:locked/>
    <w:rsid w:val="000C2DCE"/>
    <w:pPr>
      <w:numPr>
        <w:numId w:val="17"/>
      </w:numPr>
    </w:pPr>
  </w:style>
  <w:style w:type="paragraph" w:styleId="ListContinue">
    <w:name w:val="List Continue"/>
    <w:basedOn w:val="BodyText"/>
    <w:next w:val="BodyText"/>
    <w:semiHidden/>
    <w:locked/>
    <w:rsid w:val="000C2DCE"/>
    <w:pPr>
      <w:ind w:left="283"/>
    </w:pPr>
  </w:style>
  <w:style w:type="paragraph" w:styleId="ListContinue2">
    <w:name w:val="List Continue 2"/>
    <w:basedOn w:val="ListContinue"/>
    <w:next w:val="BodyText"/>
    <w:semiHidden/>
    <w:locked/>
    <w:rsid w:val="000C2DCE"/>
    <w:pPr>
      <w:ind w:left="566"/>
    </w:pPr>
  </w:style>
  <w:style w:type="paragraph" w:styleId="ListContinue3">
    <w:name w:val="List Continue 3"/>
    <w:basedOn w:val="ListContinue2"/>
    <w:next w:val="BodyText"/>
    <w:semiHidden/>
    <w:locked/>
    <w:rsid w:val="000C2DCE"/>
    <w:pPr>
      <w:ind w:left="849"/>
    </w:pPr>
  </w:style>
  <w:style w:type="paragraph" w:styleId="ListContinue4">
    <w:name w:val="List Continue 4"/>
    <w:basedOn w:val="ListContinue3"/>
    <w:next w:val="BodyText"/>
    <w:semiHidden/>
    <w:locked/>
    <w:rsid w:val="000C2DCE"/>
    <w:pPr>
      <w:ind w:left="1132"/>
    </w:pPr>
  </w:style>
  <w:style w:type="paragraph" w:styleId="ListContinue5">
    <w:name w:val="List Continue 5"/>
    <w:basedOn w:val="ListContinue4"/>
    <w:next w:val="BodyText"/>
    <w:semiHidden/>
    <w:locked/>
    <w:rsid w:val="000C2DCE"/>
    <w:pPr>
      <w:ind w:left="1415"/>
    </w:pPr>
  </w:style>
  <w:style w:type="paragraph" w:styleId="ListNumber">
    <w:name w:val="List Number"/>
    <w:basedOn w:val="BodyText"/>
    <w:next w:val="BodyText"/>
    <w:semiHidden/>
    <w:locked/>
    <w:rsid w:val="000C2DCE"/>
    <w:pPr>
      <w:numPr>
        <w:numId w:val="20"/>
      </w:numPr>
    </w:pPr>
  </w:style>
  <w:style w:type="paragraph" w:styleId="ListNumber2">
    <w:name w:val="List Number 2"/>
    <w:basedOn w:val="ListNumber"/>
    <w:next w:val="BodyText"/>
    <w:semiHidden/>
    <w:locked/>
    <w:rsid w:val="000C2DCE"/>
    <w:pPr>
      <w:numPr>
        <w:numId w:val="21"/>
      </w:numPr>
    </w:pPr>
  </w:style>
  <w:style w:type="paragraph" w:styleId="ListNumber3">
    <w:name w:val="List Number 3"/>
    <w:basedOn w:val="ListNumber2"/>
    <w:next w:val="BodyText"/>
    <w:semiHidden/>
    <w:locked/>
    <w:rsid w:val="000C2DCE"/>
    <w:pPr>
      <w:numPr>
        <w:numId w:val="22"/>
      </w:numPr>
    </w:pPr>
  </w:style>
  <w:style w:type="paragraph" w:styleId="ListNumber4">
    <w:name w:val="List Number 4"/>
    <w:basedOn w:val="ListNumber3"/>
    <w:next w:val="BodyText"/>
    <w:semiHidden/>
    <w:locked/>
    <w:rsid w:val="000C2DCE"/>
    <w:pPr>
      <w:numPr>
        <w:numId w:val="23"/>
      </w:numPr>
    </w:pPr>
  </w:style>
  <w:style w:type="paragraph" w:styleId="ListNumber5">
    <w:name w:val="List Number 5"/>
    <w:basedOn w:val="ListNumber4"/>
    <w:next w:val="BodyText"/>
    <w:semiHidden/>
    <w:locked/>
    <w:rsid w:val="000C2DCE"/>
    <w:pPr>
      <w:numPr>
        <w:numId w:val="24"/>
      </w:numPr>
    </w:pPr>
  </w:style>
  <w:style w:type="paragraph" w:styleId="MessageHeader">
    <w:name w:val="Message Header"/>
    <w:aliases w:val="MH-DO NOT USE"/>
    <w:semiHidden/>
    <w:locked/>
    <w:rsid w:val="000C2DCE"/>
    <w:pPr>
      <w:spacing w:before="180" w:after="180"/>
    </w:pPr>
    <w:rPr>
      <w:rFonts w:cs="Arial"/>
    </w:rPr>
  </w:style>
  <w:style w:type="paragraph" w:styleId="NormalWeb">
    <w:name w:val="Normal (Web)"/>
    <w:aliases w:val="NW-DO NOT USE"/>
    <w:next w:val="BodyText"/>
    <w:semiHidden/>
    <w:locked/>
    <w:rsid w:val="000C2DCE"/>
    <w:pPr>
      <w:spacing w:before="180" w:after="180"/>
    </w:pPr>
    <w:rPr>
      <w:rFonts w:cs="Arial"/>
    </w:rPr>
  </w:style>
  <w:style w:type="paragraph" w:styleId="NormalIndent">
    <w:name w:val="Normal Indent"/>
    <w:aliases w:val="NI-DO NOT USE"/>
    <w:next w:val="BodyText"/>
    <w:semiHidden/>
    <w:locked/>
    <w:rsid w:val="000C2DCE"/>
    <w:pPr>
      <w:spacing w:before="180" w:after="180"/>
    </w:pPr>
    <w:rPr>
      <w:rFonts w:cs="Arial"/>
    </w:rPr>
  </w:style>
  <w:style w:type="paragraph" w:styleId="NoteHeading">
    <w:name w:val="Note Heading"/>
    <w:basedOn w:val="BodyText"/>
    <w:next w:val="BodyText"/>
    <w:semiHidden/>
    <w:locked/>
    <w:rsid w:val="000C2DCE"/>
  </w:style>
  <w:style w:type="character" w:styleId="PageNumber">
    <w:name w:val="page number"/>
    <w:aliases w:val="P-DO NOT USE"/>
    <w:locked/>
    <w:rsid w:val="000C2DCE"/>
  </w:style>
  <w:style w:type="paragraph" w:styleId="PlainText">
    <w:name w:val="Plain Text"/>
    <w:aliases w:val="PT-DO NOT USE"/>
    <w:semiHidden/>
    <w:locked/>
    <w:rsid w:val="000C2DCE"/>
    <w:pPr>
      <w:spacing w:before="180" w:after="180"/>
    </w:pPr>
    <w:rPr>
      <w:rFonts w:cs="Arial"/>
    </w:rPr>
  </w:style>
  <w:style w:type="paragraph" w:styleId="Salutation">
    <w:name w:val="Salutation"/>
    <w:aliases w:val="Sa-DO NOT USE"/>
    <w:next w:val="BodyText"/>
    <w:semiHidden/>
    <w:locked/>
    <w:rsid w:val="000C2DCE"/>
    <w:pPr>
      <w:spacing w:before="180" w:after="180"/>
    </w:pPr>
    <w:rPr>
      <w:rFonts w:cs="Arial"/>
    </w:rPr>
  </w:style>
  <w:style w:type="paragraph" w:styleId="Signature">
    <w:name w:val="Signature"/>
    <w:aliases w:val="Si-DO NOT USE"/>
    <w:next w:val="BodyText"/>
    <w:semiHidden/>
    <w:locked/>
    <w:rsid w:val="000C2DCE"/>
    <w:pPr>
      <w:spacing w:before="180" w:after="180"/>
    </w:pPr>
    <w:rPr>
      <w:rFonts w:cs="Arial"/>
    </w:rPr>
  </w:style>
  <w:style w:type="paragraph" w:styleId="Subtitle">
    <w:name w:val="Subtitle"/>
    <w:aliases w:val="S-DO NOT USE"/>
    <w:next w:val="BodyText"/>
    <w:semiHidden/>
    <w:qFormat/>
    <w:locked/>
    <w:rsid w:val="000C2DCE"/>
    <w:pPr>
      <w:spacing w:before="180" w:after="180"/>
    </w:pPr>
    <w:rPr>
      <w:rFonts w:cs="Arial"/>
    </w:rPr>
  </w:style>
  <w:style w:type="table" w:styleId="Table3Deffects1">
    <w:name w:val="Table 3D effects 1"/>
    <w:basedOn w:val="TableNormal"/>
    <w:semiHidden/>
    <w:locked/>
    <w:rsid w:val="000C2DCE"/>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semiHidden/>
    <w:locked/>
    <w:rsid w:val="000C2DCE"/>
    <w:pPr>
      <w:spacing w:before="180" w:after="180"/>
    </w:pPr>
    <w:rPr>
      <w:rFonts w:cs="Arial"/>
    </w:rPr>
  </w:style>
  <w:style w:type="character" w:customStyle="1" w:styleId="Heading1Char">
    <w:name w:val="Heading 1 Char"/>
    <w:basedOn w:val="DefaultParagraphFont"/>
    <w:link w:val="Heading1"/>
    <w:rsid w:val="000C2DCE"/>
    <w:rPr>
      <w:rFonts w:cs="Arial"/>
      <w:kern w:val="28"/>
      <w:sz w:val="40"/>
    </w:rPr>
  </w:style>
  <w:style w:type="character" w:customStyle="1" w:styleId="Heading2Char">
    <w:name w:val="Heading 2 Char"/>
    <w:basedOn w:val="Heading1Char"/>
    <w:link w:val="Heading2"/>
    <w:rsid w:val="000C2DCE"/>
    <w:rPr>
      <w:rFonts w:cs="Arial"/>
      <w:kern w:val="28"/>
      <w:sz w:val="30"/>
      <w:szCs w:val="30"/>
    </w:rPr>
  </w:style>
  <w:style w:type="character" w:customStyle="1" w:styleId="Heading3Char">
    <w:name w:val="Heading 3 Char"/>
    <w:basedOn w:val="Heading2Char"/>
    <w:link w:val="Heading3"/>
    <w:rsid w:val="000C2DCE"/>
    <w:rPr>
      <w:rFonts w:cs="Arial"/>
      <w:b/>
      <w:kern w:val="28"/>
      <w:sz w:val="24"/>
      <w:szCs w:val="30"/>
    </w:rPr>
  </w:style>
  <w:style w:type="character" w:customStyle="1" w:styleId="Heading4Char">
    <w:name w:val="Heading 4 Char"/>
    <w:basedOn w:val="Heading3Char"/>
    <w:link w:val="Heading4"/>
    <w:rsid w:val="000C2DCE"/>
    <w:rPr>
      <w:rFonts w:cs="Arial"/>
      <w:b/>
      <w:i/>
      <w:kern w:val="28"/>
      <w:sz w:val="22"/>
      <w:szCs w:val="30"/>
    </w:rPr>
  </w:style>
  <w:style w:type="paragraph" w:styleId="TOC6">
    <w:name w:val="toc 6"/>
    <w:basedOn w:val="Normal"/>
    <w:next w:val="Normal"/>
    <w:autoRedefine/>
    <w:semiHidden/>
    <w:locked/>
    <w:rsid w:val="000C2DCE"/>
    <w:pPr>
      <w:ind w:left="1050"/>
    </w:pPr>
  </w:style>
  <w:style w:type="paragraph" w:customStyle="1" w:styleId="Bulletlevel1numbered">
    <w:name w:val="Bullet level 1 numbered"/>
    <w:basedOn w:val="BodyText"/>
    <w:link w:val="Bulletlevel1numberedChar"/>
    <w:qFormat/>
    <w:rsid w:val="005917E1"/>
    <w:pPr>
      <w:spacing w:before="60" w:after="60"/>
    </w:pPr>
    <w:rPr>
      <w:rFonts w:eastAsia="Times New Roman"/>
    </w:rPr>
  </w:style>
  <w:style w:type="character" w:customStyle="1" w:styleId="Bulletlevel1numberedChar">
    <w:name w:val="Bullet level 1 numbered Char"/>
    <w:basedOn w:val="Bulletlevel1Char"/>
    <w:link w:val="Bulletlevel1numbered"/>
    <w:rsid w:val="005917E1"/>
    <w:rPr>
      <w:rFonts w:ascii="Palatino Linotype" w:eastAsia="Times New Roman" w:hAnsi="Palatino Linotype" w:cs="Arial"/>
      <w:sz w:val="22"/>
    </w:rPr>
  </w:style>
  <w:style w:type="paragraph" w:customStyle="1" w:styleId="Bulletlevel2numbered">
    <w:name w:val="Bullet level 2 numbered"/>
    <w:basedOn w:val="Bulletlevel1numbered"/>
    <w:qFormat/>
    <w:rsid w:val="00D7056C"/>
    <w:pPr>
      <w:numPr>
        <w:ilvl w:val="1"/>
      </w:numPr>
    </w:pPr>
    <w:rPr>
      <w:rFonts w:eastAsia="Times"/>
    </w:rPr>
  </w:style>
  <w:style w:type="paragraph" w:styleId="TableofFigures">
    <w:name w:val="table of figures"/>
    <w:basedOn w:val="TOC1"/>
    <w:next w:val="BodyText"/>
    <w:uiPriority w:val="99"/>
    <w:qFormat/>
    <w:rsid w:val="000C2DCE"/>
  </w:style>
  <w:style w:type="numbering" w:styleId="111111">
    <w:name w:val="Outline List 2"/>
    <w:basedOn w:val="NoList"/>
    <w:semiHidden/>
    <w:locked/>
    <w:rsid w:val="000C2DCE"/>
    <w:pPr>
      <w:numPr>
        <w:numId w:val="6"/>
      </w:numPr>
    </w:pPr>
  </w:style>
  <w:style w:type="numbering" w:styleId="1ai">
    <w:name w:val="Outline List 1"/>
    <w:basedOn w:val="NoList"/>
    <w:semiHidden/>
    <w:locked/>
    <w:rsid w:val="000C2DCE"/>
    <w:pPr>
      <w:numPr>
        <w:numId w:val="7"/>
      </w:numPr>
    </w:pPr>
  </w:style>
  <w:style w:type="numbering" w:styleId="ArticleSection">
    <w:name w:val="Outline List 3"/>
    <w:basedOn w:val="NoList"/>
    <w:semiHidden/>
    <w:locked/>
    <w:rsid w:val="000C2DCE"/>
    <w:pPr>
      <w:numPr>
        <w:numId w:val="8"/>
      </w:numPr>
    </w:pPr>
  </w:style>
  <w:style w:type="character" w:styleId="HTMLAcronym">
    <w:name w:val="HTML Acronym"/>
    <w:aliases w:val="HA-DO NOT USE"/>
    <w:semiHidden/>
    <w:locked/>
    <w:rsid w:val="000C2DCE"/>
  </w:style>
  <w:style w:type="character" w:styleId="HTMLCite">
    <w:name w:val="HTML Cite"/>
    <w:aliases w:val="HCi-DO NOT USE"/>
    <w:semiHidden/>
    <w:locked/>
    <w:rsid w:val="000C2DCE"/>
  </w:style>
  <w:style w:type="character" w:styleId="HTMLCode">
    <w:name w:val="HTML Code"/>
    <w:aliases w:val="HC-DO NOT USE"/>
    <w:semiHidden/>
    <w:locked/>
    <w:rsid w:val="000C2DCE"/>
  </w:style>
  <w:style w:type="character" w:styleId="HTMLDefinition">
    <w:name w:val="HTML Definition"/>
    <w:aliases w:val="HD-DO NOT USE"/>
    <w:semiHidden/>
    <w:locked/>
    <w:rsid w:val="000C2DCE"/>
  </w:style>
  <w:style w:type="character" w:styleId="HTMLKeyboard">
    <w:name w:val="HTML Keyboard"/>
    <w:aliases w:val="HK-DO NOT USE"/>
    <w:semiHidden/>
    <w:locked/>
    <w:rsid w:val="000C2DCE"/>
  </w:style>
  <w:style w:type="character" w:styleId="HTMLSample">
    <w:name w:val="HTML Sample"/>
    <w:aliases w:val="HS-DO NOT USE"/>
    <w:semiHidden/>
    <w:locked/>
    <w:rsid w:val="000C2DCE"/>
  </w:style>
  <w:style w:type="character" w:styleId="HTMLTypewriter">
    <w:name w:val="HTML Typewriter"/>
    <w:aliases w:val="HT-DO NOT USE"/>
    <w:semiHidden/>
    <w:locked/>
    <w:rsid w:val="000C2DCE"/>
  </w:style>
  <w:style w:type="character" w:styleId="HTMLVariable">
    <w:name w:val="HTML Variable"/>
    <w:aliases w:val="HV-DO NOT USE"/>
    <w:semiHidden/>
    <w:locked/>
    <w:rsid w:val="000C2DCE"/>
  </w:style>
  <w:style w:type="character" w:styleId="LineNumber">
    <w:name w:val="line number"/>
    <w:aliases w:val="LN-DO NOT USE"/>
    <w:semiHidden/>
    <w:locked/>
    <w:rsid w:val="000C2DCE"/>
  </w:style>
  <w:style w:type="table" w:styleId="Table3Deffects2">
    <w:name w:val="Table 3D effects 2"/>
    <w:basedOn w:val="TableNormal"/>
    <w:semiHidden/>
    <w:locked/>
    <w:rsid w:val="000C2DCE"/>
    <w:pPr>
      <w:spacing w:before="180" w:after="180"/>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0C2DCE"/>
    <w:pPr>
      <w:spacing w:before="180" w:after="180"/>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0C2DCE"/>
    <w:pPr>
      <w:spacing w:before="180" w:after="18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0C2DCE"/>
    <w:pPr>
      <w:spacing w:before="180" w:after="180"/>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0C2DCE"/>
    <w:pPr>
      <w:spacing w:before="180" w:after="180"/>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0C2DCE"/>
    <w:pPr>
      <w:spacing w:before="180" w:after="180"/>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0C2DCE"/>
    <w:pPr>
      <w:spacing w:before="180" w:after="180"/>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0C2DCE"/>
    <w:pPr>
      <w:spacing w:before="180" w:after="180"/>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0C2DCE"/>
    <w:pPr>
      <w:spacing w:before="180" w:after="180"/>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0C2DCE"/>
    <w:pPr>
      <w:spacing w:before="180" w:after="180"/>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0C2DCE"/>
    <w:pPr>
      <w:spacing w:before="180" w:after="180"/>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0C2DCE"/>
    <w:pPr>
      <w:spacing w:before="180" w:after="180"/>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0C2DCE"/>
    <w:pPr>
      <w:spacing w:before="180" w:after="180"/>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0C2DCE"/>
    <w:pPr>
      <w:spacing w:before="180" w:after="180"/>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0C2DCE"/>
    <w:pPr>
      <w:spacing w:before="180" w:after="180"/>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0C2DCE"/>
    <w:pPr>
      <w:spacing w:before="180" w:after="180"/>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0C2DCE"/>
    <w:pPr>
      <w:spacing w:before="180" w:after="1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0C2DCE"/>
    <w:pPr>
      <w:spacing w:before="180" w:after="18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0C2DCE"/>
    <w:pPr>
      <w:spacing w:before="180" w:after="180"/>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0C2DCE"/>
    <w:pPr>
      <w:spacing w:before="180" w:after="180"/>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0C2DCE"/>
    <w:pPr>
      <w:spacing w:before="180" w:after="180"/>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0C2DCE"/>
    <w:pPr>
      <w:spacing w:before="180" w:after="1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0C2DCE"/>
    <w:pPr>
      <w:spacing w:before="180" w:after="180"/>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0C2DCE"/>
    <w:pPr>
      <w:spacing w:before="180" w:after="180"/>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0C2DCE"/>
    <w:pPr>
      <w:spacing w:before="180" w:after="180"/>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0C2DCE"/>
    <w:pPr>
      <w:spacing w:before="180" w:after="180"/>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0C2DCE"/>
    <w:pPr>
      <w:spacing w:before="180" w:after="180"/>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0C2DCE"/>
    <w:pPr>
      <w:spacing w:before="180" w:after="180"/>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0C2DCE"/>
    <w:pPr>
      <w:spacing w:before="180" w:after="180"/>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0C2DCE"/>
    <w:pPr>
      <w:spacing w:before="180" w:after="180"/>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0C2DCE"/>
    <w:pPr>
      <w:spacing w:before="180" w:after="180"/>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0C2DCE"/>
    <w:pPr>
      <w:spacing w:before="180" w:after="180"/>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0C2DCE"/>
    <w:pPr>
      <w:spacing w:before="180" w:after="180"/>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0C2DCE"/>
    <w:pPr>
      <w:spacing w:before="180" w:after="180"/>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0C2DCE"/>
    <w:pPr>
      <w:spacing w:before="180" w:after="180"/>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0C2DCE"/>
    <w:pPr>
      <w:spacing w:before="180" w:after="180"/>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0C2DCE"/>
    <w:pPr>
      <w:spacing w:before="180" w:after="180"/>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0C2DCE"/>
    <w:pPr>
      <w:spacing w:before="180" w:after="180"/>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0C2DCE"/>
    <w:pPr>
      <w:spacing w:before="180" w:after="180"/>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0C2DCE"/>
    <w:pPr>
      <w:spacing w:before="180" w:after="1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0C2DCE"/>
    <w:pPr>
      <w:spacing w:before="180" w:after="180"/>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0C2DCE"/>
    <w:pPr>
      <w:spacing w:before="180" w:after="180"/>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0C2DCE"/>
    <w:pPr>
      <w:spacing w:before="180" w:after="180"/>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StyleGAHeaderRow">
    <w:name w:val="Table Style GA Header Row"/>
    <w:basedOn w:val="TableNormal"/>
    <w:rsid w:val="003726DC"/>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character" w:customStyle="1" w:styleId="Superscript">
    <w:name w:val="Superscript"/>
    <w:basedOn w:val="DefaultParagraphFont"/>
    <w:qFormat/>
    <w:rsid w:val="000C2DCE"/>
    <w:rPr>
      <w:position w:val="0"/>
      <w:vertAlign w:val="superscript"/>
    </w:rPr>
  </w:style>
  <w:style w:type="character" w:customStyle="1" w:styleId="Subscript">
    <w:name w:val="Subscript"/>
    <w:basedOn w:val="DefaultParagraphFont"/>
    <w:qFormat/>
    <w:rsid w:val="000C2DCE"/>
    <w:rPr>
      <w:position w:val="-4"/>
      <w:vertAlign w:val="subscript"/>
    </w:rPr>
  </w:style>
  <w:style w:type="paragraph" w:styleId="BalloonText">
    <w:name w:val="Balloon Text"/>
    <w:aliases w:val="B6-DO NOT USE"/>
    <w:basedOn w:val="BodyTextIndent3"/>
    <w:link w:val="BalloonTextChar"/>
    <w:semiHidden/>
    <w:locked/>
    <w:rsid w:val="000C2DCE"/>
  </w:style>
  <w:style w:type="character" w:customStyle="1" w:styleId="BalloonTextChar">
    <w:name w:val="Balloon Text Char"/>
    <w:aliases w:val="B6-DO NOT USE Char"/>
    <w:basedOn w:val="DefaultParagraphFont"/>
    <w:link w:val="BalloonText"/>
    <w:semiHidden/>
    <w:rsid w:val="000C2DCE"/>
    <w:rPr>
      <w:rFonts w:cs="Arial"/>
    </w:rPr>
  </w:style>
  <w:style w:type="character" w:customStyle="1" w:styleId="FooterChar">
    <w:name w:val="Footer Char"/>
    <w:basedOn w:val="DefaultParagraphFont"/>
    <w:link w:val="Footer"/>
    <w:rsid w:val="000C2DCE"/>
    <w:rPr>
      <w:rFonts w:ascii="Arial Bold" w:hAnsi="Arial Bold" w:cs="Arial"/>
      <w:b/>
      <w:sz w:val="16"/>
      <w:szCs w:val="16"/>
    </w:rPr>
  </w:style>
  <w:style w:type="table" w:styleId="LightShading-Accent5">
    <w:name w:val="Light Shading Accent 5"/>
    <w:basedOn w:val="TableNormal"/>
    <w:uiPriority w:val="60"/>
    <w:locked/>
    <w:rsid w:val="000C2DCE"/>
    <w:pPr>
      <w:spacing w:before="180" w:after="18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0C2DCE"/>
    <w:pPr>
      <w:spacing w:before="180" w:after="18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0C2DCE"/>
    <w:pPr>
      <w:spacing w:before="180" w:after="18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0C2DCE"/>
    <w:pPr>
      <w:spacing w:before="180" w:after="18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0C2DCE"/>
    <w:pPr>
      <w:spacing w:before="180" w:after="18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0C2DCE"/>
    <w:pPr>
      <w:spacing w:before="180" w:after="18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0C2DCE"/>
    <w:pPr>
      <w:spacing w:before="180" w:after="18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0C2DCE"/>
    <w:pPr>
      <w:spacing w:before="0" w:after="600"/>
      <w:outlineLvl w:val="1"/>
    </w:pPr>
    <w:rPr>
      <w:sz w:val="32"/>
      <w:szCs w:val="36"/>
    </w:rPr>
  </w:style>
  <w:style w:type="character" w:customStyle="1" w:styleId="DocumentsubtitleChar">
    <w:name w:val="Document subtitle Char"/>
    <w:basedOn w:val="DefaultParagraphFont"/>
    <w:link w:val="Documentsubtitle"/>
    <w:rsid w:val="000C2DCE"/>
    <w:rPr>
      <w:rFonts w:eastAsia="Times New Roman"/>
      <w:sz w:val="32"/>
      <w:szCs w:val="36"/>
    </w:rPr>
  </w:style>
  <w:style w:type="paragraph" w:styleId="Bibliography">
    <w:name w:val="Bibliography"/>
    <w:next w:val="BodyText"/>
    <w:uiPriority w:val="37"/>
    <w:locked/>
    <w:rsid w:val="000C2DCE"/>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Caption">
    <w:name w:val="caption"/>
    <w:next w:val="BodyText"/>
    <w:qFormat/>
    <w:rsid w:val="000C2DCE"/>
    <w:pPr>
      <w:spacing w:before="120" w:after="480" w:line="200" w:lineRule="atLeast"/>
    </w:pPr>
    <w:rPr>
      <w:rFonts w:eastAsia="Times New Roman" w:cs="Arial"/>
      <w:i/>
      <w:sz w:val="18"/>
      <w:szCs w:val="18"/>
    </w:rPr>
  </w:style>
  <w:style w:type="paragraph" w:styleId="CommentSubject">
    <w:name w:val="annotation subject"/>
    <w:aliases w:val="CS-DO NOT USE"/>
    <w:link w:val="CommentSubjectChar"/>
    <w:semiHidden/>
    <w:locked/>
    <w:rsid w:val="000C2DCE"/>
    <w:pPr>
      <w:spacing w:before="180" w:after="180"/>
    </w:pPr>
    <w:rPr>
      <w:rFonts w:cs="Arial"/>
    </w:rPr>
  </w:style>
  <w:style w:type="character" w:customStyle="1" w:styleId="CommentSubjectChar">
    <w:name w:val="Comment Subject Char"/>
    <w:aliases w:val="CS-DO NOT USE Char"/>
    <w:basedOn w:val="DefaultParagraphFont"/>
    <w:link w:val="CommentSubject"/>
    <w:semiHidden/>
    <w:rsid w:val="000C2DCE"/>
    <w:rPr>
      <w:rFonts w:cs="Arial"/>
    </w:rPr>
  </w:style>
  <w:style w:type="paragraph" w:styleId="DocumentMap">
    <w:name w:val="Document Map"/>
    <w:aliases w:val="DM-DO NOT USE"/>
    <w:link w:val="DocumentMapChar"/>
    <w:semiHidden/>
    <w:locked/>
    <w:rsid w:val="000C2DCE"/>
    <w:pPr>
      <w:spacing w:before="180" w:after="180"/>
    </w:pPr>
    <w:rPr>
      <w:rFonts w:cs="Arial"/>
    </w:rPr>
  </w:style>
  <w:style w:type="character" w:customStyle="1" w:styleId="DocumentMapChar">
    <w:name w:val="Document Map Char"/>
    <w:aliases w:val="DM-DO NOT USE Char"/>
    <w:basedOn w:val="DefaultParagraphFont"/>
    <w:link w:val="DocumentMap"/>
    <w:semiHidden/>
    <w:rsid w:val="000C2DCE"/>
    <w:rPr>
      <w:rFonts w:cs="Arial"/>
    </w:rPr>
  </w:style>
  <w:style w:type="paragraph" w:styleId="FootnoteText">
    <w:name w:val="footnote text"/>
    <w:link w:val="FootnoteTextChar"/>
    <w:locked/>
    <w:rsid w:val="000C2DCE"/>
    <w:pPr>
      <w:tabs>
        <w:tab w:val="left" w:pos="284"/>
      </w:tabs>
      <w:spacing w:before="30" w:line="240" w:lineRule="auto"/>
      <w:ind w:left="113" w:hanging="113"/>
    </w:pPr>
    <w:rPr>
      <w:rFonts w:cs="Arial"/>
      <w:sz w:val="16"/>
    </w:rPr>
  </w:style>
  <w:style w:type="character" w:customStyle="1" w:styleId="FootnoteTextChar">
    <w:name w:val="Footnote Text Char"/>
    <w:basedOn w:val="DefaultParagraphFont"/>
    <w:link w:val="FootnoteText"/>
    <w:rsid w:val="000C2DCE"/>
    <w:rPr>
      <w:rFonts w:cs="Arial"/>
      <w:sz w:val="16"/>
    </w:rPr>
  </w:style>
  <w:style w:type="paragraph" w:styleId="Index1">
    <w:name w:val="index 1"/>
    <w:basedOn w:val="Normal"/>
    <w:next w:val="Normal"/>
    <w:autoRedefine/>
    <w:semiHidden/>
    <w:locked/>
    <w:rsid w:val="000C2DCE"/>
    <w:pPr>
      <w:spacing w:line="240" w:lineRule="auto"/>
      <w:ind w:left="200" w:hanging="200"/>
    </w:pPr>
  </w:style>
  <w:style w:type="paragraph" w:styleId="Index2">
    <w:name w:val="index 2"/>
    <w:basedOn w:val="Normal"/>
    <w:next w:val="Normal"/>
    <w:autoRedefine/>
    <w:semiHidden/>
    <w:locked/>
    <w:rsid w:val="000C2DCE"/>
    <w:pPr>
      <w:spacing w:line="240" w:lineRule="auto"/>
      <w:ind w:left="400" w:hanging="200"/>
    </w:pPr>
  </w:style>
  <w:style w:type="paragraph" w:styleId="Index3">
    <w:name w:val="index 3"/>
    <w:basedOn w:val="Normal"/>
    <w:next w:val="Normal"/>
    <w:autoRedefine/>
    <w:semiHidden/>
    <w:locked/>
    <w:rsid w:val="000C2DCE"/>
    <w:pPr>
      <w:spacing w:line="240" w:lineRule="auto"/>
      <w:ind w:left="600" w:hanging="200"/>
    </w:pPr>
  </w:style>
  <w:style w:type="paragraph" w:styleId="Index4">
    <w:name w:val="index 4"/>
    <w:basedOn w:val="Normal"/>
    <w:next w:val="Normal"/>
    <w:autoRedefine/>
    <w:semiHidden/>
    <w:locked/>
    <w:rsid w:val="000C2DCE"/>
    <w:pPr>
      <w:spacing w:line="240" w:lineRule="auto"/>
      <w:ind w:left="800" w:hanging="200"/>
    </w:pPr>
  </w:style>
  <w:style w:type="paragraph" w:styleId="Index5">
    <w:name w:val="index 5"/>
    <w:basedOn w:val="Normal"/>
    <w:next w:val="Normal"/>
    <w:autoRedefine/>
    <w:semiHidden/>
    <w:locked/>
    <w:rsid w:val="000C2DCE"/>
    <w:pPr>
      <w:spacing w:line="240" w:lineRule="auto"/>
      <w:ind w:left="1000" w:hanging="200"/>
    </w:pPr>
  </w:style>
  <w:style w:type="paragraph" w:styleId="Index6">
    <w:name w:val="index 6"/>
    <w:basedOn w:val="Normal"/>
    <w:next w:val="Normal"/>
    <w:autoRedefine/>
    <w:semiHidden/>
    <w:locked/>
    <w:rsid w:val="000C2DCE"/>
    <w:pPr>
      <w:spacing w:line="240" w:lineRule="auto"/>
      <w:ind w:left="1200" w:hanging="200"/>
    </w:pPr>
  </w:style>
  <w:style w:type="paragraph" w:styleId="Index7">
    <w:name w:val="index 7"/>
    <w:basedOn w:val="Normal"/>
    <w:next w:val="Normal"/>
    <w:autoRedefine/>
    <w:semiHidden/>
    <w:locked/>
    <w:rsid w:val="000C2DCE"/>
    <w:pPr>
      <w:spacing w:line="240" w:lineRule="auto"/>
      <w:ind w:left="1400" w:hanging="200"/>
    </w:pPr>
  </w:style>
  <w:style w:type="paragraph" w:styleId="Index8">
    <w:name w:val="index 8"/>
    <w:basedOn w:val="Normal"/>
    <w:next w:val="Normal"/>
    <w:autoRedefine/>
    <w:semiHidden/>
    <w:locked/>
    <w:rsid w:val="000C2DCE"/>
    <w:pPr>
      <w:spacing w:line="240" w:lineRule="auto"/>
      <w:ind w:left="1600" w:hanging="200"/>
    </w:pPr>
  </w:style>
  <w:style w:type="paragraph" w:styleId="Index9">
    <w:name w:val="index 9"/>
    <w:basedOn w:val="Normal"/>
    <w:next w:val="Normal"/>
    <w:autoRedefine/>
    <w:semiHidden/>
    <w:locked/>
    <w:rsid w:val="000C2DCE"/>
    <w:pPr>
      <w:spacing w:line="240" w:lineRule="auto"/>
      <w:ind w:left="1800" w:hanging="200"/>
    </w:pPr>
  </w:style>
  <w:style w:type="paragraph" w:styleId="IndexHeading">
    <w:name w:val="index heading"/>
    <w:aliases w:val="IH-DO NOT USE"/>
    <w:basedOn w:val="IntenseQuote"/>
    <w:next w:val="Index1"/>
    <w:semiHidden/>
    <w:locked/>
    <w:rsid w:val="000C2DCE"/>
  </w:style>
  <w:style w:type="paragraph" w:styleId="ListParagraph">
    <w:name w:val="List Paragraph"/>
    <w:aliases w:val="LP-DO NOT USE"/>
    <w:basedOn w:val="MacroText"/>
    <w:uiPriority w:val="34"/>
    <w:semiHidden/>
    <w:qFormat/>
    <w:locked/>
    <w:rsid w:val="000C2DCE"/>
  </w:style>
  <w:style w:type="paragraph" w:styleId="MacroText">
    <w:name w:val="macro"/>
    <w:aliases w:val="MT-DO NOT USE"/>
    <w:basedOn w:val="MessageHeader"/>
    <w:link w:val="MacroTextChar"/>
    <w:semiHidden/>
    <w:locked/>
    <w:rsid w:val="000C2DCE"/>
  </w:style>
  <w:style w:type="character" w:customStyle="1" w:styleId="MacroTextChar">
    <w:name w:val="Macro Text Char"/>
    <w:aliases w:val="MT-DO NOT USE Char"/>
    <w:basedOn w:val="DefaultParagraphFont"/>
    <w:link w:val="MacroText"/>
    <w:semiHidden/>
    <w:rsid w:val="000C2DCE"/>
    <w:rPr>
      <w:rFonts w:cs="Arial"/>
    </w:rPr>
  </w:style>
  <w:style w:type="paragraph" w:styleId="NoSpacing">
    <w:name w:val="No Spacing"/>
    <w:aliases w:val="NS-DO NOT USE"/>
    <w:uiPriority w:val="1"/>
    <w:semiHidden/>
    <w:qFormat/>
    <w:locked/>
    <w:rsid w:val="000C2DCE"/>
    <w:pPr>
      <w:spacing w:before="180" w:after="180" w:line="240" w:lineRule="auto"/>
    </w:pPr>
  </w:style>
  <w:style w:type="paragraph" w:styleId="Quote">
    <w:name w:val="Quote"/>
    <w:aliases w:val="Q-DO NOT USE"/>
    <w:next w:val="Normal"/>
    <w:link w:val="QuoteChar"/>
    <w:uiPriority w:val="29"/>
    <w:semiHidden/>
    <w:qFormat/>
    <w:locked/>
    <w:rsid w:val="000C2DCE"/>
    <w:pPr>
      <w:spacing w:before="180" w:after="180"/>
    </w:pPr>
    <w:rPr>
      <w:rFonts w:cs="Arial"/>
    </w:rPr>
  </w:style>
  <w:style w:type="character" w:customStyle="1" w:styleId="QuoteChar">
    <w:name w:val="Quote Char"/>
    <w:aliases w:val="Q-DO NOT USE Char"/>
    <w:basedOn w:val="DefaultParagraphFont"/>
    <w:link w:val="Quote"/>
    <w:uiPriority w:val="29"/>
    <w:semiHidden/>
    <w:rsid w:val="000C2DCE"/>
    <w:rPr>
      <w:rFonts w:cs="Arial"/>
    </w:rPr>
  </w:style>
  <w:style w:type="paragraph" w:styleId="TOAHeading">
    <w:name w:val="toa heading"/>
    <w:next w:val="Normal"/>
    <w:uiPriority w:val="99"/>
    <w:semiHidden/>
    <w:locked/>
    <w:rsid w:val="000C2DCE"/>
    <w:pPr>
      <w:spacing w:before="120" w:after="180"/>
    </w:pPr>
    <w:rPr>
      <w:rFonts w:eastAsiaTheme="majorEastAsia" w:cstheme="majorBidi"/>
      <w:bCs/>
      <w:szCs w:val="24"/>
    </w:rPr>
  </w:style>
  <w:style w:type="paragraph" w:styleId="TOC7">
    <w:name w:val="toc 7"/>
    <w:basedOn w:val="Normal"/>
    <w:next w:val="Normal"/>
    <w:autoRedefine/>
    <w:semiHidden/>
    <w:locked/>
    <w:rsid w:val="000C2DCE"/>
    <w:pPr>
      <w:spacing w:after="100"/>
      <w:ind w:left="1200"/>
    </w:pPr>
  </w:style>
  <w:style w:type="paragraph" w:styleId="TOC8">
    <w:name w:val="toc 8"/>
    <w:basedOn w:val="Normal"/>
    <w:next w:val="Normal"/>
    <w:autoRedefine/>
    <w:semiHidden/>
    <w:locked/>
    <w:rsid w:val="000C2DCE"/>
    <w:pPr>
      <w:spacing w:after="100"/>
      <w:ind w:left="1400"/>
    </w:pPr>
  </w:style>
  <w:style w:type="paragraph" w:styleId="TOC9">
    <w:name w:val="toc 9"/>
    <w:basedOn w:val="Normal"/>
    <w:next w:val="Normal"/>
    <w:autoRedefine/>
    <w:semiHidden/>
    <w:locked/>
    <w:rsid w:val="000C2DCE"/>
    <w:pPr>
      <w:spacing w:after="100"/>
      <w:ind w:left="1600"/>
    </w:pPr>
  </w:style>
  <w:style w:type="numbering" w:customStyle="1" w:styleId="HeadingsNumbered">
    <w:name w:val="Headings Numbered"/>
    <w:uiPriority w:val="99"/>
    <w:rsid w:val="005917E1"/>
    <w:pPr>
      <w:numPr>
        <w:numId w:val="5"/>
      </w:numPr>
    </w:pPr>
  </w:style>
  <w:style w:type="numbering" w:customStyle="1" w:styleId="BulletsNumbered">
    <w:name w:val="Bullets Numbered"/>
    <w:uiPriority w:val="99"/>
    <w:rsid w:val="005917E1"/>
    <w:pPr>
      <w:numPr>
        <w:numId w:val="4"/>
      </w:numPr>
    </w:pPr>
  </w:style>
  <w:style w:type="numbering" w:customStyle="1" w:styleId="Bullets">
    <w:name w:val="Bullets"/>
    <w:uiPriority w:val="99"/>
    <w:rsid w:val="005917E1"/>
    <w:pPr>
      <w:numPr>
        <w:numId w:val="1"/>
      </w:numPr>
    </w:pPr>
  </w:style>
  <w:style w:type="paragraph" w:customStyle="1" w:styleId="Tableheadingcentred">
    <w:name w:val="Table heading centred"/>
    <w:basedOn w:val="Tableheadingleft"/>
    <w:next w:val="BodyText"/>
    <w:rsid w:val="000C2DCE"/>
    <w:pPr>
      <w:jc w:val="center"/>
    </w:pPr>
  </w:style>
  <w:style w:type="paragraph" w:customStyle="1" w:styleId="Tableheadingright">
    <w:name w:val="Table heading right"/>
    <w:basedOn w:val="Tableheadingcentred"/>
    <w:next w:val="BodyText"/>
    <w:rsid w:val="000C2DCE"/>
    <w:pPr>
      <w:jc w:val="right"/>
    </w:pPr>
  </w:style>
  <w:style w:type="paragraph" w:customStyle="1" w:styleId="Tabletextcentred">
    <w:name w:val="Table text centred"/>
    <w:basedOn w:val="Tabletextleft"/>
    <w:next w:val="BodyText"/>
    <w:qFormat/>
    <w:rsid w:val="000C2DCE"/>
    <w:pPr>
      <w:jc w:val="center"/>
    </w:pPr>
  </w:style>
  <w:style w:type="paragraph" w:customStyle="1" w:styleId="Tabletextright">
    <w:name w:val="Table text right"/>
    <w:basedOn w:val="Tabletextcentred"/>
    <w:next w:val="BodyText"/>
    <w:qFormat/>
    <w:rsid w:val="000C2DCE"/>
    <w:pPr>
      <w:jc w:val="right"/>
    </w:pPr>
  </w:style>
  <w:style w:type="character" w:customStyle="1" w:styleId="Subscriptitalic">
    <w:name w:val="Subscript italic"/>
    <w:basedOn w:val="Subscript"/>
    <w:qFormat/>
    <w:rsid w:val="000C2DCE"/>
    <w:rPr>
      <w:i/>
      <w:iCs/>
      <w:position w:val="-4"/>
      <w:vertAlign w:val="subscript"/>
    </w:rPr>
  </w:style>
  <w:style w:type="character" w:customStyle="1" w:styleId="SuperscriptItalic">
    <w:name w:val="Superscript Italic"/>
    <w:basedOn w:val="Superscript"/>
    <w:qFormat/>
    <w:rsid w:val="000C2DCE"/>
    <w:rPr>
      <w:i/>
      <w:iCs/>
      <w:position w:val="0"/>
      <w:vertAlign w:val="superscript"/>
    </w:rPr>
  </w:style>
  <w:style w:type="numbering" w:customStyle="1" w:styleId="Bulletnew">
    <w:name w:val="Bullet new"/>
    <w:basedOn w:val="Bullets"/>
    <w:uiPriority w:val="99"/>
    <w:rsid w:val="005917E1"/>
    <w:pPr>
      <w:numPr>
        <w:numId w:val="2"/>
      </w:numPr>
    </w:pPr>
  </w:style>
  <w:style w:type="table" w:customStyle="1" w:styleId="TableStyleGANoHeaders">
    <w:name w:val="Table Style GA No Headers"/>
    <w:basedOn w:val="TableStyleGAHeaderRow"/>
    <w:uiPriority w:val="99"/>
    <w:rsid w:val="003726DC"/>
    <w:pPr>
      <w:spacing w:line="240" w:lineRule="auto"/>
    </w:p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qFormat/>
    <w:rsid w:val="003726DC"/>
    <w:pPr>
      <w:jc w:val="center"/>
    </w:pPr>
  </w:style>
  <w:style w:type="paragraph" w:customStyle="1" w:styleId="Authors">
    <w:name w:val="Authors"/>
    <w:basedOn w:val="BodyText"/>
    <w:next w:val="Figuresandimagesleft0"/>
    <w:qFormat/>
    <w:rsid w:val="00FA75CE"/>
    <w:pPr>
      <w:spacing w:after="6600"/>
    </w:pPr>
  </w:style>
  <w:style w:type="table" w:styleId="MediumShading1">
    <w:name w:val="Medium Shading 1"/>
    <w:basedOn w:val="TableNormal"/>
    <w:uiPriority w:val="63"/>
    <w:locked/>
    <w:rsid w:val="000C2DCE"/>
    <w:pPr>
      <w:spacing w:before="180" w:after="18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locked/>
    <w:rsid w:val="000C2DCE"/>
    <w:pPr>
      <w:spacing w:before="180" w:after="18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StyleGAHeaderRowColumn">
    <w:name w:val="Table Style GA Header Row &amp; Column"/>
    <w:basedOn w:val="TableNormal"/>
    <w:uiPriority w:val="99"/>
    <w:rsid w:val="003726DC"/>
    <w:pPr>
      <w:spacing w:line="240" w:lineRule="auto"/>
    </w:pPr>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color w:val="FFFFFF"/>
      </w:rPr>
      <w:tblPr/>
      <w:tcPr>
        <w:shd w:val="clear" w:color="auto" w:fill="FFFFFF"/>
      </w:tcPr>
    </w:tblStylePr>
  </w:style>
  <w:style w:type="paragraph" w:customStyle="1" w:styleId="Footerlandscape">
    <w:name w:val="Footer landscape"/>
    <w:basedOn w:val="Footer"/>
    <w:qFormat/>
    <w:rsid w:val="000C2DCE"/>
    <w:pPr>
      <w:tabs>
        <w:tab w:val="clear" w:pos="9072"/>
        <w:tab w:val="right" w:pos="14005"/>
      </w:tabs>
    </w:pPr>
  </w:style>
  <w:style w:type="table" w:customStyle="1" w:styleId="TableStyleGAHeaderColumn">
    <w:name w:val="Table Style GA Header Column"/>
    <w:basedOn w:val="TableStyleGAHeaderRowColumn"/>
    <w:uiPriority w:val="99"/>
    <w:rsid w:val="003726DC"/>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0C2DCE"/>
    <w:pPr>
      <w:pageBreakBefore/>
      <w:spacing w:line="240" w:lineRule="atLeast"/>
    </w:pPr>
    <w:rPr>
      <w:rFonts w:cs="Arial"/>
      <w:b/>
      <w:kern w:val="28"/>
    </w:rPr>
  </w:style>
  <w:style w:type="character" w:customStyle="1" w:styleId="Bold">
    <w:name w:val="Bold"/>
    <w:basedOn w:val="DefaultParagraphFont"/>
    <w:qFormat/>
    <w:rsid w:val="000C2DCE"/>
    <w:rPr>
      <w:b/>
    </w:rPr>
  </w:style>
  <w:style w:type="character" w:customStyle="1" w:styleId="Italic">
    <w:name w:val="Italic"/>
    <w:basedOn w:val="DefaultParagraphFont"/>
    <w:qFormat/>
    <w:rsid w:val="000C2DCE"/>
    <w:rPr>
      <w:i/>
    </w:rPr>
  </w:style>
  <w:style w:type="character" w:customStyle="1" w:styleId="ReferencesItalic">
    <w:name w:val="References Italic"/>
    <w:basedOn w:val="DefaultParagraphFont"/>
    <w:qFormat/>
    <w:rsid w:val="000C2DCE"/>
    <w:rPr>
      <w:i/>
    </w:rPr>
  </w:style>
  <w:style w:type="numbering" w:customStyle="1" w:styleId="BulletsGA">
    <w:name w:val="Bullets GA"/>
    <w:basedOn w:val="NoList"/>
    <w:uiPriority w:val="99"/>
    <w:rsid w:val="005917E1"/>
    <w:pPr>
      <w:numPr>
        <w:numId w:val="3"/>
      </w:numPr>
    </w:pPr>
  </w:style>
  <w:style w:type="paragraph" w:customStyle="1" w:styleId="FooterlandscapeA3">
    <w:name w:val="Footer landscape A3"/>
    <w:basedOn w:val="Footerlandscape"/>
    <w:qFormat/>
    <w:rsid w:val="000C2DCE"/>
    <w:pPr>
      <w:tabs>
        <w:tab w:val="clear" w:pos="14005"/>
        <w:tab w:val="right" w:pos="20979"/>
      </w:tabs>
    </w:pPr>
  </w:style>
  <w:style w:type="paragraph" w:customStyle="1" w:styleId="Bodytextnolinespacing">
    <w:name w:val="Body text no line spacing"/>
    <w:basedOn w:val="BodyText"/>
    <w:link w:val="BodytextnolinespacingChar"/>
    <w:rsid w:val="00CE52F5"/>
    <w:pPr>
      <w:spacing w:before="0" w:after="0"/>
    </w:pPr>
  </w:style>
  <w:style w:type="character" w:customStyle="1" w:styleId="BodytextnolinespacingChar">
    <w:name w:val="Body text no line spacing Char"/>
    <w:basedOn w:val="BodyTextChar"/>
    <w:link w:val="Bodytextnolinespacing"/>
    <w:rsid w:val="00CE52F5"/>
    <w:rPr>
      <w:rFonts w:ascii="Palatino Linotype" w:hAnsi="Palatino Linotype" w:cs="Arial"/>
      <w:sz w:val="22"/>
    </w:rPr>
  </w:style>
  <w:style w:type="paragraph" w:customStyle="1" w:styleId="VersoBold">
    <w:name w:val="Verso Bold"/>
    <w:basedOn w:val="BodyText"/>
    <w:next w:val="BodyText"/>
    <w:rsid w:val="000C2DCE"/>
    <w:pPr>
      <w:spacing w:before="240" w:after="0"/>
    </w:pPr>
    <w:rPr>
      <w:b/>
      <w:kern w:val="28"/>
    </w:rPr>
  </w:style>
  <w:style w:type="table" w:customStyle="1" w:styleId="TableStyleGA">
    <w:name w:val="Table Style GA"/>
    <w:basedOn w:val="TableNormal"/>
    <w:rsid w:val="00CE52F5"/>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pPr>
      <w:rPr>
        <w:rFonts w:ascii="Arial" w:hAnsi="Arial"/>
        <w:b/>
        <w:color w:val="FFFFFF"/>
        <w:sz w:val="18"/>
      </w:rPr>
      <w:tblPr/>
      <w:trPr>
        <w:cantSplit w:val="0"/>
        <w:tblHeader/>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styleId="Header">
    <w:name w:val="header"/>
    <w:basedOn w:val="BodyText"/>
    <w:link w:val="HeaderChar"/>
    <w:semiHidden/>
    <w:locked/>
    <w:rsid w:val="000C2DCE"/>
    <w:pPr>
      <w:tabs>
        <w:tab w:val="center" w:pos="4320"/>
        <w:tab w:val="right" w:pos="8640"/>
      </w:tabs>
      <w:spacing w:before="0" w:after="0"/>
    </w:pPr>
    <w:rPr>
      <w:rFonts w:ascii="Arial Bold" w:hAnsi="Arial Bold"/>
      <w:b/>
      <w:sz w:val="16"/>
      <w:szCs w:val="16"/>
    </w:rPr>
  </w:style>
  <w:style w:type="character" w:customStyle="1" w:styleId="HeaderChar">
    <w:name w:val="Header Char"/>
    <w:basedOn w:val="DefaultParagraphFont"/>
    <w:link w:val="Header"/>
    <w:semiHidden/>
    <w:rsid w:val="000C2DCE"/>
    <w:rPr>
      <w:rFonts w:ascii="Arial Bold" w:hAnsi="Arial Bold" w:cs="Arial"/>
      <w:b/>
      <w:sz w:val="16"/>
      <w:szCs w:val="16"/>
    </w:rPr>
  </w:style>
  <w:style w:type="paragraph" w:customStyle="1" w:styleId="Contentsheading">
    <w:name w:val="Contents heading"/>
    <w:next w:val="BodyText"/>
    <w:semiHidden/>
    <w:locked/>
    <w:rsid w:val="005917E1"/>
    <w:pPr>
      <w:spacing w:before="180" w:after="960" w:line="240" w:lineRule="auto"/>
      <w:outlineLvl w:val="0"/>
    </w:pPr>
    <w:rPr>
      <w:rFonts w:eastAsia="Times New Roman"/>
      <w:sz w:val="40"/>
    </w:rPr>
  </w:style>
  <w:style w:type="paragraph" w:customStyle="1" w:styleId="Equation">
    <w:name w:val="Equation"/>
    <w:basedOn w:val="BodyText"/>
    <w:next w:val="BodyText"/>
    <w:uiPriority w:val="7"/>
    <w:qFormat/>
    <w:rsid w:val="000C2DCE"/>
    <w:pPr>
      <w:tabs>
        <w:tab w:val="right" w:pos="9072"/>
      </w:tabs>
      <w:spacing w:before="360" w:after="360"/>
      <w:ind w:left="567"/>
    </w:pPr>
    <w:rPr>
      <w:rFonts w:eastAsia="Times New Roman"/>
      <w:szCs w:val="24"/>
      <w:lang w:eastAsia="en-US"/>
    </w:rPr>
  </w:style>
  <w:style w:type="paragraph" w:customStyle="1" w:styleId="Figuresandimagesleft0">
    <w:name w:val="Figures and images left"/>
    <w:basedOn w:val="BodyText"/>
    <w:next w:val="BodyText"/>
    <w:link w:val="FiguresandimagesleftChar0"/>
    <w:qFormat/>
    <w:rsid w:val="000C2DCE"/>
    <w:pPr>
      <w:keepNext/>
      <w:spacing w:before="480" w:after="80" w:line="160" w:lineRule="atLeast"/>
    </w:pPr>
  </w:style>
  <w:style w:type="character" w:customStyle="1" w:styleId="FiguresandimagesleftChar0">
    <w:name w:val="Figures and images left Char"/>
    <w:basedOn w:val="BodyTextChar"/>
    <w:link w:val="Figuresandimagesleft0"/>
    <w:rsid w:val="000C2DCE"/>
    <w:rPr>
      <w:rFonts w:cs="Arial"/>
    </w:rPr>
  </w:style>
  <w:style w:type="paragraph" w:customStyle="1" w:styleId="Figuresandimagescentred0">
    <w:name w:val="Figures and images centred"/>
    <w:basedOn w:val="Figuresandimagesleft0"/>
    <w:next w:val="BodyText"/>
    <w:qFormat/>
    <w:rsid w:val="000C2DCE"/>
    <w:pPr>
      <w:jc w:val="center"/>
    </w:pPr>
  </w:style>
  <w:style w:type="paragraph" w:customStyle="1" w:styleId="Head1nonumbers">
    <w:name w:val="Head 1 no numbers"/>
    <w:next w:val="BodyText"/>
    <w:link w:val="Head1nonumbersChar"/>
    <w:qFormat/>
    <w:rsid w:val="000C2DCE"/>
    <w:pPr>
      <w:keepNext/>
      <w:keepLines/>
      <w:pageBreakBefore/>
      <w:spacing w:after="1080" w:line="240" w:lineRule="auto"/>
      <w:outlineLvl w:val="0"/>
    </w:pPr>
    <w:rPr>
      <w:rFonts w:cs="Arial"/>
      <w:kern w:val="28"/>
      <w:sz w:val="40"/>
    </w:rPr>
  </w:style>
  <w:style w:type="character" w:customStyle="1" w:styleId="Head1nonumbersChar">
    <w:name w:val="Head 1 no numbers Char"/>
    <w:basedOn w:val="Heading1Char"/>
    <w:link w:val="Head1nonumbers"/>
    <w:rsid w:val="000C2DCE"/>
    <w:rPr>
      <w:rFonts w:cs="Arial"/>
      <w:kern w:val="28"/>
      <w:sz w:val="40"/>
    </w:rPr>
  </w:style>
  <w:style w:type="paragraph" w:customStyle="1" w:styleId="Head2nonumbers">
    <w:name w:val="Head 2 no numbers"/>
    <w:basedOn w:val="Head1nonumbers"/>
    <w:next w:val="BodyText"/>
    <w:link w:val="Head2nonumbersChar"/>
    <w:qFormat/>
    <w:rsid w:val="000C2DCE"/>
    <w:pPr>
      <w:pageBreakBefore w:val="0"/>
      <w:numPr>
        <w:ilvl w:val="1"/>
      </w:numPr>
      <w:spacing w:before="480" w:after="180"/>
      <w:outlineLvl w:val="1"/>
    </w:pPr>
    <w:rPr>
      <w:sz w:val="30"/>
      <w:szCs w:val="28"/>
    </w:rPr>
  </w:style>
  <w:style w:type="character" w:customStyle="1" w:styleId="Head2nonumbersChar">
    <w:name w:val="Head 2 no numbers Char"/>
    <w:basedOn w:val="Head1nonumbersChar"/>
    <w:link w:val="Head2nonumbers"/>
    <w:rsid w:val="000C2DCE"/>
    <w:rPr>
      <w:rFonts w:cs="Arial"/>
      <w:kern w:val="28"/>
      <w:sz w:val="30"/>
      <w:szCs w:val="28"/>
    </w:rPr>
  </w:style>
  <w:style w:type="paragraph" w:customStyle="1" w:styleId="Head3nonumbers">
    <w:name w:val="Head 3 no numbers"/>
    <w:basedOn w:val="Head2nonumbers"/>
    <w:next w:val="BodyText"/>
    <w:link w:val="Head3nonumbersChar"/>
    <w:qFormat/>
    <w:rsid w:val="000C2DCE"/>
    <w:pPr>
      <w:numPr>
        <w:ilvl w:val="2"/>
      </w:numPr>
      <w:outlineLvl w:val="2"/>
    </w:pPr>
    <w:rPr>
      <w:rFonts w:cs="Lucida Sans Unicode"/>
      <w:b/>
      <w:sz w:val="24"/>
      <w:szCs w:val="24"/>
    </w:rPr>
  </w:style>
  <w:style w:type="character" w:customStyle="1" w:styleId="Head3nonumbersChar">
    <w:name w:val="Head 3 no numbers Char"/>
    <w:basedOn w:val="Head2nonumbersChar"/>
    <w:link w:val="Head3nonumbers"/>
    <w:rsid w:val="000C2DCE"/>
    <w:rPr>
      <w:rFonts w:cs="Lucida Sans Unicode"/>
      <w:b/>
      <w:kern w:val="28"/>
      <w:sz w:val="24"/>
      <w:szCs w:val="24"/>
    </w:rPr>
  </w:style>
  <w:style w:type="paragraph" w:customStyle="1" w:styleId="Head4nonumbers">
    <w:name w:val="Head 4 no numbers"/>
    <w:basedOn w:val="Head3nonumbers"/>
    <w:next w:val="BodyText"/>
    <w:link w:val="Head4nonumbersChar"/>
    <w:qFormat/>
    <w:rsid w:val="000C2DCE"/>
    <w:pPr>
      <w:numPr>
        <w:ilvl w:val="3"/>
      </w:numPr>
      <w:spacing w:before="180"/>
      <w:outlineLvl w:val="3"/>
    </w:pPr>
    <w:rPr>
      <w:i/>
      <w:sz w:val="22"/>
      <w:szCs w:val="22"/>
    </w:rPr>
  </w:style>
  <w:style w:type="character" w:customStyle="1" w:styleId="Head4nonumbersChar">
    <w:name w:val="Head 4 no numbers Char"/>
    <w:basedOn w:val="Heading4Char"/>
    <w:link w:val="Head4nonumbers"/>
    <w:rsid w:val="000C2DCE"/>
    <w:rPr>
      <w:rFonts w:cs="Lucida Sans Unicode"/>
      <w:b/>
      <w:i/>
      <w:kern w:val="28"/>
      <w:sz w:val="22"/>
      <w:szCs w:val="22"/>
    </w:rPr>
  </w:style>
  <w:style w:type="paragraph" w:customStyle="1" w:styleId="Head5nonumbers">
    <w:name w:val="Head 5 no numbers"/>
    <w:basedOn w:val="Head4nonumbers"/>
    <w:next w:val="BodyText"/>
    <w:qFormat/>
    <w:rsid w:val="000C2DCE"/>
    <w:pPr>
      <w:numPr>
        <w:ilvl w:val="4"/>
      </w:numPr>
      <w:outlineLvl w:val="4"/>
    </w:pPr>
    <w:rPr>
      <w:b w:val="0"/>
    </w:rPr>
  </w:style>
  <w:style w:type="paragraph" w:customStyle="1" w:styleId="Headingappendix1base">
    <w:name w:val="Heading appendix 1 base"/>
    <w:next w:val="BodyText"/>
    <w:semiHidden/>
    <w:rsid w:val="000C2DCE"/>
    <w:pPr>
      <w:keepNext/>
      <w:keepLines/>
      <w:pageBreakBefore/>
      <w:spacing w:before="180" w:after="1080"/>
      <w:outlineLvl w:val="0"/>
    </w:pPr>
    <w:rPr>
      <w:sz w:val="40"/>
      <w:szCs w:val="40"/>
    </w:rPr>
  </w:style>
  <w:style w:type="paragraph" w:customStyle="1" w:styleId="Headingappendix2">
    <w:name w:val="Heading appendix 2"/>
    <w:basedOn w:val="Headingappendix1base"/>
    <w:next w:val="BodyText"/>
    <w:qFormat/>
    <w:rsid w:val="000C2DCE"/>
    <w:pPr>
      <w:pageBreakBefore w:val="0"/>
      <w:numPr>
        <w:ilvl w:val="1"/>
        <w:numId w:val="12"/>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0C2DCE"/>
    <w:pPr>
      <w:numPr>
        <w:ilvl w:val="2"/>
      </w:numPr>
      <w:outlineLvl w:val="2"/>
    </w:pPr>
    <w:rPr>
      <w:b/>
      <w:bCs/>
      <w:sz w:val="24"/>
    </w:rPr>
  </w:style>
  <w:style w:type="paragraph" w:customStyle="1" w:styleId="Headingappendix4">
    <w:name w:val="Heading appendix 4"/>
    <w:basedOn w:val="Headingappendix3"/>
    <w:next w:val="BodyText"/>
    <w:qFormat/>
    <w:rsid w:val="000C2DCE"/>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0C2DCE"/>
    <w:pPr>
      <w:numPr>
        <w:ilvl w:val="4"/>
      </w:numPr>
      <w:outlineLvl w:val="4"/>
    </w:pPr>
    <w:rPr>
      <w:b w:val="0"/>
      <w:bCs w:val="0"/>
    </w:rPr>
  </w:style>
  <w:style w:type="table" w:customStyle="1" w:styleId="TableGAHeaderRowColumn">
    <w:name w:val="Table GA Header Row &amp; Column"/>
    <w:basedOn w:val="TableNormal"/>
    <w:uiPriority w:val="99"/>
    <w:rsid w:val="000C2DCE"/>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table" w:customStyle="1" w:styleId="TableGAHeaderColumn">
    <w:name w:val="Table GA Header Column"/>
    <w:basedOn w:val="TableGAHeaderRowColumn"/>
    <w:uiPriority w:val="99"/>
    <w:rsid w:val="000C2DCE"/>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table" w:customStyle="1" w:styleId="TableGAHeaderRow">
    <w:name w:val="Table GA Header Row"/>
    <w:basedOn w:val="TableNormal"/>
    <w:rsid w:val="000C2DCE"/>
    <w:pPr>
      <w:spacing w:before="20" w:after="20" w:line="20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table" w:customStyle="1" w:styleId="TableGANoHeader">
    <w:name w:val="Table GA No Header"/>
    <w:basedOn w:val="TableGAHeaderRow"/>
    <w:uiPriority w:val="99"/>
    <w:rsid w:val="000C2DCE"/>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Tablenotes">
    <w:name w:val="Table notes"/>
    <w:basedOn w:val="Tablesource"/>
    <w:rsid w:val="000C2DCE"/>
    <w:pPr>
      <w:tabs>
        <w:tab w:val="left" w:pos="113"/>
      </w:tabs>
      <w:spacing w:before="0"/>
      <w:ind w:left="113" w:hanging="113"/>
    </w:pPr>
    <w:rPr>
      <w:rFonts w:cs="Times New Roman"/>
      <w:szCs w:val="20"/>
    </w:rPr>
  </w:style>
  <w:style w:type="table" w:styleId="LightList">
    <w:name w:val="Light List"/>
    <w:basedOn w:val="TableNormal"/>
    <w:uiPriority w:val="61"/>
    <w:locked/>
    <w:rsid w:val="00C645C7"/>
    <w:pPr>
      <w:spacing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References0">
    <w:name w:val=".References"/>
    <w:basedOn w:val="Normal"/>
    <w:rsid w:val="006D4695"/>
    <w:pPr>
      <w:spacing w:before="0" w:after="40" w:line="260" w:lineRule="exact"/>
      <w:ind w:left="567" w:hanging="567"/>
    </w:pPr>
    <w:rPr>
      <w:rFonts w:ascii="Times New Roman" w:eastAsia="Times New Roman" w:hAnsi="Times New Roman"/>
      <w:sz w:val="21"/>
    </w:rPr>
  </w:style>
  <w:style w:type="character" w:styleId="CommentReference">
    <w:name w:val="annotation reference"/>
    <w:aliases w:val="CR-DO NOT USE"/>
    <w:semiHidden/>
    <w:locked/>
    <w:rsid w:val="000C2DCE"/>
  </w:style>
  <w:style w:type="paragraph" w:styleId="CommentText">
    <w:name w:val="annotation text"/>
    <w:aliases w:val="CT-DO NOT USE"/>
    <w:next w:val="BodyText"/>
    <w:link w:val="CommentTextChar"/>
    <w:locked/>
    <w:rsid w:val="000C2DCE"/>
    <w:pPr>
      <w:spacing w:before="180" w:after="180"/>
    </w:pPr>
    <w:rPr>
      <w:rFonts w:cs="Arial"/>
    </w:rPr>
  </w:style>
  <w:style w:type="character" w:customStyle="1" w:styleId="CommentTextChar">
    <w:name w:val="Comment Text Char"/>
    <w:aliases w:val="CT-DO NOT USE Char"/>
    <w:basedOn w:val="DefaultParagraphFont"/>
    <w:link w:val="CommentText"/>
    <w:rsid w:val="000C2DCE"/>
    <w:rPr>
      <w:rFonts w:cs="Arial"/>
    </w:rPr>
  </w:style>
  <w:style w:type="paragraph" w:styleId="Revision">
    <w:name w:val="Revision"/>
    <w:hidden/>
    <w:uiPriority w:val="99"/>
    <w:semiHidden/>
    <w:rsid w:val="009E0F64"/>
    <w:pPr>
      <w:spacing w:line="240" w:lineRule="auto"/>
    </w:pPr>
  </w:style>
  <w:style w:type="paragraph" w:styleId="BodyText3">
    <w:name w:val="Body Text 3"/>
    <w:aliases w:val="BT3-DO NOT USE"/>
    <w:basedOn w:val="BodyText"/>
    <w:link w:val="BodyText3Char"/>
    <w:semiHidden/>
    <w:locked/>
    <w:rsid w:val="000C2DCE"/>
  </w:style>
  <w:style w:type="character" w:customStyle="1" w:styleId="BodyText3Char">
    <w:name w:val="Body Text 3 Char"/>
    <w:aliases w:val="BT3-DO NOT USE Char"/>
    <w:basedOn w:val="DefaultParagraphFont"/>
    <w:link w:val="BodyText3"/>
    <w:semiHidden/>
    <w:rsid w:val="000C2DCE"/>
    <w:rPr>
      <w:rFonts w:cs="Arial"/>
    </w:rPr>
  </w:style>
  <w:style w:type="paragraph" w:styleId="BodyTextFirstIndent">
    <w:name w:val="Body Text First Indent"/>
    <w:aliases w:val="B1-DO NOT USE"/>
    <w:basedOn w:val="BodyText3"/>
    <w:link w:val="BodyTextFirstIndentChar"/>
    <w:semiHidden/>
    <w:locked/>
    <w:rsid w:val="000C2DCE"/>
  </w:style>
  <w:style w:type="character" w:customStyle="1" w:styleId="BodyTextFirstIndentChar">
    <w:name w:val="Body Text First Indent Char"/>
    <w:aliases w:val="B1-DO NOT USE Char"/>
    <w:basedOn w:val="BodyTextChar"/>
    <w:link w:val="BodyTextFirstIndent"/>
    <w:semiHidden/>
    <w:rsid w:val="000C2DCE"/>
    <w:rPr>
      <w:rFonts w:cs="Arial"/>
    </w:rPr>
  </w:style>
  <w:style w:type="paragraph" w:styleId="BodyTextIndent">
    <w:name w:val="Body Text Indent"/>
    <w:aliases w:val="B3-DO NOT USE"/>
    <w:basedOn w:val="BodyTextFirstIndent2"/>
    <w:link w:val="BodyTextIndentChar"/>
    <w:semiHidden/>
    <w:locked/>
    <w:rsid w:val="000C2DCE"/>
  </w:style>
  <w:style w:type="character" w:customStyle="1" w:styleId="BodyTextIndentChar">
    <w:name w:val="Body Text Indent Char"/>
    <w:aliases w:val="B3-DO NOT USE Char"/>
    <w:basedOn w:val="DefaultParagraphFont"/>
    <w:link w:val="BodyTextIndent"/>
    <w:semiHidden/>
    <w:rsid w:val="000C2DCE"/>
    <w:rPr>
      <w:rFonts w:cs="Arial"/>
    </w:rPr>
  </w:style>
  <w:style w:type="paragraph" w:styleId="BodyTextFirstIndent2">
    <w:name w:val="Body Text First Indent 2"/>
    <w:aliases w:val="B2-DO NOT USE"/>
    <w:basedOn w:val="BodyTextFirstIndent"/>
    <w:link w:val="BodyTextFirstIndent2Char"/>
    <w:semiHidden/>
    <w:locked/>
    <w:rsid w:val="000C2DCE"/>
  </w:style>
  <w:style w:type="character" w:customStyle="1" w:styleId="BodyTextFirstIndent2Char">
    <w:name w:val="Body Text First Indent 2 Char"/>
    <w:aliases w:val="B2-DO NOT USE Char"/>
    <w:basedOn w:val="DefaultParagraphFont"/>
    <w:link w:val="BodyTextFirstIndent2"/>
    <w:semiHidden/>
    <w:rsid w:val="000C2DCE"/>
    <w:rPr>
      <w:rFonts w:cs="Arial"/>
    </w:rPr>
  </w:style>
  <w:style w:type="paragraph" w:styleId="BodyTextIndent2">
    <w:name w:val="Body Text Indent 2"/>
    <w:aliases w:val="B4-DO NOT USE"/>
    <w:basedOn w:val="BodyTextIndent"/>
    <w:link w:val="BodyTextIndent2Char"/>
    <w:semiHidden/>
    <w:locked/>
    <w:rsid w:val="000C2DCE"/>
  </w:style>
  <w:style w:type="character" w:customStyle="1" w:styleId="BodyTextIndent2Char">
    <w:name w:val="Body Text Indent 2 Char"/>
    <w:aliases w:val="B4-DO NOT USE Char"/>
    <w:basedOn w:val="DefaultParagraphFont"/>
    <w:link w:val="BodyTextIndent2"/>
    <w:semiHidden/>
    <w:rsid w:val="000C2DCE"/>
    <w:rPr>
      <w:rFonts w:cs="Arial"/>
    </w:rPr>
  </w:style>
  <w:style w:type="paragraph" w:styleId="BodyTextIndent3">
    <w:name w:val="Body Text Indent 3"/>
    <w:aliases w:val="B5-DO NOT USE"/>
    <w:basedOn w:val="BodyTextIndent2"/>
    <w:link w:val="BodyTextIndent3Char"/>
    <w:semiHidden/>
    <w:locked/>
    <w:rsid w:val="000C2DCE"/>
  </w:style>
  <w:style w:type="character" w:customStyle="1" w:styleId="BodyTextIndent3Char">
    <w:name w:val="Body Text Indent 3 Char"/>
    <w:aliases w:val="B5-DO NOT USE Char"/>
    <w:basedOn w:val="DefaultParagraphFont"/>
    <w:link w:val="BodyTextIndent3"/>
    <w:semiHidden/>
    <w:rsid w:val="000C2DCE"/>
    <w:rPr>
      <w:rFonts w:cs="Arial"/>
    </w:rPr>
  </w:style>
  <w:style w:type="paragraph" w:styleId="BodyText2">
    <w:name w:val="Body Text 2"/>
    <w:aliases w:val="BT2-DO NOT USE"/>
    <w:basedOn w:val="Normal"/>
    <w:link w:val="BodyText2Char"/>
    <w:semiHidden/>
    <w:locked/>
    <w:rsid w:val="000C2DCE"/>
    <w:pPr>
      <w:spacing w:after="120" w:line="480" w:lineRule="auto"/>
    </w:pPr>
  </w:style>
  <w:style w:type="character" w:customStyle="1" w:styleId="BodyText2Char">
    <w:name w:val="Body Text 2 Char"/>
    <w:aliases w:val="BT2-DO NOT USE Char"/>
    <w:basedOn w:val="DefaultParagraphFont"/>
    <w:link w:val="BodyText2"/>
    <w:semiHidden/>
    <w:rsid w:val="000C2DCE"/>
    <w:rPr>
      <w:rFonts w:cs="Arial"/>
    </w:rPr>
  </w:style>
  <w:style w:type="character" w:customStyle="1" w:styleId="BoldItalic">
    <w:name w:val="Bold Italic"/>
    <w:basedOn w:val="DefaultParagraphFont"/>
    <w:rsid w:val="000C2DCE"/>
    <w:rPr>
      <w:b/>
      <w:i/>
    </w:rPr>
  </w:style>
  <w:style w:type="character" w:styleId="BookTitle">
    <w:name w:val="Book Title"/>
    <w:aliases w:val="BT-DO NOT USE"/>
    <w:uiPriority w:val="33"/>
    <w:semiHidden/>
    <w:locked/>
    <w:rsid w:val="000C2DCE"/>
  </w:style>
  <w:style w:type="character" w:styleId="Emphasis">
    <w:name w:val="Emphasis"/>
    <w:aliases w:val="E-DO NOT USE"/>
    <w:qFormat/>
    <w:locked/>
    <w:rsid w:val="000C2DCE"/>
  </w:style>
  <w:style w:type="character" w:styleId="EndnoteReference">
    <w:name w:val="endnote reference"/>
    <w:aliases w:val="ERe-DO NOT USE"/>
    <w:semiHidden/>
    <w:locked/>
    <w:rsid w:val="000C2DCE"/>
  </w:style>
  <w:style w:type="paragraph" w:customStyle="1" w:styleId="ExtractL1authornames">
    <w:name w:val="Extract L1 author names"/>
    <w:basedOn w:val="BodyText"/>
    <w:rsid w:val="000C2DCE"/>
    <w:pPr>
      <w:spacing w:before="120" w:after="60" w:line="240" w:lineRule="auto"/>
    </w:pPr>
    <w:rPr>
      <w:rFonts w:eastAsia="Times New Roman" w:cs="Times New Roman"/>
    </w:rPr>
  </w:style>
  <w:style w:type="paragraph" w:customStyle="1" w:styleId="ExtractL2authorlocation">
    <w:name w:val="Extract L2 author location"/>
    <w:basedOn w:val="BodyText"/>
    <w:rsid w:val="000C2DCE"/>
    <w:pPr>
      <w:tabs>
        <w:tab w:val="left" w:pos="170"/>
      </w:tabs>
      <w:spacing w:before="60" w:after="0" w:line="240" w:lineRule="auto"/>
      <w:ind w:left="170" w:hanging="170"/>
    </w:pPr>
    <w:rPr>
      <w:sz w:val="16"/>
    </w:rPr>
  </w:style>
  <w:style w:type="paragraph" w:customStyle="1" w:styleId="ExtractL3authoremail">
    <w:name w:val="Extract L3 author email"/>
    <w:basedOn w:val="BodyText"/>
    <w:rsid w:val="000C2DCE"/>
    <w:pPr>
      <w:spacing w:before="120" w:after="480" w:line="240" w:lineRule="auto"/>
    </w:pPr>
    <w:rPr>
      <w:rFonts w:eastAsia="Times New Roman" w:cs="Times New Roman"/>
    </w:rPr>
  </w:style>
  <w:style w:type="character" w:styleId="FootnoteReference">
    <w:name w:val="footnote reference"/>
    <w:basedOn w:val="DefaultParagraphFont"/>
    <w:semiHidden/>
    <w:locked/>
    <w:rsid w:val="000C2DCE"/>
    <w:rPr>
      <w:sz w:val="20"/>
      <w:vertAlign w:val="superscript"/>
    </w:rPr>
  </w:style>
  <w:style w:type="numbering" w:customStyle="1" w:styleId="GAAppendices">
    <w:name w:val="GA Appendices"/>
    <w:uiPriority w:val="99"/>
    <w:rsid w:val="000C2DCE"/>
    <w:pPr>
      <w:numPr>
        <w:numId w:val="9"/>
      </w:numPr>
    </w:pPr>
  </w:style>
  <w:style w:type="numbering" w:customStyle="1" w:styleId="GAMultilevelList">
    <w:name w:val="GA Multilevel List"/>
    <w:uiPriority w:val="99"/>
    <w:rsid w:val="000C2DCE"/>
    <w:pPr>
      <w:numPr>
        <w:numId w:val="10"/>
      </w:numPr>
    </w:pPr>
  </w:style>
  <w:style w:type="paragraph" w:styleId="IntenseQuote">
    <w:name w:val="Intense Quote"/>
    <w:aliases w:val="IQ-DO NOT USE"/>
    <w:next w:val="Normal"/>
    <w:link w:val="IntenseQuoteChar"/>
    <w:uiPriority w:val="30"/>
    <w:semiHidden/>
    <w:qFormat/>
    <w:locked/>
    <w:rsid w:val="000C2DCE"/>
    <w:pPr>
      <w:spacing w:before="180" w:after="180"/>
    </w:pPr>
    <w:rPr>
      <w:rFonts w:cs="Arial"/>
    </w:rPr>
  </w:style>
  <w:style w:type="character" w:customStyle="1" w:styleId="IntenseQuoteChar">
    <w:name w:val="Intense Quote Char"/>
    <w:aliases w:val="IQ-DO NOT USE Char"/>
    <w:basedOn w:val="DefaultParagraphFont"/>
    <w:link w:val="IntenseQuote"/>
    <w:uiPriority w:val="30"/>
    <w:semiHidden/>
    <w:rsid w:val="000C2DCE"/>
    <w:rPr>
      <w:rFonts w:cs="Arial"/>
    </w:rPr>
  </w:style>
  <w:style w:type="character" w:styleId="IntenseEmphasis">
    <w:name w:val="Intense Emphasis"/>
    <w:aliases w:val="IE-DO NOT USE"/>
    <w:uiPriority w:val="21"/>
    <w:semiHidden/>
    <w:qFormat/>
    <w:locked/>
    <w:rsid w:val="000C2DCE"/>
  </w:style>
  <w:style w:type="character" w:styleId="IntenseReference">
    <w:name w:val="Intense Reference"/>
    <w:aliases w:val="IR-DO NOT USE"/>
    <w:uiPriority w:val="32"/>
    <w:semiHidden/>
    <w:qFormat/>
    <w:locked/>
    <w:rsid w:val="000C2DCE"/>
  </w:style>
  <w:style w:type="paragraph" w:customStyle="1" w:styleId="Listbulletlevel1">
    <w:name w:val="List bullet level 1"/>
    <w:basedOn w:val="BodyText"/>
    <w:next w:val="BodyText"/>
    <w:link w:val="Listbulletlevel1Char"/>
    <w:qFormat/>
    <w:rsid w:val="000C2DCE"/>
    <w:pPr>
      <w:numPr>
        <w:numId w:val="18"/>
      </w:numPr>
      <w:spacing w:before="60" w:after="60"/>
    </w:pPr>
    <w:rPr>
      <w:rFonts w:eastAsia="Times New Roman"/>
    </w:rPr>
  </w:style>
  <w:style w:type="character" w:customStyle="1" w:styleId="Listbulletlevel1Char">
    <w:name w:val="List bullet level 1 Char"/>
    <w:basedOn w:val="BodyTextChar"/>
    <w:link w:val="Listbulletlevel1"/>
    <w:rsid w:val="000C2DCE"/>
    <w:rPr>
      <w:rFonts w:eastAsia="Times New Roman" w:cs="Arial"/>
    </w:rPr>
  </w:style>
  <w:style w:type="paragraph" w:customStyle="1" w:styleId="Listbulletlevel1numbered">
    <w:name w:val="List bullet level 1 numbered"/>
    <w:basedOn w:val="BodyText"/>
    <w:next w:val="BodyText"/>
    <w:link w:val="Listbulletlevel1numberedChar"/>
    <w:qFormat/>
    <w:rsid w:val="000C2DCE"/>
    <w:pPr>
      <w:numPr>
        <w:numId w:val="19"/>
      </w:numPr>
      <w:spacing w:before="60" w:after="60"/>
    </w:pPr>
    <w:rPr>
      <w:rFonts w:eastAsia="Times New Roman"/>
    </w:rPr>
  </w:style>
  <w:style w:type="character" w:customStyle="1" w:styleId="Listbulletlevel1numberedChar">
    <w:name w:val="List bullet level 1 numbered Char"/>
    <w:basedOn w:val="Listbulletlevel1Char"/>
    <w:link w:val="Listbulletlevel1numbered"/>
    <w:rsid w:val="000C2DCE"/>
    <w:rPr>
      <w:rFonts w:eastAsia="Times New Roman" w:cs="Arial"/>
    </w:rPr>
  </w:style>
  <w:style w:type="paragraph" w:customStyle="1" w:styleId="Listbulletlevel2">
    <w:name w:val="List bullet level 2"/>
    <w:basedOn w:val="Listbulletlevel1"/>
    <w:next w:val="BodyText"/>
    <w:qFormat/>
    <w:rsid w:val="000C2DCE"/>
    <w:pPr>
      <w:numPr>
        <w:ilvl w:val="1"/>
      </w:numPr>
    </w:pPr>
  </w:style>
  <w:style w:type="paragraph" w:customStyle="1" w:styleId="Listbulletlevel2numbered">
    <w:name w:val="List bullet level 2 numbered"/>
    <w:basedOn w:val="Listbulletlevel1numbered"/>
    <w:qFormat/>
    <w:rsid w:val="000C2DCE"/>
    <w:pPr>
      <w:numPr>
        <w:ilvl w:val="1"/>
      </w:numPr>
    </w:pPr>
    <w:rPr>
      <w:rFonts w:eastAsia="Times"/>
    </w:rPr>
  </w:style>
  <w:style w:type="character" w:styleId="PlaceholderText">
    <w:name w:val="Placeholder Text"/>
    <w:aliases w:val="Pl-DO NOT USE"/>
    <w:uiPriority w:val="99"/>
    <w:semiHidden/>
    <w:locked/>
    <w:rsid w:val="000C2DCE"/>
  </w:style>
  <w:style w:type="character" w:styleId="SubtleEmphasis">
    <w:name w:val="Subtle Emphasis"/>
    <w:aliases w:val="SE-DO NOT USE"/>
    <w:uiPriority w:val="19"/>
    <w:semiHidden/>
    <w:locked/>
    <w:rsid w:val="000C2DCE"/>
  </w:style>
  <w:style w:type="character" w:styleId="SubtleReference">
    <w:name w:val="Subtle Reference"/>
    <w:aliases w:val="SR-DO NOT USE"/>
    <w:uiPriority w:val="31"/>
    <w:semiHidden/>
    <w:locked/>
    <w:rsid w:val="000C2DCE"/>
  </w:style>
  <w:style w:type="character" w:customStyle="1" w:styleId="Symbol">
    <w:name w:val="Symbol"/>
    <w:basedOn w:val="DefaultParagraphFont"/>
    <w:rsid w:val="000C2DCE"/>
    <w:rPr>
      <w:rFonts w:ascii="Symbol" w:hAnsi="Symbol"/>
    </w:rPr>
  </w:style>
  <w:style w:type="paragraph" w:customStyle="1" w:styleId="Tablesource">
    <w:name w:val="Table source"/>
    <w:basedOn w:val="BodyText"/>
    <w:next w:val="BodyText"/>
    <w:qFormat/>
    <w:rsid w:val="000C2DCE"/>
    <w:pPr>
      <w:keepNext/>
      <w:spacing w:before="120" w:after="0" w:line="160" w:lineRule="atLeast"/>
    </w:pPr>
    <w:rPr>
      <w:rFonts w:eastAsia="Times New Roman"/>
      <w:i/>
      <w:iCs/>
      <w:sz w:val="16"/>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560047">
      <w:bodyDiv w:val="1"/>
      <w:marLeft w:val="0"/>
      <w:marRight w:val="0"/>
      <w:marTop w:val="0"/>
      <w:marBottom w:val="0"/>
      <w:divBdr>
        <w:top w:val="none" w:sz="0" w:space="0" w:color="auto"/>
        <w:left w:val="none" w:sz="0" w:space="0" w:color="auto"/>
        <w:bottom w:val="none" w:sz="0" w:space="0" w:color="auto"/>
        <w:right w:val="none" w:sz="0" w:space="0" w:color="auto"/>
      </w:divBdr>
    </w:div>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722172069">
      <w:bodyDiv w:val="1"/>
      <w:marLeft w:val="0"/>
      <w:marRight w:val="0"/>
      <w:marTop w:val="0"/>
      <w:marBottom w:val="0"/>
      <w:divBdr>
        <w:top w:val="none" w:sz="0" w:space="0" w:color="auto"/>
        <w:left w:val="none" w:sz="0" w:space="0" w:color="auto"/>
        <w:bottom w:val="none" w:sz="0" w:space="0" w:color="auto"/>
        <w:right w:val="none" w:sz="0" w:space="0" w:color="auto"/>
      </w:divBdr>
    </w:div>
    <w:div w:id="839127080">
      <w:bodyDiv w:val="1"/>
      <w:marLeft w:val="0"/>
      <w:marRight w:val="0"/>
      <w:marTop w:val="0"/>
      <w:marBottom w:val="0"/>
      <w:divBdr>
        <w:top w:val="none" w:sz="0" w:space="0" w:color="auto"/>
        <w:left w:val="none" w:sz="0" w:space="0" w:color="auto"/>
        <w:bottom w:val="none" w:sz="0" w:space="0" w:color="auto"/>
        <w:right w:val="none" w:sz="0" w:space="0" w:color="auto"/>
      </w:divBdr>
    </w:div>
    <w:div w:id="1154299454">
      <w:bodyDiv w:val="1"/>
      <w:marLeft w:val="0"/>
      <w:marRight w:val="0"/>
      <w:marTop w:val="0"/>
      <w:marBottom w:val="0"/>
      <w:divBdr>
        <w:top w:val="none" w:sz="0" w:space="0" w:color="auto"/>
        <w:left w:val="none" w:sz="0" w:space="0" w:color="auto"/>
        <w:bottom w:val="none" w:sz="0" w:space="0" w:color="auto"/>
        <w:right w:val="none" w:sz="0" w:space="0" w:color="auto"/>
      </w:divBdr>
    </w:div>
    <w:div w:id="1196306560">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436562696">
      <w:bodyDiv w:val="1"/>
      <w:marLeft w:val="0"/>
      <w:marRight w:val="0"/>
      <w:marTop w:val="0"/>
      <w:marBottom w:val="0"/>
      <w:divBdr>
        <w:top w:val="none" w:sz="0" w:space="0" w:color="auto"/>
        <w:left w:val="none" w:sz="0" w:space="0" w:color="auto"/>
        <w:bottom w:val="none" w:sz="0" w:space="0" w:color="auto"/>
        <w:right w:val="none" w:sz="0" w:space="0" w:color="auto"/>
      </w:divBdr>
    </w:div>
    <w:div w:id="1600210604">
      <w:bodyDiv w:val="1"/>
      <w:marLeft w:val="0"/>
      <w:marRight w:val="0"/>
      <w:marTop w:val="0"/>
      <w:marBottom w:val="0"/>
      <w:divBdr>
        <w:top w:val="none" w:sz="0" w:space="0" w:color="auto"/>
        <w:left w:val="none" w:sz="0" w:space="0" w:color="auto"/>
        <w:bottom w:val="none" w:sz="0" w:space="0" w:color="auto"/>
        <w:right w:val="none" w:sz="0" w:space="0" w:color="auto"/>
      </w:divBdr>
    </w:div>
    <w:div w:id="1799954669">
      <w:bodyDiv w:val="1"/>
      <w:marLeft w:val="0"/>
      <w:marRight w:val="0"/>
      <w:marTop w:val="0"/>
      <w:marBottom w:val="0"/>
      <w:divBdr>
        <w:top w:val="none" w:sz="0" w:space="0" w:color="auto"/>
        <w:left w:val="none" w:sz="0" w:space="0" w:color="auto"/>
        <w:bottom w:val="none" w:sz="0" w:space="0" w:color="auto"/>
        <w:right w:val="none" w:sz="0" w:space="0" w:color="auto"/>
      </w:divBdr>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 w:id="1927490999">
      <w:bodyDiv w:val="1"/>
      <w:marLeft w:val="0"/>
      <w:marRight w:val="0"/>
      <w:marTop w:val="0"/>
      <w:marBottom w:val="0"/>
      <w:divBdr>
        <w:top w:val="none" w:sz="0" w:space="0" w:color="auto"/>
        <w:left w:val="none" w:sz="0" w:space="0" w:color="auto"/>
        <w:bottom w:val="none" w:sz="0" w:space="0" w:color="auto"/>
        <w:right w:val="none" w:sz="0" w:space="0" w:color="auto"/>
      </w:divBdr>
    </w:div>
    <w:div w:id="2032998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3.jpg"/><Relationship Id="rId26" Type="http://schemas.openxmlformats.org/officeDocument/2006/relationships/image" Target="media/image11.tiff"/><Relationship Id="rId39" Type="http://schemas.openxmlformats.org/officeDocument/2006/relationships/image" Target="media/image24.tiff"/><Relationship Id="rId21" Type="http://schemas.openxmlformats.org/officeDocument/2006/relationships/image" Target="media/image6.tiff"/><Relationship Id="rId34" Type="http://schemas.openxmlformats.org/officeDocument/2006/relationships/image" Target="media/image19.tiff"/><Relationship Id="rId42" Type="http://schemas.openxmlformats.org/officeDocument/2006/relationships/image" Target="media/image27.tiff"/><Relationship Id="rId47" Type="http://schemas.openxmlformats.org/officeDocument/2006/relationships/image" Target="media/image32.tiff"/><Relationship Id="rId50" Type="http://schemas.openxmlformats.org/officeDocument/2006/relationships/image" Target="media/image35.tiff"/><Relationship Id="rId55" Type="http://schemas.openxmlformats.org/officeDocument/2006/relationships/image" Target="media/image40.tiff"/><Relationship Id="rId63" Type="http://schemas.openxmlformats.org/officeDocument/2006/relationships/image" Target="media/image48.tiff"/><Relationship Id="rId68" Type="http://schemas.openxmlformats.org/officeDocument/2006/relationships/image" Target="media/image53.tiff"/><Relationship Id="rId76" Type="http://schemas.openxmlformats.org/officeDocument/2006/relationships/image" Target="media/image61.tiff"/><Relationship Id="rId7" Type="http://schemas.openxmlformats.org/officeDocument/2006/relationships/footnotes" Target="footnotes.xml"/><Relationship Id="rId71" Type="http://schemas.openxmlformats.org/officeDocument/2006/relationships/image" Target="media/image56.tiff"/><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4.tiff"/><Relationship Id="rId11" Type="http://schemas.openxmlformats.org/officeDocument/2006/relationships/hyperlink" Target="http://www.creativecommons.org/licenses/by/3.0/au/deed.en" TargetMode="External"/><Relationship Id="rId24" Type="http://schemas.openxmlformats.org/officeDocument/2006/relationships/image" Target="media/image9.tiff"/><Relationship Id="rId32" Type="http://schemas.openxmlformats.org/officeDocument/2006/relationships/image" Target="media/image17.tiff"/><Relationship Id="rId37" Type="http://schemas.openxmlformats.org/officeDocument/2006/relationships/image" Target="media/image22.tiff"/><Relationship Id="rId40" Type="http://schemas.openxmlformats.org/officeDocument/2006/relationships/image" Target="media/image25.tiff"/><Relationship Id="rId45" Type="http://schemas.openxmlformats.org/officeDocument/2006/relationships/image" Target="media/image30.tiff"/><Relationship Id="rId53" Type="http://schemas.openxmlformats.org/officeDocument/2006/relationships/image" Target="media/image38.tiff"/><Relationship Id="rId58" Type="http://schemas.openxmlformats.org/officeDocument/2006/relationships/image" Target="media/image43.tiff"/><Relationship Id="rId66" Type="http://schemas.openxmlformats.org/officeDocument/2006/relationships/image" Target="media/image51.tiff"/><Relationship Id="rId74" Type="http://schemas.openxmlformats.org/officeDocument/2006/relationships/image" Target="media/image59.tiff"/><Relationship Id="rId79" Type="http://schemas.openxmlformats.org/officeDocument/2006/relationships/image" Target="media/image64.tiff"/><Relationship Id="rId5" Type="http://schemas.openxmlformats.org/officeDocument/2006/relationships/settings" Target="settings.xml"/><Relationship Id="rId61" Type="http://schemas.openxmlformats.org/officeDocument/2006/relationships/image" Target="media/image46.tiff"/><Relationship Id="rId82"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4.tiff"/><Relationship Id="rId31" Type="http://schemas.openxmlformats.org/officeDocument/2006/relationships/image" Target="media/image16.tiff"/><Relationship Id="rId44" Type="http://schemas.openxmlformats.org/officeDocument/2006/relationships/image" Target="media/image29.tiff"/><Relationship Id="rId52" Type="http://schemas.openxmlformats.org/officeDocument/2006/relationships/image" Target="media/image37.tiff"/><Relationship Id="rId60" Type="http://schemas.openxmlformats.org/officeDocument/2006/relationships/image" Target="media/image45.tiff"/><Relationship Id="rId65" Type="http://schemas.openxmlformats.org/officeDocument/2006/relationships/image" Target="media/image50.tiff"/><Relationship Id="rId73" Type="http://schemas.openxmlformats.org/officeDocument/2006/relationships/image" Target="media/image58.tiff"/><Relationship Id="rId78" Type="http://schemas.openxmlformats.org/officeDocument/2006/relationships/image" Target="media/image63.tiff"/><Relationship Id="rId81" Type="http://schemas.openxmlformats.org/officeDocument/2006/relationships/image" Target="media/image66.tif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image" Target="media/image7.tiff"/><Relationship Id="rId27" Type="http://schemas.openxmlformats.org/officeDocument/2006/relationships/image" Target="media/image12.tiff"/><Relationship Id="rId30" Type="http://schemas.openxmlformats.org/officeDocument/2006/relationships/image" Target="media/image15.tiff"/><Relationship Id="rId35" Type="http://schemas.openxmlformats.org/officeDocument/2006/relationships/image" Target="media/image20.tiff"/><Relationship Id="rId43" Type="http://schemas.openxmlformats.org/officeDocument/2006/relationships/image" Target="media/image28.tiff"/><Relationship Id="rId48" Type="http://schemas.openxmlformats.org/officeDocument/2006/relationships/image" Target="media/image33.tiff"/><Relationship Id="rId56" Type="http://schemas.openxmlformats.org/officeDocument/2006/relationships/image" Target="media/image41.tiff"/><Relationship Id="rId64" Type="http://schemas.openxmlformats.org/officeDocument/2006/relationships/image" Target="media/image49.tiff"/><Relationship Id="rId69" Type="http://schemas.openxmlformats.org/officeDocument/2006/relationships/image" Target="media/image54.tiff"/><Relationship Id="rId77" Type="http://schemas.openxmlformats.org/officeDocument/2006/relationships/image" Target="media/image62.tiff"/><Relationship Id="rId8" Type="http://schemas.openxmlformats.org/officeDocument/2006/relationships/endnotes" Target="endnotes.xml"/><Relationship Id="rId51" Type="http://schemas.openxmlformats.org/officeDocument/2006/relationships/image" Target="media/image36.tiff"/><Relationship Id="rId72" Type="http://schemas.openxmlformats.org/officeDocument/2006/relationships/image" Target="media/image57.tiff"/><Relationship Id="rId80" Type="http://schemas.openxmlformats.org/officeDocument/2006/relationships/image" Target="media/image65.tiff"/><Relationship Id="rId3" Type="http://schemas.openxmlformats.org/officeDocument/2006/relationships/styles" Target="styles.xml"/><Relationship Id="rId12" Type="http://schemas.openxmlformats.org/officeDocument/2006/relationships/hyperlink" Target="mailto:clientservices@ga.gov.au" TargetMode="External"/><Relationship Id="rId17" Type="http://schemas.openxmlformats.org/officeDocument/2006/relationships/header" Target="header3.xml"/><Relationship Id="rId25" Type="http://schemas.openxmlformats.org/officeDocument/2006/relationships/image" Target="media/image10.tiff"/><Relationship Id="rId33" Type="http://schemas.openxmlformats.org/officeDocument/2006/relationships/image" Target="media/image18.tiff"/><Relationship Id="rId38" Type="http://schemas.openxmlformats.org/officeDocument/2006/relationships/image" Target="media/image23.tiff"/><Relationship Id="rId46" Type="http://schemas.openxmlformats.org/officeDocument/2006/relationships/image" Target="media/image31.tiff"/><Relationship Id="rId59" Type="http://schemas.openxmlformats.org/officeDocument/2006/relationships/image" Target="media/image44.tiff"/><Relationship Id="rId67" Type="http://schemas.openxmlformats.org/officeDocument/2006/relationships/image" Target="media/image52.tiff"/><Relationship Id="rId20" Type="http://schemas.openxmlformats.org/officeDocument/2006/relationships/image" Target="media/image5.tiff"/><Relationship Id="rId41" Type="http://schemas.openxmlformats.org/officeDocument/2006/relationships/image" Target="media/image26.tiff"/><Relationship Id="rId54" Type="http://schemas.openxmlformats.org/officeDocument/2006/relationships/image" Target="media/image39.tiff"/><Relationship Id="rId62" Type="http://schemas.openxmlformats.org/officeDocument/2006/relationships/image" Target="media/image47.tiff"/><Relationship Id="rId70" Type="http://schemas.openxmlformats.org/officeDocument/2006/relationships/image" Target="media/image55.tiff"/><Relationship Id="rId75" Type="http://schemas.openxmlformats.org/officeDocument/2006/relationships/image" Target="media/image60.tiff"/><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8.tiff"/><Relationship Id="rId28" Type="http://schemas.openxmlformats.org/officeDocument/2006/relationships/image" Target="media/image13.tiff"/><Relationship Id="rId36" Type="http://schemas.openxmlformats.org/officeDocument/2006/relationships/image" Target="media/image21.tiff"/><Relationship Id="rId49" Type="http://schemas.openxmlformats.org/officeDocument/2006/relationships/image" Target="media/image34.tiff"/><Relationship Id="rId57" Type="http://schemas.openxmlformats.org/officeDocument/2006/relationships/image" Target="media/image4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1B7B38-A11F-4400-AC82-8C2F15F4C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CE14B306.dotm</Template>
  <TotalTime>93</TotalTime>
  <Pages>45</Pages>
  <Words>6168</Words>
  <Characters>32719</Characters>
  <Application>Microsoft Office Word</Application>
  <DocSecurity>0</DocSecurity>
  <Lines>272</Lines>
  <Paragraphs>77</Paragraphs>
  <ScaleCrop>false</ScaleCrop>
  <HeadingPairs>
    <vt:vector size="2" baseType="variant">
      <vt:variant>
        <vt:lpstr>Title</vt:lpstr>
      </vt:variant>
      <vt:variant>
        <vt:i4>1</vt:i4>
      </vt:variant>
    </vt:vector>
  </HeadingPairs>
  <TitlesOfParts>
    <vt:vector size="1" baseType="lpstr">
      <vt:lpstr>GA Record Template</vt:lpstr>
    </vt:vector>
  </TitlesOfParts>
  <Company>Geoscience Australia</Company>
  <LinksUpToDate>false</LinksUpToDate>
  <CharactersWithSpaces>38810</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dc:title>
  <dc:creator>Geoscience Australia</dc:creator>
  <dc:description>Updated January 2013</dc:description>
  <cp:lastModifiedBy>Geoscience Australia</cp:lastModifiedBy>
  <cp:revision>21</cp:revision>
  <cp:lastPrinted>2013-09-24T01:26:00Z</cp:lastPrinted>
  <dcterms:created xsi:type="dcterms:W3CDTF">2013-10-13T22:52:00Z</dcterms:created>
  <dcterms:modified xsi:type="dcterms:W3CDTF">2013-11-14T03:07:00Z</dcterms:modified>
</cp:coreProperties>
</file>